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bookmarkStart w:id="1" w:name="_GoBack"/>
      <w:bookmarkEnd w:id="1"/>
      <w:r>
        <w:rPr>
          <w:rFonts w:ascii="方正小标宋_GBK" w:hAnsi="方正小标宋_GBK" w:eastAsia="方正小标宋_GBK" w:cs="方正小标宋_GBK"/>
          <w:color w:val="000000"/>
          <w:sz w:val="72"/>
        </w:rPr>
        <w:t xml:space="preserve">  部门所属单位预算</w:t>
      </w:r>
    </w:p>
    <w:p>
      <w:pPr>
        <w:spacing w:before="0" w:after="0"/>
        <w:ind w:firstLine="0"/>
        <w:jc w:val="center"/>
        <w:outlineLvl w:val="3"/>
      </w:pPr>
      <w:bookmarkStart w:id="0" w:name="_Toc_4_4_0000000021"/>
      <w:r>
        <w:rPr>
          <w:rFonts w:ascii="方正小标宋_GBK" w:hAnsi="方正小标宋_GBK" w:eastAsia="方正小标宋_GBK" w:cs="方正小标宋_GBK"/>
          <w:b w:val="0"/>
          <w:color w:val="000000"/>
          <w:sz w:val="44"/>
        </w:rPr>
        <w:t>一、曹妃甸区政府金融发展服务中心本级收支预算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822001曹妃甸区政府金融发展服务中心本级</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51.80</w:t>
            </w:r>
          </w:p>
        </w:tc>
        <w:tc>
          <w:tcPr>
            <w:tcW w:w="4535" w:type="dxa"/>
            <w:vAlign w:val="center"/>
          </w:tcPr>
          <w:p>
            <w:pPr>
              <w:pStyle w:val="14"/>
            </w:pPr>
            <w:r>
              <w:t>一、一般公共服务支出</w:t>
            </w:r>
          </w:p>
        </w:tc>
        <w:tc>
          <w:tcPr>
            <w:tcW w:w="2126" w:type="dxa"/>
            <w:vAlign w:val="center"/>
          </w:tcPr>
          <w:p>
            <w:pPr>
              <w:pStyle w:val="13"/>
            </w:pPr>
            <w:r>
              <w:t>51.80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51.80</w:t>
            </w:r>
          </w:p>
        </w:tc>
        <w:tc>
          <w:tcPr>
            <w:tcW w:w="4535" w:type="dxa"/>
            <w:vAlign w:val="center"/>
          </w:tcPr>
          <w:p>
            <w:pPr>
              <w:pStyle w:val="16"/>
            </w:pPr>
            <w:r>
              <w:t>本年支出合计</w:t>
            </w:r>
          </w:p>
        </w:tc>
        <w:tc>
          <w:tcPr>
            <w:tcW w:w="2126" w:type="dxa"/>
            <w:vAlign w:val="center"/>
          </w:tcPr>
          <w:p>
            <w:pPr>
              <w:pStyle w:val="17"/>
            </w:pPr>
            <w:r>
              <w:t>51.80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51.80</w:t>
            </w:r>
          </w:p>
        </w:tc>
        <w:tc>
          <w:tcPr>
            <w:tcW w:w="4535" w:type="dxa"/>
            <w:vAlign w:val="center"/>
          </w:tcPr>
          <w:p>
            <w:pPr>
              <w:pStyle w:val="16"/>
            </w:pPr>
            <w:r>
              <w:t>支出总计</w:t>
            </w:r>
          </w:p>
        </w:tc>
        <w:tc>
          <w:tcPr>
            <w:tcW w:w="2126" w:type="dxa"/>
            <w:vAlign w:val="center"/>
          </w:tcPr>
          <w:p>
            <w:pPr>
              <w:pStyle w:val="17"/>
            </w:pPr>
            <w:r>
              <w:t>51.80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822001曹妃甸区政府金融发展服务中心本级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51.80</w:t>
            </w:r>
          </w:p>
        </w:tc>
        <w:tc>
          <w:tcPr>
            <w:tcW w:w="1134" w:type="dxa"/>
            <w:vAlign w:val="center"/>
          </w:tcPr>
          <w:p>
            <w:pPr>
              <w:pStyle w:val="17"/>
            </w:pPr>
            <w:r>
              <w:t>51.80</w:t>
            </w:r>
          </w:p>
        </w:tc>
        <w:tc>
          <w:tcPr>
            <w:tcW w:w="1134" w:type="dxa"/>
            <w:vAlign w:val="center"/>
          </w:tcPr>
          <w:p>
            <w:pPr>
              <w:pStyle w:val="17"/>
            </w:pPr>
            <w:r>
              <w:t>51.80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51.80</w:t>
            </w:r>
          </w:p>
        </w:tc>
        <w:tc>
          <w:tcPr>
            <w:tcW w:w="1134" w:type="dxa"/>
            <w:vAlign w:val="center"/>
          </w:tcPr>
          <w:p>
            <w:pPr>
              <w:pStyle w:val="13"/>
            </w:pPr>
            <w:r>
              <w:t>51.80</w:t>
            </w:r>
          </w:p>
        </w:tc>
        <w:tc>
          <w:tcPr>
            <w:tcW w:w="1134" w:type="dxa"/>
            <w:vAlign w:val="center"/>
          </w:tcPr>
          <w:p>
            <w:pPr>
              <w:pStyle w:val="13"/>
            </w:pPr>
            <w:r>
              <w:t>51.80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51.80</w:t>
            </w:r>
          </w:p>
        </w:tc>
        <w:tc>
          <w:tcPr>
            <w:tcW w:w="1134" w:type="dxa"/>
            <w:vAlign w:val="center"/>
          </w:tcPr>
          <w:p>
            <w:pPr>
              <w:pStyle w:val="13"/>
            </w:pPr>
            <w:r>
              <w:t>51.80</w:t>
            </w:r>
          </w:p>
        </w:tc>
        <w:tc>
          <w:tcPr>
            <w:tcW w:w="1134" w:type="dxa"/>
            <w:vAlign w:val="center"/>
          </w:tcPr>
          <w:p>
            <w:pPr>
              <w:pStyle w:val="13"/>
            </w:pPr>
            <w:r>
              <w:t>51.80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2010399</w:t>
            </w:r>
          </w:p>
        </w:tc>
        <w:tc>
          <w:tcPr>
            <w:tcW w:w="1559" w:type="dxa"/>
            <w:vAlign w:val="center"/>
          </w:tcPr>
          <w:p>
            <w:pPr>
              <w:pStyle w:val="14"/>
            </w:pPr>
            <w:r>
              <w:t>其他政府办公厅（室）及相关机构事务支出</w:t>
            </w:r>
          </w:p>
        </w:tc>
        <w:tc>
          <w:tcPr>
            <w:tcW w:w="1134" w:type="dxa"/>
            <w:vAlign w:val="center"/>
          </w:tcPr>
          <w:p>
            <w:pPr>
              <w:pStyle w:val="13"/>
            </w:pPr>
            <w:r>
              <w:t>51.80</w:t>
            </w:r>
          </w:p>
        </w:tc>
        <w:tc>
          <w:tcPr>
            <w:tcW w:w="1134" w:type="dxa"/>
            <w:vAlign w:val="center"/>
          </w:tcPr>
          <w:p>
            <w:pPr>
              <w:pStyle w:val="13"/>
            </w:pPr>
            <w:r>
              <w:t>51.80</w:t>
            </w:r>
          </w:p>
        </w:tc>
        <w:tc>
          <w:tcPr>
            <w:tcW w:w="1134" w:type="dxa"/>
            <w:vAlign w:val="center"/>
          </w:tcPr>
          <w:p>
            <w:pPr>
              <w:pStyle w:val="13"/>
            </w:pPr>
            <w:r>
              <w:t>51.80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822001曹妃甸区政府金融发展服务中心本级</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51.80</w:t>
            </w:r>
          </w:p>
        </w:tc>
        <w:tc>
          <w:tcPr>
            <w:tcW w:w="1361" w:type="dxa"/>
            <w:vAlign w:val="center"/>
          </w:tcPr>
          <w:p>
            <w:pPr>
              <w:pStyle w:val="17"/>
            </w:pPr>
          </w:p>
        </w:tc>
        <w:tc>
          <w:tcPr>
            <w:tcW w:w="1361" w:type="dxa"/>
            <w:vAlign w:val="center"/>
          </w:tcPr>
          <w:p>
            <w:pPr>
              <w:pStyle w:val="17"/>
            </w:pPr>
            <w:r>
              <w:t>51.80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51.80</w:t>
            </w:r>
          </w:p>
        </w:tc>
        <w:tc>
          <w:tcPr>
            <w:tcW w:w="1361" w:type="dxa"/>
            <w:vAlign w:val="center"/>
          </w:tcPr>
          <w:p>
            <w:pPr>
              <w:pStyle w:val="13"/>
            </w:pPr>
          </w:p>
        </w:tc>
        <w:tc>
          <w:tcPr>
            <w:tcW w:w="1361" w:type="dxa"/>
            <w:vAlign w:val="center"/>
          </w:tcPr>
          <w:p>
            <w:pPr>
              <w:pStyle w:val="13"/>
            </w:pPr>
            <w:r>
              <w:t>51.80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51.80</w:t>
            </w:r>
          </w:p>
        </w:tc>
        <w:tc>
          <w:tcPr>
            <w:tcW w:w="1361" w:type="dxa"/>
            <w:vAlign w:val="center"/>
          </w:tcPr>
          <w:p>
            <w:pPr>
              <w:pStyle w:val="13"/>
            </w:pPr>
          </w:p>
        </w:tc>
        <w:tc>
          <w:tcPr>
            <w:tcW w:w="1361" w:type="dxa"/>
            <w:vAlign w:val="center"/>
          </w:tcPr>
          <w:p>
            <w:pPr>
              <w:pStyle w:val="13"/>
            </w:pPr>
            <w:r>
              <w:t>51.80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2010399</w:t>
            </w:r>
          </w:p>
        </w:tc>
        <w:tc>
          <w:tcPr>
            <w:tcW w:w="4535" w:type="dxa"/>
            <w:vAlign w:val="center"/>
          </w:tcPr>
          <w:p>
            <w:pPr>
              <w:pStyle w:val="14"/>
            </w:pPr>
            <w:r>
              <w:t>其他政府办公厅（室）及相关机构事务支出</w:t>
            </w:r>
          </w:p>
        </w:tc>
        <w:tc>
          <w:tcPr>
            <w:tcW w:w="1361" w:type="dxa"/>
            <w:vAlign w:val="center"/>
          </w:tcPr>
          <w:p>
            <w:pPr>
              <w:pStyle w:val="13"/>
            </w:pPr>
            <w:r>
              <w:t>51.80</w:t>
            </w:r>
          </w:p>
        </w:tc>
        <w:tc>
          <w:tcPr>
            <w:tcW w:w="1361" w:type="dxa"/>
            <w:vAlign w:val="center"/>
          </w:tcPr>
          <w:p>
            <w:pPr>
              <w:pStyle w:val="13"/>
            </w:pPr>
          </w:p>
        </w:tc>
        <w:tc>
          <w:tcPr>
            <w:tcW w:w="1361" w:type="dxa"/>
            <w:vAlign w:val="center"/>
          </w:tcPr>
          <w:p>
            <w:pPr>
              <w:pStyle w:val="13"/>
            </w:pPr>
            <w:r>
              <w:t>51.80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822001曹妃甸区政府金融发展服务中心本级</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51.80</w:t>
            </w:r>
          </w:p>
        </w:tc>
        <w:tc>
          <w:tcPr>
            <w:tcW w:w="3402" w:type="dxa"/>
            <w:vAlign w:val="center"/>
          </w:tcPr>
          <w:p>
            <w:pPr>
              <w:pStyle w:val="14"/>
            </w:pPr>
            <w:r>
              <w:t>一、一般公共服务支出</w:t>
            </w:r>
          </w:p>
        </w:tc>
        <w:tc>
          <w:tcPr>
            <w:tcW w:w="1474" w:type="dxa"/>
            <w:vAlign w:val="center"/>
          </w:tcPr>
          <w:p>
            <w:pPr>
              <w:pStyle w:val="13"/>
            </w:pPr>
            <w:r>
              <w:t>51.80</w:t>
            </w:r>
          </w:p>
        </w:tc>
        <w:tc>
          <w:tcPr>
            <w:tcW w:w="1474" w:type="dxa"/>
            <w:vAlign w:val="center"/>
          </w:tcPr>
          <w:p>
            <w:pPr>
              <w:pStyle w:val="13"/>
            </w:pPr>
            <w:r>
              <w:t>51.80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51.80</w:t>
            </w:r>
          </w:p>
        </w:tc>
        <w:tc>
          <w:tcPr>
            <w:tcW w:w="3402" w:type="dxa"/>
            <w:vAlign w:val="center"/>
          </w:tcPr>
          <w:p>
            <w:pPr>
              <w:pStyle w:val="16"/>
            </w:pPr>
            <w:r>
              <w:t>本年支出合计</w:t>
            </w:r>
          </w:p>
        </w:tc>
        <w:tc>
          <w:tcPr>
            <w:tcW w:w="1474" w:type="dxa"/>
            <w:vAlign w:val="center"/>
          </w:tcPr>
          <w:p>
            <w:pPr>
              <w:pStyle w:val="17"/>
            </w:pPr>
            <w:r>
              <w:t>51.80</w:t>
            </w:r>
          </w:p>
        </w:tc>
        <w:tc>
          <w:tcPr>
            <w:tcW w:w="1474" w:type="dxa"/>
            <w:vAlign w:val="center"/>
          </w:tcPr>
          <w:p>
            <w:pPr>
              <w:pStyle w:val="17"/>
            </w:pPr>
            <w:r>
              <w:t>51.80</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51.80</w:t>
            </w:r>
          </w:p>
        </w:tc>
        <w:tc>
          <w:tcPr>
            <w:tcW w:w="3402" w:type="dxa"/>
            <w:vAlign w:val="center"/>
          </w:tcPr>
          <w:p>
            <w:pPr>
              <w:pStyle w:val="16"/>
            </w:pPr>
            <w:r>
              <w:t>支出总计</w:t>
            </w:r>
          </w:p>
        </w:tc>
        <w:tc>
          <w:tcPr>
            <w:tcW w:w="1474" w:type="dxa"/>
            <w:vAlign w:val="center"/>
          </w:tcPr>
          <w:p>
            <w:pPr>
              <w:pStyle w:val="17"/>
            </w:pPr>
            <w:r>
              <w:t>51.80</w:t>
            </w:r>
          </w:p>
        </w:tc>
        <w:tc>
          <w:tcPr>
            <w:tcW w:w="1474" w:type="dxa"/>
            <w:vAlign w:val="center"/>
          </w:tcPr>
          <w:p>
            <w:pPr>
              <w:pStyle w:val="17"/>
            </w:pPr>
            <w:r>
              <w:t>51.80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822001曹妃甸区政府金融发展服务中心本级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51.80</w:t>
            </w:r>
          </w:p>
        </w:tc>
        <w:tc>
          <w:tcPr>
            <w:tcW w:w="2551" w:type="dxa"/>
            <w:vAlign w:val="center"/>
          </w:tcPr>
          <w:p>
            <w:pPr>
              <w:pStyle w:val="17"/>
            </w:pPr>
          </w:p>
        </w:tc>
        <w:tc>
          <w:tcPr>
            <w:tcW w:w="2551" w:type="dxa"/>
            <w:vAlign w:val="center"/>
          </w:tcPr>
          <w:p>
            <w:pPr>
              <w:pStyle w:val="17"/>
            </w:pPr>
            <w:r>
              <w:t>51.80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51.80</w:t>
            </w:r>
          </w:p>
        </w:tc>
        <w:tc>
          <w:tcPr>
            <w:tcW w:w="2551" w:type="dxa"/>
            <w:vAlign w:val="center"/>
          </w:tcPr>
          <w:p>
            <w:pPr>
              <w:pStyle w:val="13"/>
            </w:pPr>
          </w:p>
        </w:tc>
        <w:tc>
          <w:tcPr>
            <w:tcW w:w="2551" w:type="dxa"/>
            <w:vAlign w:val="center"/>
          </w:tcPr>
          <w:p>
            <w:pPr>
              <w:pStyle w:val="13"/>
            </w:pPr>
            <w:r>
              <w:t>51.80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51.80</w:t>
            </w:r>
          </w:p>
        </w:tc>
        <w:tc>
          <w:tcPr>
            <w:tcW w:w="2551" w:type="dxa"/>
            <w:vAlign w:val="center"/>
          </w:tcPr>
          <w:p>
            <w:pPr>
              <w:pStyle w:val="13"/>
            </w:pPr>
          </w:p>
        </w:tc>
        <w:tc>
          <w:tcPr>
            <w:tcW w:w="2551" w:type="dxa"/>
            <w:vAlign w:val="center"/>
          </w:tcPr>
          <w:p>
            <w:pPr>
              <w:pStyle w:val="13"/>
            </w:pPr>
            <w:r>
              <w:t>51.80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2010399</w:t>
            </w:r>
          </w:p>
        </w:tc>
        <w:tc>
          <w:tcPr>
            <w:tcW w:w="4535" w:type="dxa"/>
            <w:vAlign w:val="center"/>
          </w:tcPr>
          <w:p>
            <w:pPr>
              <w:pStyle w:val="14"/>
            </w:pPr>
            <w:r>
              <w:t>其他政府办公厅（室）及相关机构事务支出</w:t>
            </w:r>
          </w:p>
        </w:tc>
        <w:tc>
          <w:tcPr>
            <w:tcW w:w="2551" w:type="dxa"/>
            <w:vAlign w:val="center"/>
          </w:tcPr>
          <w:p>
            <w:pPr>
              <w:pStyle w:val="13"/>
            </w:pPr>
            <w:r>
              <w:t>51.80</w:t>
            </w:r>
          </w:p>
        </w:tc>
        <w:tc>
          <w:tcPr>
            <w:tcW w:w="2551" w:type="dxa"/>
            <w:vAlign w:val="center"/>
          </w:tcPr>
          <w:p>
            <w:pPr>
              <w:pStyle w:val="13"/>
            </w:pPr>
          </w:p>
        </w:tc>
        <w:tc>
          <w:tcPr>
            <w:tcW w:w="2551" w:type="dxa"/>
            <w:vAlign w:val="center"/>
          </w:tcPr>
          <w:p>
            <w:pPr>
              <w:pStyle w:val="13"/>
            </w:pPr>
            <w:r>
              <w:t>51.80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822001曹妃甸区政府金融发展服务中心本级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822001曹妃甸区政府金融发展服务中心本级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822001曹妃甸区政府金融发展服务中心本级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822001曹妃甸区政府金融发展服务中心本级</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曹妃甸区政府金融发展服务中心本级2025年单位预算信息公开情况说明</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黑体" w:hAnsi="黑体" w:eastAsia="黑体" w:cs="黑体"/>
          <w:color w:val="000000"/>
          <w:sz w:val="32"/>
        </w:rPr>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按照《中华人民共和国预算法》、《地方预决算公开操作规程》和《关于进一步推进预算公开工作的实施意见》规定，现将曹妃甸区政府金融发展服务中心本级2025年单位预算公开如下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line="500" w:lineRule="exact"/>
        <w:ind w:firstLine="642" w:firstLineChars="200"/>
      </w:pPr>
      <w:r>
        <w:rPr>
          <w:rFonts w:hint="eastAsia" w:ascii="方正楷体_GBK" w:hAnsi="方正楷体_GBK" w:eastAsia="方正楷体_GBK" w:cs="方正楷体_GBK"/>
          <w:b/>
          <w:bCs/>
          <w:color w:val="000000"/>
          <w:sz w:val="32"/>
          <w:szCs w:val="32"/>
        </w:rPr>
        <w:t>部门职责：</w:t>
      </w:r>
      <w:r>
        <w:rPr>
          <w:rFonts w:ascii="Times New Roman" w:hAnsi="Times New Roman" w:eastAsia="仿宋" w:cs="Times New Roman"/>
          <w:sz w:val="32"/>
          <w:szCs w:val="32"/>
        </w:rPr>
        <w:t xml:space="preserve">正确贯彻执行国家、省、市金融政策、法律法规 协调推动区属企业融资、协调域外金融机构加快入驻我区；培育指导区内企业上市融资；协助监管部门依法打击非法集资、非法证券、非法保险；负责全区小额贷款公司的监督管理；区政府交办的其他事项。 </w:t>
      </w:r>
    </w:p>
    <w:p>
      <w:pPr>
        <w:spacing w:line="500" w:lineRule="exact"/>
        <w:ind w:firstLine="642" w:firstLineChars="200"/>
        <w:rPr>
          <w:rFonts w:ascii="Times New Roman" w:hAnsi="Times New Roman" w:eastAsia="仿宋" w:cs="Times New Roman"/>
          <w:sz w:val="32"/>
          <w:szCs w:val="32"/>
        </w:rPr>
      </w:pPr>
      <w:r>
        <w:rPr>
          <w:rFonts w:hint="eastAsia" w:ascii="方正楷体_GBK" w:hAnsi="方正楷体_GBK" w:eastAsia="方正楷体_GBK" w:cs="方正楷体_GBK"/>
          <w:b/>
          <w:bCs/>
          <w:color w:val="000000"/>
          <w:sz w:val="32"/>
          <w:szCs w:val="32"/>
        </w:rPr>
        <w:t>机构设置：</w:t>
      </w:r>
      <w:r>
        <w:rPr>
          <w:rFonts w:ascii="Times New Roman" w:hAnsi="Times New Roman" w:eastAsia="仿宋" w:cs="Times New Roman"/>
          <w:sz w:val="32"/>
          <w:szCs w:val="32"/>
        </w:rPr>
        <w:t>根据唐机编字【2015】25号文件《唐山市机构编制委员会&lt;关于调整中日唐山曹妃甸生态工业园等3个园区和6个经济功能区管理体制及有关事业单位调整的批复&gt;》文件精神，唐山市曹妃甸区人民政府办公室增设唐山市曹妃甸区政府金融发展服务中心：</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我中心内设2个职能科室：（1）综合处（2）金融合作处</w:t>
      </w:r>
    </w:p>
    <w:p>
      <w:pPr>
        <w:spacing w:before="0" w:after="0" w:line="240" w:lineRule="auto"/>
        <w:ind w:firstLine="640"/>
        <w:jc w:val="left"/>
        <w:outlineLvl w:val="9"/>
      </w:pP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曹妃甸区政府金融发展服务中心本级</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bl>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按照预算管理有关规定，目前我省部门预算的编制实行综合预算制度，即全部收入和支出都反映的预算中。河北省及所属事业单位的收支包含在部门预算中。</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1、收入说明 </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反映本部门当年全部收入，</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5</w:t>
      </w:r>
      <w:r>
        <w:rPr>
          <w:rFonts w:ascii="Times New Roman" w:hAnsi="Times New Roman" w:eastAsia="仿宋" w:cs="Times New Roman"/>
          <w:sz w:val="32"/>
          <w:szCs w:val="32"/>
        </w:rPr>
        <w:t>年预算收入</w:t>
      </w:r>
      <w:r>
        <w:rPr>
          <w:rFonts w:hint="eastAsia" w:eastAsia="仿宋" w:cs="Times New Roman"/>
          <w:sz w:val="32"/>
          <w:szCs w:val="32"/>
          <w:lang w:val="en-US" w:eastAsia="zh-CN"/>
        </w:rPr>
        <w:t>51.8</w:t>
      </w:r>
      <w:r>
        <w:rPr>
          <w:rFonts w:ascii="Times New Roman" w:hAnsi="Times New Roman" w:eastAsia="仿宋" w:cs="Times New Roman"/>
          <w:sz w:val="32"/>
          <w:szCs w:val="32"/>
        </w:rPr>
        <w:t>万元，其中：一般公共预算收入</w:t>
      </w:r>
      <w:r>
        <w:rPr>
          <w:rFonts w:hint="eastAsia" w:eastAsia="仿宋" w:cs="Times New Roman"/>
          <w:sz w:val="32"/>
          <w:szCs w:val="32"/>
          <w:lang w:val="en-US" w:eastAsia="zh-CN"/>
        </w:rPr>
        <w:t>51.8</w:t>
      </w:r>
      <w:r>
        <w:rPr>
          <w:rFonts w:ascii="Times New Roman" w:hAnsi="Times New Roman" w:eastAsia="仿宋" w:cs="Times New Roman"/>
          <w:sz w:val="32"/>
          <w:szCs w:val="32"/>
        </w:rPr>
        <w:t>万元，基金预算收入0万元，财政专户核拨收入0万元，其他来源收入0万元。</w:t>
      </w:r>
    </w:p>
    <w:p>
      <w:pPr>
        <w:numPr>
          <w:ilvl w:val="0"/>
          <w:numId w:val="2"/>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支出说明</w:t>
      </w:r>
    </w:p>
    <w:p>
      <w:pPr>
        <w:ind w:firstLine="640"/>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反映唐山市曹妃甸区政府金融发展服务中心年度部门预算中支出预算的总体情况。</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5</w:t>
      </w:r>
      <w:r>
        <w:rPr>
          <w:rFonts w:ascii="Times New Roman" w:hAnsi="Times New Roman" w:eastAsia="仿宋" w:cs="Times New Roman"/>
          <w:sz w:val="32"/>
          <w:szCs w:val="32"/>
        </w:rPr>
        <w:t>年部门支出预算为</w:t>
      </w:r>
      <w:r>
        <w:rPr>
          <w:rFonts w:hint="eastAsia" w:eastAsia="仿宋" w:cs="Times New Roman"/>
          <w:sz w:val="32"/>
          <w:szCs w:val="32"/>
          <w:lang w:val="en-US" w:eastAsia="zh-CN"/>
        </w:rPr>
        <w:t>51.8</w:t>
      </w:r>
      <w:r>
        <w:rPr>
          <w:rFonts w:ascii="Times New Roman" w:hAnsi="Times New Roman" w:eastAsia="仿宋" w:cs="Times New Roman"/>
          <w:sz w:val="32"/>
          <w:szCs w:val="32"/>
        </w:rPr>
        <w:t>万元均为项目支出，全部为本级支出，主要为</w:t>
      </w:r>
      <w:r>
        <w:rPr>
          <w:rFonts w:hint="eastAsia" w:eastAsia="仿宋" w:cs="Times New Roman"/>
          <w:sz w:val="32"/>
          <w:szCs w:val="32"/>
          <w:lang w:eastAsia="zh-CN"/>
        </w:rPr>
        <w:t>金融工作</w:t>
      </w:r>
      <w:r>
        <w:rPr>
          <w:rFonts w:ascii="Times New Roman" w:hAnsi="Times New Roman" w:eastAsia="仿宋" w:cs="Times New Roman"/>
          <w:sz w:val="32"/>
          <w:szCs w:val="32"/>
        </w:rPr>
        <w:t>经费支出</w:t>
      </w:r>
      <w:r>
        <w:rPr>
          <w:rFonts w:hint="eastAsia" w:eastAsia="仿宋" w:cs="Times New Roman"/>
          <w:sz w:val="32"/>
          <w:szCs w:val="32"/>
          <w:lang w:val="en-US" w:eastAsia="zh-CN"/>
        </w:rPr>
        <w:t>51.8</w:t>
      </w:r>
      <w:r>
        <w:rPr>
          <w:rFonts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我单位无具体大型项目支出。</w:t>
      </w:r>
    </w:p>
    <w:p>
      <w:pPr>
        <w:numPr>
          <w:ilvl w:val="0"/>
          <w:numId w:val="2"/>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比上年增减情况</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5</w:t>
      </w:r>
      <w:r>
        <w:rPr>
          <w:rFonts w:ascii="Times New Roman" w:hAnsi="Times New Roman" w:eastAsia="仿宋" w:cs="Times New Roman"/>
          <w:sz w:val="32"/>
          <w:szCs w:val="32"/>
        </w:rPr>
        <w:t>年部门预算较202</w:t>
      </w:r>
      <w:r>
        <w:rPr>
          <w:rFonts w:hint="eastAsia" w:eastAsia="仿宋" w:cs="Times New Roman"/>
          <w:sz w:val="32"/>
          <w:szCs w:val="32"/>
          <w:lang w:val="en-US" w:eastAsia="zh-CN"/>
        </w:rPr>
        <w:t>4</w:t>
      </w:r>
      <w:r>
        <w:rPr>
          <w:rFonts w:ascii="Times New Roman" w:hAnsi="Times New Roman" w:eastAsia="仿宋" w:cs="Times New Roman"/>
          <w:sz w:val="32"/>
          <w:szCs w:val="32"/>
        </w:rPr>
        <w:t>年</w:t>
      </w:r>
      <w:r>
        <w:rPr>
          <w:rFonts w:hint="eastAsia" w:eastAsia="仿宋" w:cs="Times New Roman"/>
          <w:sz w:val="32"/>
          <w:szCs w:val="32"/>
          <w:lang w:eastAsia="zh-CN"/>
        </w:rPr>
        <w:t>持平</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 </w:t>
      </w:r>
      <w:r>
        <w:rPr>
          <w:rFonts w:hint="eastAsia" w:eastAsia="仿宋" w:cs="Times New Roman"/>
          <w:sz w:val="32"/>
          <w:szCs w:val="32"/>
          <w:lang w:eastAsia="zh-CN"/>
        </w:rPr>
        <w:t>无增减变化</w:t>
      </w:r>
      <w:r>
        <w:rPr>
          <w:rFonts w:hint="eastAsia" w:ascii="Times New Roman" w:hAnsi="Times New Roman" w:eastAsia="仿宋" w:cs="Times New Roman"/>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640" w:firstLineChars="200"/>
        <w:jc w:val="left"/>
        <w:textAlignment w:val="auto"/>
        <w:outlineLvl w:val="2"/>
        <w:rPr>
          <w:rFonts w:ascii="黑体" w:hAnsi="黑体" w:eastAsia="黑体" w:cs="黑体"/>
          <w:color w:val="000000"/>
          <w:sz w:val="32"/>
        </w:rPr>
      </w:pPr>
      <w:r>
        <w:rPr>
          <w:rFonts w:hint="eastAsia" w:ascii="黑体" w:hAnsi="黑体" w:eastAsia="黑体" w:cs="黑体"/>
          <w:color w:val="000000"/>
          <w:sz w:val="32"/>
          <w:lang w:eastAsia="zh-CN"/>
        </w:rPr>
        <w:t>三、</w:t>
      </w:r>
      <w:r>
        <w:rPr>
          <w:rFonts w:ascii="黑体" w:hAnsi="黑体" w:eastAsia="黑体" w:cs="黑体"/>
          <w:color w:val="000000"/>
          <w:sz w:val="32"/>
        </w:rPr>
        <w:t>机关运行经费安排情况</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640" w:firstLineChars="200"/>
        <w:jc w:val="left"/>
        <w:textAlignment w:val="auto"/>
        <w:outlineLvl w:val="2"/>
      </w:pP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4</w:t>
      </w:r>
      <w:r>
        <w:rPr>
          <w:rFonts w:ascii="Times New Roman" w:hAnsi="Times New Roman" w:eastAsia="仿宋" w:cs="Times New Roman"/>
          <w:sz w:val="32"/>
          <w:szCs w:val="32"/>
        </w:rPr>
        <w:t>年，我部门机关运行经费共计安排0万元。</w:t>
      </w:r>
    </w:p>
    <w:p>
      <w:pPr>
        <w:numPr>
          <w:ilvl w:val="0"/>
          <w:numId w:val="0"/>
        </w:numPr>
        <w:spacing w:before="10" w:after="10" w:line="360" w:lineRule="auto"/>
        <w:ind w:left="640" w:leftChars="0"/>
        <w:jc w:val="left"/>
        <w:outlineLvl w:val="2"/>
        <w:rPr>
          <w:rFonts w:ascii="黑体" w:hAnsi="黑体" w:eastAsia="黑体" w:cs="黑体"/>
          <w:color w:val="000000"/>
          <w:sz w:val="32"/>
        </w:rPr>
      </w:pPr>
      <w:r>
        <w:rPr>
          <w:rFonts w:hint="eastAsia" w:ascii="黑体" w:hAnsi="黑体" w:eastAsia="黑体" w:cs="黑体"/>
          <w:color w:val="000000"/>
          <w:sz w:val="32"/>
          <w:lang w:eastAsia="zh-CN"/>
        </w:rPr>
        <w:t>四、</w:t>
      </w:r>
      <w:r>
        <w:rPr>
          <w:rFonts w:ascii="黑体" w:hAnsi="黑体" w:eastAsia="黑体" w:cs="黑体"/>
          <w:color w:val="000000"/>
          <w:sz w:val="32"/>
        </w:rPr>
        <w:t>财政拨款“三公”经费预算情况及增减变化原因</w:t>
      </w:r>
    </w:p>
    <w:p>
      <w:pPr>
        <w:ind w:firstLine="630"/>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5</w:t>
      </w:r>
      <w:r>
        <w:rPr>
          <w:rFonts w:ascii="Times New Roman" w:hAnsi="Times New Roman" w:eastAsia="仿宋" w:cs="Times New Roman"/>
          <w:sz w:val="32"/>
          <w:szCs w:val="32"/>
        </w:rPr>
        <w:t>年，财政拨款“三公”经费预算安排</w:t>
      </w:r>
      <w:r>
        <w:rPr>
          <w:rFonts w:hint="eastAsia" w:eastAsia="仿宋" w:cs="Times New Roman"/>
          <w:sz w:val="32"/>
          <w:szCs w:val="32"/>
          <w:lang w:val="en-US" w:eastAsia="zh-CN"/>
        </w:rPr>
        <w:t>0.2</w:t>
      </w:r>
      <w:r>
        <w:rPr>
          <w:rFonts w:ascii="Times New Roman" w:hAnsi="Times New Roman" w:eastAsia="仿宋" w:cs="Times New Roman"/>
          <w:sz w:val="32"/>
          <w:szCs w:val="32"/>
        </w:rPr>
        <w:t>万元，</w:t>
      </w:r>
      <w:r>
        <w:rPr>
          <w:rFonts w:hint="eastAsia" w:ascii="Times New Roman" w:hAnsi="Times New Roman" w:eastAsia="仿宋" w:cs="Times New Roman"/>
          <w:sz w:val="32"/>
          <w:szCs w:val="32"/>
        </w:rPr>
        <w:t>与</w:t>
      </w:r>
      <w:r>
        <w:rPr>
          <w:rFonts w:ascii="Times New Roman" w:hAnsi="Times New Roman" w:eastAsia="仿宋" w:cs="Times New Roman"/>
          <w:sz w:val="32"/>
          <w:szCs w:val="32"/>
        </w:rPr>
        <w:t>202</w:t>
      </w:r>
      <w:r>
        <w:rPr>
          <w:rFonts w:hint="eastAsia" w:eastAsia="仿宋" w:cs="Times New Roman"/>
          <w:sz w:val="32"/>
          <w:szCs w:val="32"/>
          <w:lang w:val="en-US" w:eastAsia="zh-CN"/>
        </w:rPr>
        <w:t>4</w:t>
      </w:r>
      <w:r>
        <w:rPr>
          <w:rFonts w:ascii="Times New Roman" w:hAnsi="Times New Roman" w:eastAsia="仿宋" w:cs="Times New Roman"/>
          <w:sz w:val="32"/>
          <w:szCs w:val="32"/>
        </w:rPr>
        <w:t>年</w:t>
      </w:r>
      <w:r>
        <w:rPr>
          <w:rFonts w:hint="eastAsia" w:ascii="Times New Roman" w:hAnsi="Times New Roman" w:eastAsia="仿宋" w:cs="Times New Roman"/>
          <w:sz w:val="32"/>
          <w:szCs w:val="32"/>
          <w:lang w:eastAsia="zh-CN"/>
        </w:rPr>
        <w:t>减</w:t>
      </w:r>
      <w:r>
        <w:rPr>
          <w:rFonts w:hint="eastAsia" w:eastAsia="仿宋" w:cs="Times New Roman"/>
          <w:sz w:val="32"/>
          <w:szCs w:val="32"/>
          <w:lang w:eastAsia="zh-CN"/>
        </w:rPr>
        <w:t>持平</w:t>
      </w:r>
      <w:r>
        <w:rPr>
          <w:rFonts w:hint="eastAsia" w:ascii="Times New Roman" w:hAnsi="Times New Roman" w:eastAsia="仿宋" w:cs="Times New Roman"/>
          <w:sz w:val="32"/>
          <w:szCs w:val="32"/>
          <w:lang w:val="en-US" w:eastAsia="zh-CN"/>
        </w:rPr>
        <w:t>，</w:t>
      </w:r>
      <w:r>
        <w:rPr>
          <w:rFonts w:hint="eastAsia" w:eastAsia="仿宋" w:cs="Times New Roman"/>
          <w:sz w:val="32"/>
          <w:szCs w:val="32"/>
          <w:lang w:val="en-US" w:eastAsia="zh-CN"/>
        </w:rPr>
        <w:t>无增减变化</w:t>
      </w:r>
      <w:r>
        <w:rPr>
          <w:rFonts w:ascii="Times New Roman" w:hAnsi="Times New Roman" w:eastAsia="仿宋" w:cs="Times New Roman"/>
          <w:sz w:val="32"/>
          <w:szCs w:val="32"/>
        </w:rPr>
        <w:t>。具体安排情况为：</w:t>
      </w:r>
    </w:p>
    <w:p>
      <w:pPr>
        <w:ind w:firstLine="630"/>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（一）</w:t>
      </w:r>
      <w:r>
        <w:rPr>
          <w:rFonts w:ascii="Times New Roman" w:hAnsi="Times New Roman" w:eastAsia="仿宋" w:cs="Times New Roman"/>
          <w:sz w:val="32"/>
          <w:szCs w:val="32"/>
        </w:rPr>
        <w:t>公务用车购置及运行费。</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5</w:t>
      </w:r>
      <w:r>
        <w:rPr>
          <w:rFonts w:ascii="Times New Roman" w:hAnsi="Times New Roman" w:eastAsia="仿宋" w:cs="Times New Roman"/>
          <w:sz w:val="32"/>
          <w:szCs w:val="32"/>
        </w:rPr>
        <w:t>年预算安排0万元，与202</w:t>
      </w:r>
      <w:r>
        <w:rPr>
          <w:rFonts w:hint="eastAsia" w:eastAsia="仿宋" w:cs="Times New Roman"/>
          <w:sz w:val="32"/>
          <w:szCs w:val="32"/>
          <w:lang w:val="en-US" w:eastAsia="zh-CN"/>
        </w:rPr>
        <w:t>4</w:t>
      </w:r>
      <w:r>
        <w:rPr>
          <w:rFonts w:ascii="Times New Roman" w:hAnsi="Times New Roman" w:eastAsia="仿宋" w:cs="Times New Roman"/>
          <w:sz w:val="32"/>
          <w:szCs w:val="32"/>
        </w:rPr>
        <w:t>年持平，无增减变化</w:t>
      </w:r>
      <w:r>
        <w:rPr>
          <w:rFonts w:hint="eastAsia" w:ascii="Times New Roman" w:hAnsi="Times New Roman" w:eastAsia="仿宋" w:cs="Times New Roman"/>
          <w:sz w:val="32"/>
          <w:szCs w:val="32"/>
          <w:lang w:eastAsia="zh-CN"/>
        </w:rPr>
        <w:t>，原因是我单位无公务用车</w:t>
      </w:r>
      <w:r>
        <w:rPr>
          <w:rFonts w:ascii="Times New Roman" w:hAnsi="Times New Roman" w:eastAsia="仿宋" w:cs="Times New Roman"/>
          <w:sz w:val="32"/>
          <w:szCs w:val="32"/>
        </w:rPr>
        <w:t>。</w:t>
      </w:r>
      <w:r>
        <w:rPr>
          <w:rFonts w:ascii="Times New Roman" w:hAnsi="Times New Roman" w:eastAsia="仿宋" w:cs="Times New Roman"/>
          <w:sz w:val="32"/>
          <w:szCs w:val="32"/>
        </w:rPr>
        <w:sym w:font="Wingdings" w:char="F081"/>
      </w:r>
      <w:r>
        <w:rPr>
          <w:rFonts w:ascii="Times New Roman" w:hAnsi="Times New Roman" w:eastAsia="仿宋" w:cs="Times New Roman"/>
          <w:sz w:val="32"/>
          <w:szCs w:val="32"/>
        </w:rPr>
        <w:t>公务用车购置预算安排0万元，与</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4</w:t>
      </w:r>
      <w:r>
        <w:rPr>
          <w:rFonts w:ascii="Times New Roman" w:hAnsi="Times New Roman" w:eastAsia="仿宋" w:cs="Times New Roman"/>
          <w:sz w:val="32"/>
          <w:szCs w:val="32"/>
        </w:rPr>
        <w:t>年持平，无增减变化</w:t>
      </w:r>
      <w:r>
        <w:rPr>
          <w:rFonts w:hint="eastAsia" w:ascii="Times New Roman" w:hAnsi="Times New Roman" w:eastAsia="仿宋" w:cs="Times New Roman"/>
          <w:sz w:val="32"/>
          <w:szCs w:val="32"/>
          <w:lang w:eastAsia="zh-CN"/>
        </w:rPr>
        <w:t>，原因是我单位无公务用车</w:t>
      </w:r>
      <w:r>
        <w:rPr>
          <w:rFonts w:ascii="Times New Roman" w:hAnsi="Times New Roman" w:eastAsia="仿宋" w:cs="Times New Roman"/>
          <w:sz w:val="32"/>
          <w:szCs w:val="32"/>
        </w:rPr>
        <w:t>。</w:t>
      </w:r>
      <w:r>
        <w:rPr>
          <w:rFonts w:ascii="Times New Roman" w:hAnsi="Times New Roman" w:eastAsia="仿宋" w:cs="Times New Roman"/>
          <w:sz w:val="32"/>
          <w:szCs w:val="32"/>
        </w:rPr>
        <w:sym w:font="Wingdings" w:char="F082"/>
      </w:r>
      <w:r>
        <w:rPr>
          <w:rFonts w:ascii="Times New Roman" w:hAnsi="Times New Roman" w:eastAsia="仿宋" w:cs="Times New Roman"/>
          <w:sz w:val="32"/>
          <w:szCs w:val="32"/>
        </w:rPr>
        <w:t>公车运行维护费经费预算安排0万元，与</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4</w:t>
      </w:r>
      <w:r>
        <w:rPr>
          <w:rFonts w:ascii="Times New Roman" w:hAnsi="Times New Roman" w:eastAsia="仿宋" w:cs="Times New Roman"/>
          <w:sz w:val="32"/>
          <w:szCs w:val="32"/>
        </w:rPr>
        <w:t>年持平，无增减变化</w:t>
      </w:r>
      <w:r>
        <w:rPr>
          <w:rFonts w:hint="eastAsia" w:ascii="Times New Roman" w:hAnsi="Times New Roman" w:eastAsia="仿宋" w:cs="Times New Roman"/>
          <w:sz w:val="32"/>
          <w:szCs w:val="32"/>
          <w:lang w:eastAsia="zh-CN"/>
        </w:rPr>
        <w:t>，原因是我单位无公务用车</w:t>
      </w:r>
      <w:r>
        <w:rPr>
          <w:rFonts w:ascii="Times New Roman" w:hAnsi="Times New Roman" w:eastAsia="仿宋" w:cs="Times New Roman"/>
          <w:sz w:val="32"/>
          <w:szCs w:val="32"/>
        </w:rPr>
        <w:t>。</w:t>
      </w:r>
    </w:p>
    <w:p>
      <w:pPr>
        <w:ind w:firstLine="630"/>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（二）</w:t>
      </w:r>
      <w:r>
        <w:rPr>
          <w:rFonts w:ascii="Times New Roman" w:hAnsi="Times New Roman" w:eastAsia="仿宋" w:cs="Times New Roman"/>
          <w:sz w:val="32"/>
          <w:szCs w:val="32"/>
        </w:rPr>
        <w:t>公务接待费。</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5</w:t>
      </w:r>
      <w:r>
        <w:rPr>
          <w:rFonts w:ascii="Times New Roman" w:hAnsi="Times New Roman" w:eastAsia="仿宋" w:cs="Times New Roman"/>
          <w:sz w:val="32"/>
          <w:szCs w:val="32"/>
        </w:rPr>
        <w:t>年预算安排</w:t>
      </w:r>
      <w:r>
        <w:rPr>
          <w:rFonts w:hint="eastAsia" w:eastAsia="仿宋" w:cs="Times New Roman"/>
          <w:sz w:val="32"/>
          <w:szCs w:val="32"/>
          <w:lang w:val="en-US" w:eastAsia="zh-CN"/>
        </w:rPr>
        <w:t>0.2</w:t>
      </w:r>
      <w:r>
        <w:rPr>
          <w:rFonts w:ascii="Times New Roman" w:hAnsi="Times New Roman" w:eastAsia="仿宋" w:cs="Times New Roman"/>
          <w:sz w:val="32"/>
          <w:szCs w:val="32"/>
        </w:rPr>
        <w:t>万元，与</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4</w:t>
      </w:r>
      <w:r>
        <w:rPr>
          <w:rFonts w:ascii="Times New Roman" w:hAnsi="Times New Roman" w:eastAsia="仿宋" w:cs="Times New Roman"/>
          <w:sz w:val="32"/>
          <w:szCs w:val="32"/>
        </w:rPr>
        <w:t>年持平，无增减变化。</w:t>
      </w:r>
    </w:p>
    <w:p>
      <w:pPr>
        <w:numPr>
          <w:ilvl w:val="0"/>
          <w:numId w:val="0"/>
        </w:numPr>
        <w:spacing w:before="10" w:after="10" w:line="360" w:lineRule="auto"/>
        <w:ind w:firstLine="640" w:firstLineChars="200"/>
        <w:outlineLvl w:val="2"/>
      </w:pPr>
      <w:r>
        <w:rPr>
          <w:rFonts w:hint="eastAsia" w:ascii="Times New Roman" w:hAnsi="Times New Roman" w:eastAsia="仿宋" w:cs="Times New Roman"/>
          <w:sz w:val="32"/>
          <w:szCs w:val="32"/>
          <w:lang w:eastAsia="zh-CN"/>
        </w:rPr>
        <w:t>（三）</w:t>
      </w:r>
      <w:r>
        <w:rPr>
          <w:rFonts w:ascii="Times New Roman" w:hAnsi="Times New Roman" w:eastAsia="仿宋" w:cs="Times New Roman"/>
          <w:sz w:val="32"/>
          <w:szCs w:val="32"/>
        </w:rPr>
        <w:t>因公出国（境）费。</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4</w:t>
      </w:r>
      <w:r>
        <w:rPr>
          <w:rFonts w:ascii="Times New Roman" w:hAnsi="Times New Roman" w:eastAsia="仿宋" w:cs="Times New Roman"/>
          <w:sz w:val="32"/>
          <w:szCs w:val="32"/>
        </w:rPr>
        <w:t>预算安排0万元，与</w:t>
      </w:r>
      <w:r>
        <w:rPr>
          <w:rFonts w:hint="eastAsia" w:ascii="Times New Roman" w:hAnsi="Times New Roman" w:eastAsia="仿宋" w:cs="Times New Roman"/>
          <w:sz w:val="32"/>
          <w:szCs w:val="32"/>
          <w:lang w:eastAsia="zh-CN"/>
        </w:rPr>
        <w:t>202</w:t>
      </w:r>
      <w:r>
        <w:rPr>
          <w:rFonts w:hint="eastAsia" w:eastAsia="仿宋" w:cs="Times New Roman"/>
          <w:sz w:val="32"/>
          <w:szCs w:val="32"/>
          <w:lang w:val="en-US" w:eastAsia="zh-CN"/>
        </w:rPr>
        <w:t>3</w:t>
      </w:r>
      <w:r>
        <w:rPr>
          <w:rFonts w:ascii="Times New Roman" w:hAnsi="Times New Roman" w:eastAsia="仿宋" w:cs="Times New Roman"/>
          <w:sz w:val="32"/>
          <w:szCs w:val="32"/>
        </w:rPr>
        <w:t>年持平，无增减变化</w:t>
      </w:r>
      <w:r>
        <w:rPr>
          <w:rFonts w:hint="eastAsia" w:ascii="Times New Roman" w:hAnsi="Times New Roman" w:eastAsia="仿宋" w:cs="Times New Roman"/>
          <w:sz w:val="32"/>
          <w:szCs w:val="32"/>
          <w:lang w:eastAsia="zh-CN"/>
        </w:rPr>
        <w:t>，原因是本年度无</w:t>
      </w:r>
      <w:r>
        <w:rPr>
          <w:rFonts w:ascii="Times New Roman" w:hAnsi="Times New Roman" w:eastAsia="仿宋" w:cs="Times New Roman"/>
          <w:sz w:val="32"/>
          <w:szCs w:val="32"/>
        </w:rPr>
        <w:t>因公出国（境）</w:t>
      </w:r>
      <w:r>
        <w:rPr>
          <w:rFonts w:hint="eastAsia" w:ascii="Times New Roman" w:hAnsi="Times New Roman" w:eastAsia="仿宋" w:cs="Times New Roman"/>
          <w:sz w:val="32"/>
          <w:szCs w:val="32"/>
          <w:lang w:eastAsia="zh-CN"/>
        </w:rPr>
        <w:t>计划</w:t>
      </w:r>
      <w:r>
        <w:rPr>
          <w:rFonts w:ascii="Times New Roman" w:hAnsi="Times New Roman" w:eastAsia="仿宋" w:cs="Times New Roman"/>
          <w:sz w:val="32"/>
          <w:szCs w:val="32"/>
        </w:rPr>
        <w:t>。</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方正仿宋_GBK" w:hAnsi="方正仿宋_GBK" w:eastAsia="方正仿宋_GBK" w:cs="方正仿宋_GBK"/>
          <w:b/>
          <w:color w:val="000000"/>
          <w:sz w:val="28"/>
        </w:rPr>
        <w:t>1、金融工作经费绩效目标表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13020925P000178100014</w:t>
            </w:r>
          </w:p>
        </w:tc>
        <w:tc>
          <w:tcPr>
            <w:tcW w:w="2835" w:type="dxa"/>
            <w:vAlign w:val="center"/>
          </w:tcPr>
          <w:p>
            <w:pPr>
              <w:pStyle w:val="12"/>
            </w:pPr>
            <w:r>
              <w:t>项目名称</w:t>
            </w:r>
          </w:p>
        </w:tc>
        <w:tc>
          <w:tcPr>
            <w:tcW w:w="6095" w:type="dxa"/>
            <w:gridSpan w:val="3"/>
            <w:vAlign w:val="center"/>
          </w:tcPr>
          <w:p>
            <w:pPr>
              <w:pStyle w:val="14"/>
            </w:pPr>
            <w:r>
              <w:t>金融工作经费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51.80</w:t>
            </w:r>
          </w:p>
        </w:tc>
        <w:tc>
          <w:tcPr>
            <w:tcW w:w="2835" w:type="dxa"/>
            <w:vAlign w:val="center"/>
          </w:tcPr>
          <w:p>
            <w:pPr>
              <w:pStyle w:val="12"/>
            </w:pPr>
            <w:r>
              <w:t>其中：财政    资金</w:t>
            </w:r>
          </w:p>
        </w:tc>
        <w:tc>
          <w:tcPr>
            <w:tcW w:w="2551" w:type="dxa"/>
            <w:vAlign w:val="center"/>
          </w:tcPr>
          <w:p>
            <w:pPr>
              <w:pStyle w:val="14"/>
            </w:pPr>
            <w:r>
              <w:t>51.80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协调金融机构与全区经济社会发展的衔接，打击非法集资领域宣传。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20%</w:t>
            </w:r>
          </w:p>
        </w:tc>
        <w:tc>
          <w:tcPr>
            <w:tcW w:w="2835" w:type="dxa"/>
            <w:vAlign w:val="center"/>
          </w:tcPr>
          <w:p>
            <w:pPr>
              <w:pStyle w:val="15"/>
            </w:pPr>
            <w:r>
              <w:t>50%</w:t>
            </w:r>
          </w:p>
        </w:tc>
        <w:tc>
          <w:tcPr>
            <w:tcW w:w="2551" w:type="dxa"/>
            <w:vAlign w:val="center"/>
          </w:tcPr>
          <w:p>
            <w:pPr>
              <w:pStyle w:val="15"/>
            </w:pPr>
            <w:r>
              <w:t>70%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1.协调金融机构与全区经济社会发展的衔接，引导金融支持实体经济。</w:t>
            </w:r>
          </w:p>
          <w:p>
            <w:pPr>
              <w:pStyle w:val="14"/>
            </w:pPr>
            <w:r>
              <w:t>2.常态化开展打击非法集资宣传活动，场镇宣传覆盖率达到100%。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完成率</w:t>
            </w:r>
          </w:p>
        </w:tc>
        <w:tc>
          <w:tcPr>
            <w:tcW w:w="5386" w:type="dxa"/>
            <w:vAlign w:val="center"/>
          </w:tcPr>
          <w:p>
            <w:pPr>
              <w:pStyle w:val="14"/>
            </w:pPr>
            <w:r>
              <w:t>引入金融、类金融机构数量</w:t>
            </w:r>
          </w:p>
        </w:tc>
        <w:tc>
          <w:tcPr>
            <w:tcW w:w="2268" w:type="dxa"/>
            <w:vAlign w:val="center"/>
          </w:tcPr>
          <w:p>
            <w:pPr>
              <w:pStyle w:val="14"/>
            </w:pPr>
            <w:r>
              <w:t>≥2家</w:t>
            </w:r>
          </w:p>
        </w:tc>
        <w:tc>
          <w:tcPr>
            <w:tcW w:w="1276" w:type="dxa"/>
            <w:vAlign w:val="center"/>
          </w:tcPr>
          <w:p>
            <w:pPr>
              <w:pStyle w:val="14"/>
            </w:pPr>
            <w:r>
              <w:t>根据三定方案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5386" w:type="dxa"/>
            <w:vAlign w:val="center"/>
          </w:tcPr>
          <w:p>
            <w:pPr>
              <w:pStyle w:val="14"/>
            </w:pPr>
            <w:r>
              <w:t>小额贷款审计范围全覆盖</w:t>
            </w:r>
          </w:p>
        </w:tc>
        <w:tc>
          <w:tcPr>
            <w:tcW w:w="2268" w:type="dxa"/>
            <w:vAlign w:val="center"/>
          </w:tcPr>
          <w:p>
            <w:pPr>
              <w:pStyle w:val="14"/>
            </w:pPr>
            <w:r>
              <w:t>≥100%</w:t>
            </w:r>
          </w:p>
        </w:tc>
        <w:tc>
          <w:tcPr>
            <w:tcW w:w="1276" w:type="dxa"/>
            <w:vAlign w:val="center"/>
          </w:tcPr>
          <w:p>
            <w:pPr>
              <w:pStyle w:val="14"/>
            </w:pPr>
            <w:r>
              <w:t>省市小额贷款公司审计要求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完成工作时间</w:t>
            </w:r>
          </w:p>
        </w:tc>
        <w:tc>
          <w:tcPr>
            <w:tcW w:w="5386" w:type="dxa"/>
            <w:vAlign w:val="center"/>
          </w:tcPr>
          <w:p>
            <w:pPr>
              <w:pStyle w:val="14"/>
            </w:pPr>
            <w:r>
              <w:t>2025.12.31之前完成</w:t>
            </w:r>
          </w:p>
        </w:tc>
        <w:tc>
          <w:tcPr>
            <w:tcW w:w="2268" w:type="dxa"/>
            <w:vAlign w:val="center"/>
          </w:tcPr>
          <w:p>
            <w:pPr>
              <w:pStyle w:val="14"/>
            </w:pPr>
            <w:r>
              <w:t>≥100%</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控制在预算资金内</w:t>
            </w:r>
          </w:p>
        </w:tc>
        <w:tc>
          <w:tcPr>
            <w:tcW w:w="2268" w:type="dxa"/>
            <w:vAlign w:val="center"/>
          </w:tcPr>
          <w:p>
            <w:pPr>
              <w:pStyle w:val="14"/>
            </w:pPr>
            <w:r>
              <w:t>≤51.8万元</w:t>
            </w:r>
          </w:p>
        </w:tc>
        <w:tc>
          <w:tcPr>
            <w:tcW w:w="1276" w:type="dxa"/>
            <w:vAlign w:val="center"/>
          </w:tcPr>
          <w:p>
            <w:pPr>
              <w:pStyle w:val="14"/>
            </w:pPr>
            <w:r>
              <w:t>年度工作计划</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5386" w:type="dxa"/>
            <w:vAlign w:val="center"/>
          </w:tcPr>
          <w:p>
            <w:pPr>
              <w:pStyle w:val="14"/>
            </w:pPr>
            <w:r>
              <w:t>银企对接次数</w:t>
            </w:r>
          </w:p>
        </w:tc>
        <w:tc>
          <w:tcPr>
            <w:tcW w:w="2268" w:type="dxa"/>
            <w:vAlign w:val="center"/>
          </w:tcPr>
          <w:p>
            <w:pPr>
              <w:pStyle w:val="14"/>
            </w:pPr>
            <w:r>
              <w:t>≥10次</w:t>
            </w:r>
          </w:p>
        </w:tc>
        <w:tc>
          <w:tcPr>
            <w:tcW w:w="1276" w:type="dxa"/>
            <w:vAlign w:val="center"/>
          </w:tcPr>
          <w:p>
            <w:pPr>
              <w:pStyle w:val="14"/>
            </w:pPr>
            <w:r>
              <w:t>根据三定方案</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推动工作开展</w:t>
            </w:r>
          </w:p>
        </w:tc>
        <w:tc>
          <w:tcPr>
            <w:tcW w:w="5386" w:type="dxa"/>
            <w:vAlign w:val="center"/>
          </w:tcPr>
          <w:p>
            <w:pPr>
              <w:pStyle w:val="14"/>
            </w:pPr>
            <w:r>
              <w:t>打击非法集资宣传</w:t>
            </w:r>
          </w:p>
        </w:tc>
        <w:tc>
          <w:tcPr>
            <w:tcW w:w="2268" w:type="dxa"/>
            <w:vAlign w:val="center"/>
          </w:tcPr>
          <w:p>
            <w:pPr>
              <w:pStyle w:val="14"/>
            </w:pPr>
            <w:r>
              <w:t>≥2次</w:t>
            </w:r>
          </w:p>
        </w:tc>
        <w:tc>
          <w:tcPr>
            <w:tcW w:w="1276" w:type="dxa"/>
            <w:vAlign w:val="center"/>
          </w:tcPr>
          <w:p>
            <w:pPr>
              <w:pStyle w:val="14"/>
            </w:pPr>
            <w:r>
              <w:t>根据处非办要求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5386" w:type="dxa"/>
            <w:vAlign w:val="center"/>
          </w:tcPr>
          <w:p>
            <w:pPr>
              <w:pStyle w:val="14"/>
            </w:pPr>
            <w:r>
              <w:t>满意度</w:t>
            </w:r>
          </w:p>
        </w:tc>
        <w:tc>
          <w:tcPr>
            <w:tcW w:w="2268" w:type="dxa"/>
            <w:vAlign w:val="center"/>
          </w:tcPr>
          <w:p>
            <w:pPr>
              <w:pStyle w:val="14"/>
            </w:pPr>
            <w:r>
              <w:t>≥90%</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822001曹妃甸区政府金融发展服务中心本级</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曹妃甸区政府金融发展服务中心本级上年末固定资产金额为0.00万元（详见下表）。本年度拟购置固定资产总额为0.00万元，已按要求列入政府采购预算，详见政府采购预算表。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822001曹妃甸区政府金融发展服务中心本级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lvl>
  </w:abstractNum>
  <w:abstractNum w:abstractNumId="1">
    <w:nsid w:val="6BDE3FD8"/>
    <w:multiLevelType w:val="singleLevel"/>
    <w:tmpl w:val="6BDE3FD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rsids>
    <w:rsidRoot w:val="00000000"/>
    <w:rsid w:val="A8F7C0C6"/>
    <w:rsid w:val="BEDF0033"/>
    <w:rsid w:val="E4FB730D"/>
    <w:rsid w:val="ECEF2380"/>
    <w:rsid w:val="FE7FF2F6"/>
    <w:rsid w:val="FF59C7E5"/>
    <w:rsid w:val="FFD9E760"/>
    <w:rsid w:val="FFFF89B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TotalTime>4</TotalTime>
  <ScaleCrop>false</ScaleCrop>
  <LinksUpToDate>false</LinksUpToDate>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2025-02-26T01:08:00Z</dcterms:created>
  <dc:creator>user</dc:creator>
  <cp:lastModifiedBy>user</cp:lastModifiedBy>
  <dcterms:modified xsi:type="dcterms:W3CDTF">2025-02-25T16:38:14Z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