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2" o:spt="3" type="#_x0000_t3" style="position:absolute;left:0pt;margin-left:53.5pt;margin-top:232.45pt;height:121.95pt;width:121.95pt;z-index:251663360;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path/>
            <v:fill focussize="0,0"/>
            <v:stroke on="f" weight="1pt" joinstyle="miter"/>
            <v:imagedata o:title=""/>
            <o:lock v:ext="edit"/>
            <v:textbox>
              <w:txbxContent>
                <w:p>
                  <w:pPr>
                    <w:jc w:val="center"/>
                  </w:pPr>
                </w:p>
              </w:txbxContent>
            </v:textbox>
          </v:shape>
        </w:pict>
      </w:r>
      <w:r>
        <w:pict>
          <v:rect id="矩形 14" o:spid="_x0000_s1041"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0"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path/>
            <v:fill on="t" focussize="0,0"/>
            <v:stroke on="f" weight="1pt" joinstyle="miter"/>
            <v:imagedata o:title=""/>
            <o:lock v:ext="edit"/>
            <v:textbox>
              <w:txbxContent>
                <w:p>
                  <w:pPr>
                    <w:jc w:val="center"/>
                  </w:pPr>
                </w:p>
              </w:txbxContent>
            </v:textbox>
          </v:shape>
        </w:pict>
      </w:r>
      <w:r>
        <w:pict>
          <v:group id="_x0000_s1037" o:spid="_x0000_s1037" o:spt="203" style="position:absolute;left:0pt;margin-left:1.25pt;margin-top:821.7pt;height:21.45pt;width:595.25pt;z-index:251664384;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4" o:spid="_x0000_s1034" o:spt="203" style="position:absolute;left:0pt;margin-left:-2.5pt;margin-top:-3.35pt;height:69.6pt;width:600.25pt;z-index:-251657216;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drawing>
          <wp:inline distT="0" distB="0" distL="114300" distR="114300">
            <wp:extent cx="5866765" cy="7823200"/>
            <wp:effectExtent l="0" t="0" r="635" b="6350"/>
            <wp:docPr id="16" name="图片 16" descr="e9ce5a8eeb6da8cd557b9dc2b37f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9ce5a8eeb6da8cd557b9dc2b37f834"/>
                    <pic:cNvPicPr>
                      <a:picLocks noChangeAspect="1"/>
                    </pic:cNvPicPr>
                  </pic:nvPicPr>
                  <pic:blipFill>
                    <a:blip r:embed="rId21"/>
                    <a:stretch>
                      <a:fillRect/>
                    </a:stretch>
                  </pic:blipFill>
                  <pic:spPr>
                    <a:xfrm>
                      <a:off x="0" y="0"/>
                      <a:ext cx="5866765" cy="7823200"/>
                    </a:xfrm>
                    <a:prstGeom prst="rect">
                      <a:avLst/>
                    </a:prstGeom>
                  </pic:spPr>
                </pic:pic>
              </a:graphicData>
            </a:graphic>
          </wp:inline>
        </w:drawing>
      </w:r>
      <w:r>
        <w:rPr>
          <w:rFonts w:hint="eastAsia" w:ascii="黑体" w:hAnsi="Times New Roman" w:eastAsia="黑体" w:cs="Times New Roman"/>
          <w:sz w:val="48"/>
          <w:szCs w:val="48"/>
        </w:rPr>
        <w:tab/>
      </w:r>
    </w:p>
    <w:p>
      <w:pPr>
        <w:widowControl/>
        <w:spacing w:line="600" w:lineRule="exact"/>
        <w:jc w:val="left"/>
        <w:rPr>
          <w:rFonts w:ascii="黑体" w:hAnsi="黑体" w:eastAsia="黑体" w:cs="黑体"/>
          <w:bCs/>
          <w:sz w:val="32"/>
          <w:szCs w:val="32"/>
          <w:highlight w:val="yellow"/>
        </w:rPr>
      </w:pP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path/>
            <v:fill type="pattern" on="t" o:title="5%" focussize="0,0" r:id="rId22"/>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60" w:firstLineChars="200"/>
        <w:jc w:val="left"/>
        <w:rPr>
          <w:rFonts w:ascii="宋体-方正超大字符集" w:hAnsi="宋体-方正超大字符集" w:eastAsia="宋体-方正超大字符集" w:cs="宋体-方正超大字符集"/>
          <w:bCs/>
          <w:sz w:val="28"/>
          <w:szCs w:val="28"/>
        </w:rPr>
      </w:pPr>
      <w:r>
        <w:rPr>
          <w:rFonts w:hint="eastAsia" w:ascii="宋体-方正超大字符集" w:hAnsi="宋体-方正超大字符集" w:eastAsia="宋体-方正超大字符集" w:cs="宋体-方正超大字符集"/>
          <w:bCs/>
          <w:sz w:val="28"/>
          <w:szCs w:val="28"/>
        </w:rPr>
        <w:t>贯彻国家、省、市关于建设、城市管理、房地产管理的方针、政策和法律、法规，拟定全区城市基础设施建设、工程建设、村镇建设、建筑业、房地产开发、城市管理、房地产管理等有关政策、实施细则草案并进行行业管理。制定工程建设市场方面的各项规划措施，负责全区工程建设管理工作以及重大项目建设的监督管理工作。负责制定市政、环卫、园林绿化、环境美化、供水、供暖、燃气、污水处理等发展规划和年度计划，并组织实施。组织起草曹妃甸区住房制度改革的实施草案及相关配套政策，拟定住房建设和发展的中长期规划；负责全区住房解危、解困，保障性住房建设工作的年度规划、协调、安置及管理。</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唐山市曹妃甸区住房和城乡建设局</w:t>
            </w:r>
            <w:r>
              <w:rPr>
                <w:rFonts w:ascii="仿宋_GB2312" w:hAnsi="Cambria" w:eastAsia="仿宋_GB2312" w:cs="ArialUnicodeMS"/>
                <w:kern w:val="0"/>
                <w:sz w:val="28"/>
                <w:szCs w:val="28"/>
              </w:rPr>
              <w:t xml:space="preserve"> (</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736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25168179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path/>
            <v:fill type="pattern" on="t" o:title="5%" focussize="0,0" r:id="rId22"/>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本部门2019年度收入总计（含结转和结余）53099.61万元，支出总计</w:t>
      </w:r>
      <w:r>
        <w:rPr>
          <w:rFonts w:ascii="仿宋_GB2312" w:hAnsi="Times New Roman" w:eastAsia="仿宋_GB2312" w:cs="DengXian-Regular"/>
          <w:sz w:val="32"/>
          <w:szCs w:val="32"/>
        </w:rPr>
        <w:t>47290.71</w:t>
      </w:r>
      <w:r>
        <w:rPr>
          <w:rFonts w:hint="eastAsia" w:ascii="仿宋_GB2312" w:hAnsi="Times New Roman" w:eastAsia="仿宋_GB2312" w:cs="DengXian-Regular"/>
          <w:sz w:val="32"/>
          <w:szCs w:val="32"/>
        </w:rPr>
        <w:t>万元。与2018年度决算相比，收入减少50583.82万元，下降48.79%，主要原因是节约开支；支出减少58835.72万元，下降55.44%，主要原因是节约开支。</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b/>
          <w:bCs/>
          <w:sz w:val="32"/>
          <w:szCs w:val="32"/>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b/>
          <w:bCs/>
          <w:sz w:val="32"/>
          <w:szCs w:val="32"/>
        </w:rPr>
        <w:t>53099.61</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b/>
          <w:bCs/>
          <w:sz w:val="32"/>
          <w:szCs w:val="32"/>
        </w:rPr>
        <w:t>53099.61</w:t>
      </w:r>
      <w:r>
        <w:rPr>
          <w:rFonts w:hint="eastAsia" w:ascii="仿宋_GB2312" w:hAnsi="Times New Roman" w:eastAsia="仿宋_GB2312" w:cs="DengXian-Regular"/>
          <w:sz w:val="32"/>
          <w:szCs w:val="32"/>
        </w:rPr>
        <w:t>万元，占100%。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47290.71</w:t>
      </w:r>
      <w:r>
        <w:rPr>
          <w:rFonts w:hint="eastAsia" w:ascii="仿宋_GB2312" w:hAnsi="Times New Roman" w:eastAsia="仿宋_GB2312" w:cs="DengXian-Regular"/>
          <w:sz w:val="32"/>
          <w:szCs w:val="32"/>
        </w:rPr>
        <w:t>万元，其中：基本支出2927.75万元，占6.19%；项目支出</w:t>
      </w:r>
      <w:r>
        <w:rPr>
          <w:rFonts w:ascii="仿宋_GB2312" w:hAnsi="Times New Roman" w:eastAsia="仿宋_GB2312" w:cs="DengXian-Regular"/>
          <w:sz w:val="32"/>
          <w:szCs w:val="32"/>
        </w:rPr>
        <w:t>44362.96</w:t>
      </w:r>
      <w:r>
        <w:rPr>
          <w:rFonts w:hint="eastAsia" w:ascii="仿宋_GB2312" w:hAnsi="Times New Roman" w:eastAsia="仿宋_GB2312" w:cs="DengXian-Regular"/>
          <w:sz w:val="32"/>
          <w:szCs w:val="32"/>
        </w:rPr>
        <w:t>万元，占93.81%。如图所示：</w:t>
      </w:r>
    </w:p>
    <w:p>
      <w:r>
        <w:drawing>
          <wp:inline distT="0" distB="0" distL="0" distR="0">
            <wp:extent cx="5055870" cy="2785745"/>
            <wp:effectExtent l="4445" t="4445" r="6985" b="1016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hint="eastAsia" w:ascii="仿宋_GB2312" w:hAnsi="Times New Roman" w:eastAsia="仿宋_GB2312" w:cs="DengXian-Regular"/>
          <w:b/>
          <w:bCs/>
          <w:sz w:val="32"/>
          <w:szCs w:val="32"/>
        </w:rPr>
        <w:t>53099.61</w:t>
      </w:r>
      <w:r>
        <w:rPr>
          <w:rFonts w:hint="eastAsia" w:ascii="仿宋_GB2312" w:hAnsi="Times New Roman" w:eastAsia="仿宋_GB2312" w:cs="DengXian-Regular"/>
          <w:sz w:val="32"/>
          <w:szCs w:val="32"/>
        </w:rPr>
        <w:t>万元,比2018年度减少50583.82万元，降低48.79%，主要是节约开支；本年支出</w:t>
      </w:r>
      <w:r>
        <w:rPr>
          <w:rFonts w:ascii="仿宋_GB2312" w:hAnsi="Times New Roman" w:eastAsia="仿宋_GB2312" w:cs="DengXian-Regular"/>
          <w:sz w:val="32"/>
          <w:szCs w:val="32"/>
        </w:rPr>
        <w:t>47290.71</w:t>
      </w:r>
      <w:r>
        <w:rPr>
          <w:rFonts w:hint="eastAsia" w:ascii="仿宋_GB2312" w:hAnsi="Times New Roman" w:eastAsia="仿宋_GB2312" w:cs="DengXian-Regular"/>
          <w:sz w:val="32"/>
          <w:szCs w:val="32"/>
        </w:rPr>
        <w:t>万元，减少58835.72万元，降低55.44%，主要是节约开支。具体情况如下：</w:t>
      </w:r>
    </w:p>
    <w:p>
      <w:pPr>
        <w:rPr>
          <w:rFonts w:ascii="宋体" w:hAnsi="宋体" w:eastAsia="宋体" w:cs="宋体"/>
          <w:color w:val="000000"/>
          <w:kern w:val="0"/>
          <w:sz w:val="22"/>
        </w:rPr>
      </w:pPr>
      <w:r>
        <w:rPr>
          <w:rFonts w:hint="eastAsia" w:ascii="仿宋_GB2312" w:hAnsi="Times New Roman" w:eastAsia="仿宋_GB2312" w:cs="DengXian-Regular"/>
          <w:sz w:val="32"/>
          <w:szCs w:val="32"/>
        </w:rPr>
        <w:t>一般公共预算财政拨款本年收入</w:t>
      </w:r>
      <w:r>
        <w:rPr>
          <w:rFonts w:ascii="仿宋_GB2312" w:hAnsi="Times New Roman" w:eastAsia="仿宋_GB2312" w:cs="DengXian-Regular"/>
          <w:sz w:val="32"/>
          <w:szCs w:val="32"/>
        </w:rPr>
        <w:t>42218.36</w:t>
      </w:r>
      <w:r>
        <w:rPr>
          <w:rFonts w:hint="eastAsia" w:ascii="仿宋_GB2312" w:hAnsi="Times New Roman" w:eastAsia="仿宋_GB2312" w:cs="DengXian-Regular"/>
          <w:sz w:val="32"/>
          <w:szCs w:val="32"/>
        </w:rPr>
        <w:t>万元，比上年增加9446.57万元；主要是预算安排；本年支出36956.23万元，比上年增加2490.86万元，增长7.23%，主要是预算安排。</w:t>
      </w:r>
    </w:p>
    <w:p>
      <w:pPr>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政府性基金预算财政拨款本年收入10881.25万元，比上年减少60030.39万元，降低84.66%，主要原因是节约开支；本年支出10334.48万元，比上年减少61326.58万元，降低85.58%，主要是节约开支。</w:t>
      </w:r>
    </w:p>
    <w:p>
      <w:r>
        <w:drawing>
          <wp:inline distT="0" distB="0" distL="0" distR="0">
            <wp:extent cx="4399915" cy="2700655"/>
            <wp:effectExtent l="4445" t="4445" r="15240" b="1905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color w:val="FF0000"/>
          <w:sz w:val="32"/>
          <w:szCs w:val="32"/>
        </w:rPr>
      </w:pPr>
      <w:r>
        <w:rPr>
          <w:rFonts w:hint="eastAsia" w:ascii="仿宋_GB2312" w:hAnsi="Times New Roman" w:eastAsia="仿宋_GB2312" w:cs="DengXian-Regular"/>
          <w:sz w:val="32"/>
          <w:szCs w:val="32"/>
        </w:rPr>
        <w:t>本部门2019年度财政拨款本年收入53099.61万元</w:t>
      </w:r>
      <w:r>
        <w:rPr>
          <w:rFonts w:hint="eastAsia" w:ascii="仿宋_GB2312" w:hAnsi="Times New Roman" w:eastAsia="仿宋_GB2312" w:cs="DengXian-Regular"/>
          <w:color w:val="FF0000"/>
          <w:sz w:val="32"/>
          <w:szCs w:val="32"/>
        </w:rPr>
        <w:t>，</w:t>
      </w:r>
      <w:r>
        <w:rPr>
          <w:rFonts w:hint="eastAsia" w:ascii="仿宋_GB2312" w:hAnsi="Times New Roman" w:eastAsia="仿宋_GB2312" w:cs="DengXian-Regular"/>
          <w:sz w:val="32"/>
          <w:szCs w:val="32"/>
        </w:rPr>
        <w:t>完成年初预算的1495.12%（如图4）,比年初预算增加49548.08万元，决算数大于预算数主要原因是追加预算；本年支出47290.71万元，完成年初预算的1331.56%,比年初预算增加43739.18万元，决算数大于预算数主要原因是主要是追加预算。具体情况如下：</w:t>
      </w:r>
    </w:p>
    <w:p>
      <w:pPr>
        <w:adjustRightInd w:val="0"/>
        <w:snapToGrid w:val="0"/>
        <w:spacing w:line="580" w:lineRule="exact"/>
        <w:ind w:left="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1.一般公共预算财政拨款本年收入完成年初预算1188.74%，比年初预算增加38666.83万元，主要是追加预算；支出完成年初预算1331.56%，比年初预算增加43739.18万元，主要是追加预算。</w:t>
      </w:r>
    </w:p>
    <w:p>
      <w:pPr>
        <w:adjustRightInd w:val="0"/>
        <w:snapToGrid w:val="0"/>
        <w:spacing w:line="580" w:lineRule="exact"/>
        <w:ind w:left="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2.政府性基金预算财政拨款本年收入比年初预算增加10881.25万元，主要是追加预算；支出完成比年初预算增加10881.25万元，主要是追加预算。</w:t>
      </w:r>
    </w:p>
    <w:p>
      <w:pPr>
        <w:rPr>
          <w:color w:val="FF0000"/>
        </w:rPr>
      </w:pPr>
    </w:p>
    <w:p/>
    <w:p>
      <w:r>
        <w:drawing>
          <wp:inline distT="0" distB="0" distL="0" distR="0">
            <wp:extent cx="5274310" cy="3076575"/>
            <wp:effectExtent l="5080" t="4445" r="16510" b="508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47290.71</w:t>
      </w:r>
      <w:r>
        <w:rPr>
          <w:rFonts w:hint="eastAsia" w:ascii="仿宋_GB2312" w:hAnsi="Times New Roman" w:eastAsia="仿宋_GB2312" w:cs="DengXian-Regular"/>
          <w:sz w:val="32"/>
          <w:szCs w:val="32"/>
        </w:rPr>
        <w:t>万元，主要用于以下方面教育（类）支出</w:t>
      </w:r>
      <w:r>
        <w:rPr>
          <w:rFonts w:ascii="仿宋_GB2312" w:hAnsi="Times New Roman" w:eastAsia="仿宋_GB2312" w:cs="DengXian-Regular"/>
          <w:sz w:val="32"/>
          <w:szCs w:val="32"/>
        </w:rPr>
        <w:t>297</w:t>
      </w:r>
      <w:r>
        <w:rPr>
          <w:rFonts w:hint="eastAsia" w:ascii="仿宋_GB2312" w:hAnsi="Times New Roman" w:eastAsia="仿宋_GB2312" w:cs="DengXian-Regular"/>
          <w:sz w:val="32"/>
          <w:szCs w:val="32"/>
        </w:rPr>
        <w:t>万元，占0.63%；社会保障和就业（类）支出</w:t>
      </w:r>
      <w:r>
        <w:rPr>
          <w:rFonts w:ascii="仿宋_GB2312" w:hAnsi="Times New Roman" w:eastAsia="仿宋_GB2312" w:cs="DengXian-Regular"/>
          <w:sz w:val="32"/>
          <w:szCs w:val="32"/>
        </w:rPr>
        <w:t>219.15</w:t>
      </w:r>
      <w:r>
        <w:rPr>
          <w:rFonts w:hint="eastAsia" w:ascii="仿宋_GB2312" w:hAnsi="Times New Roman" w:eastAsia="仿宋_GB2312" w:cs="DengXian-Regular"/>
          <w:sz w:val="32"/>
          <w:szCs w:val="32"/>
        </w:rPr>
        <w:t>万元，占0.46%；卫生健康支出</w:t>
      </w:r>
      <w:r>
        <w:rPr>
          <w:rFonts w:ascii="仿宋_GB2312" w:hAnsi="Times New Roman" w:eastAsia="仿宋_GB2312" w:cs="DengXian-Regular"/>
          <w:sz w:val="32"/>
          <w:szCs w:val="32"/>
        </w:rPr>
        <w:t>226.3</w:t>
      </w:r>
      <w:r>
        <w:rPr>
          <w:rFonts w:hint="eastAsia" w:ascii="仿宋_GB2312" w:hAnsi="Times New Roman" w:eastAsia="仿宋_GB2312" w:cs="DengXian-Regular"/>
          <w:sz w:val="32"/>
          <w:szCs w:val="32"/>
        </w:rPr>
        <w:t>占0.48%；节能环保支出</w:t>
      </w:r>
      <w:r>
        <w:rPr>
          <w:rFonts w:ascii="仿宋_GB2312" w:hAnsi="Times New Roman" w:eastAsia="仿宋_GB2312" w:cs="DengXian-Regular"/>
          <w:sz w:val="32"/>
          <w:szCs w:val="32"/>
        </w:rPr>
        <w:t>14568.63</w:t>
      </w:r>
      <w:r>
        <w:rPr>
          <w:rFonts w:hint="eastAsia" w:ascii="仿宋_GB2312" w:hAnsi="Times New Roman" w:eastAsia="仿宋_GB2312" w:cs="DengXian-Regular"/>
          <w:sz w:val="32"/>
          <w:szCs w:val="32"/>
        </w:rPr>
        <w:t>万元，占30.81%；城乡社区支出</w:t>
      </w:r>
      <w:r>
        <w:rPr>
          <w:rFonts w:ascii="仿宋_GB2312" w:hAnsi="Times New Roman" w:eastAsia="仿宋_GB2312" w:cs="DengXian-Regular"/>
          <w:sz w:val="32"/>
          <w:szCs w:val="32"/>
        </w:rPr>
        <w:t>29823.64</w:t>
      </w:r>
      <w:r>
        <w:rPr>
          <w:rFonts w:hint="eastAsia" w:ascii="仿宋_GB2312" w:hAnsi="Times New Roman" w:eastAsia="仿宋_GB2312" w:cs="DengXian-Regular"/>
          <w:sz w:val="32"/>
          <w:szCs w:val="32"/>
        </w:rPr>
        <w:t>万元，占63.06%；交通运输支出</w:t>
      </w:r>
      <w:r>
        <w:rPr>
          <w:rFonts w:ascii="仿宋_GB2312" w:hAnsi="Times New Roman" w:eastAsia="仿宋_GB2312" w:cs="DengXian-Regular"/>
          <w:sz w:val="32"/>
          <w:szCs w:val="32"/>
        </w:rPr>
        <w:t>994</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39</w:t>
      </w:r>
      <w:r>
        <w:rPr>
          <w:rFonts w:hint="eastAsia" w:ascii="仿宋_GB2312" w:hAnsi="Times New Roman" w:eastAsia="仿宋_GB2312" w:cs="DengXian-Regular"/>
          <w:sz w:val="32"/>
          <w:szCs w:val="32"/>
        </w:rPr>
        <w:t>万元，占2.10%；住房保障（类）支出861.59万元，占1.82%;其他支出</w:t>
      </w:r>
      <w:r>
        <w:rPr>
          <w:rFonts w:ascii="仿宋_GB2312" w:hAnsi="Times New Roman" w:eastAsia="仿宋_GB2312" w:cs="DengXian-Regular"/>
          <w:sz w:val="32"/>
          <w:szCs w:val="32"/>
        </w:rPr>
        <w:t>300</w:t>
      </w:r>
      <w:r>
        <w:rPr>
          <w:rFonts w:hint="eastAsia" w:ascii="仿宋_GB2312" w:hAnsi="Times New Roman" w:eastAsia="仿宋_GB2312" w:cs="DengXian-Regular"/>
          <w:sz w:val="32"/>
          <w:szCs w:val="32"/>
        </w:rPr>
        <w:t>万元，占0.64% 。</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r>
        <w:rPr>
          <w:rFonts w:ascii="仿宋_GB2312" w:hAnsi="Times New Roman" w:eastAsia="仿宋_GB2312" w:cs="DengXian-Regular"/>
          <w:sz w:val="32"/>
          <w:szCs w:val="32"/>
        </w:rPr>
        <w:drawing>
          <wp:inline distT="0" distB="0" distL="0" distR="0">
            <wp:extent cx="5274310" cy="3076575"/>
            <wp:effectExtent l="5080" t="4445" r="16510" b="5080"/>
            <wp:docPr id="2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年度财政拨款基本支出2927.75万元，其中：人员经费 2745.22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182.53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本部门2019年度“三公”经费支出共计4.12万元，完成预算的16.55%,较预算减少20.78万元，降低83.45%，主要是节约开支；较2018年度减少5.34万元，降低56.45%，主要是节约开支。具体情况如下：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本部门2019年度无本单位组织的出国（境）团组。与年初预算持平，与2018年决算支出持平。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（二）公务用车购置及运行维护费支出3.77万元。</w:t>
      </w:r>
      <w:r>
        <w:rPr>
          <w:rFonts w:hint="eastAsia" w:ascii="仿宋_GB2312" w:hAnsi="Times New Roman" w:eastAsia="仿宋_GB2312" w:cs="DengXian-Regular"/>
          <w:sz w:val="32"/>
          <w:szCs w:val="32"/>
        </w:rPr>
        <w:t>本部门2019年度公务用车购置及运行维护费较预算减少20.23万元，降低64.29%,主要是节约开支；较上年减少4.8万元，降低56%,主要是节约开支。</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本部门2019年度公务用车购置量0辆，发生“公务用车购置”经费支出0万元。与年初预算持平，与2018年决算支出持平。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本部门2019年度单位公务用车保有量4辆。公车运行维护费支出较预算减少20.23万元，降低84.29%,主要是节约开支；较上年减少4.8万元，降低56%，主要是节约开支。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（三）公务接待费支出0.35万元。</w:t>
      </w:r>
      <w:r>
        <w:rPr>
          <w:rFonts w:hint="eastAsia" w:ascii="仿宋_GB2312" w:hAnsi="Times New Roman" w:eastAsia="仿宋_GB2312" w:cs="DengXian-Regular"/>
          <w:sz w:val="32"/>
          <w:szCs w:val="32"/>
        </w:rPr>
        <w:t>本部门2019年度公务接待共3批次、67人次。公务接待费支出较预算减少0.55万元，降低61.11%,主要是节约开支；较上年度减少0.54万元，降低60.67%,主要是节约开支。</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57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根据预算绩效管理要求，本部门组织对2019年度一般公共预算项目支出全面开展绩效自评;</w:t>
      </w:r>
    </w:p>
    <w:p>
      <w:pPr>
        <w:spacing w:line="57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一</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统一领导、分级实施。主管局领导主持召开专题会议，安排部署绩效自评工作，各处室按项目具体实施。</w:t>
      </w:r>
    </w:p>
    <w:p>
      <w:pPr>
        <w:shd w:val="solid" w:color="FFFFFF" w:fill="auto"/>
        <w:autoSpaceDN w:val="0"/>
        <w:spacing w:line="420" w:lineRule="atLeast"/>
        <w:jc w:val="left"/>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二</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绩效导向、目标控制。坚持事前要设定绩效目标，事中监控目标实现进程，事后进行绩效评价，提升了财政资金使用的产出、效果和持续影响力，做到“少花钱、多办事”和“花同样的钱，办更好的事”。</w:t>
      </w:r>
    </w:p>
    <w:p>
      <w:pPr>
        <w:shd w:val="solid" w:color="FFFFFF" w:fill="auto"/>
        <w:autoSpaceDN w:val="0"/>
        <w:spacing w:line="420" w:lineRule="atLeast"/>
        <w:ind w:firstLine="540"/>
        <w:jc w:val="left"/>
        <w:rPr>
          <w:rFonts w:ascii="仿宋_GB2312" w:hAnsi="Times New Roman" w:eastAsia="仿宋_GB2312" w:cs="DengXian-Regular"/>
          <w:sz w:val="32"/>
          <w:szCs w:val="32"/>
        </w:rPr>
      </w:pP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三</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稳步推进、务求实效。将预算绩效管理要求与本单位实际相结合，整体谋划，分步实施，稳步推进部门预算整体支出绩效管理，务求取得实实在在的效果。</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）“一港双城”（城镇化）建设工作，任务按照市达要求稳步推进。按照曹妃甸区“深入落实</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一港双城</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战略”工作总要求，根据</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年工作安排，对领导小组办公室进行了优化，夯实了高层决策指挥、部门协调联动、港城办全面统筹的组织架构。</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）“双代煤”改造。一期任务气代煤截至目前，燃气壁挂炉已完成</w:t>
      </w:r>
      <w:r>
        <w:rPr>
          <w:rFonts w:ascii="仿宋_GB2312" w:hAnsi="Times New Roman" w:eastAsia="仿宋_GB2312" w:cs="DengXian-Regular"/>
          <w:sz w:val="32"/>
          <w:szCs w:val="32"/>
        </w:rPr>
        <w:t>16820</w:t>
      </w:r>
      <w:r>
        <w:rPr>
          <w:rFonts w:hint="eastAsia" w:ascii="仿宋_GB2312" w:hAnsi="Times New Roman" w:eastAsia="仿宋_GB2312" w:cs="DengXian-Regular"/>
          <w:sz w:val="32"/>
          <w:szCs w:val="32"/>
        </w:rPr>
        <w:t>户，完成率</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，燃气村内管线和村外主管线均已全部完成，完成率</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，已完成点火，具备取暖条件。电代煤任务数</w:t>
      </w:r>
      <w:r>
        <w:rPr>
          <w:rFonts w:ascii="仿宋_GB2312" w:hAnsi="Times New Roman" w:eastAsia="仿宋_GB2312" w:cs="DengXian-Regular"/>
          <w:sz w:val="32"/>
          <w:szCs w:val="32"/>
        </w:rPr>
        <w:t>6919</w:t>
      </w:r>
      <w:r>
        <w:rPr>
          <w:rFonts w:hint="eastAsia" w:ascii="仿宋_GB2312" w:hAnsi="Times New Roman" w:eastAsia="仿宋_GB2312" w:cs="DengXian-Regular"/>
          <w:sz w:val="32"/>
          <w:szCs w:val="32"/>
        </w:rPr>
        <w:t>户</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实际改造完成</w:t>
      </w:r>
      <w:r>
        <w:rPr>
          <w:rFonts w:ascii="仿宋_GB2312" w:hAnsi="Times New Roman" w:eastAsia="仿宋_GB2312" w:cs="DengXian-Regular"/>
          <w:sz w:val="32"/>
          <w:szCs w:val="32"/>
        </w:rPr>
        <w:t>7761</w:t>
      </w:r>
      <w:r>
        <w:rPr>
          <w:rFonts w:hint="eastAsia" w:ascii="仿宋_GB2312" w:hAnsi="Times New Roman" w:eastAsia="仿宋_GB2312" w:cs="DengXian-Regular"/>
          <w:sz w:val="32"/>
          <w:szCs w:val="32"/>
        </w:rPr>
        <w:t>户，接表通电和接线工作已全部完成，电代煤一期改造工作已完成。长输管线供暖改造情况：任务数</w:t>
      </w:r>
      <w:r>
        <w:rPr>
          <w:rFonts w:ascii="仿宋_GB2312" w:hAnsi="Times New Roman" w:eastAsia="仿宋_GB2312" w:cs="DengXian-Regular"/>
          <w:sz w:val="32"/>
          <w:szCs w:val="32"/>
        </w:rPr>
        <w:t>2100</w:t>
      </w:r>
      <w:r>
        <w:rPr>
          <w:rFonts w:hint="eastAsia" w:ascii="仿宋_GB2312" w:hAnsi="Times New Roman" w:eastAsia="仿宋_GB2312" w:cs="DengXian-Regular"/>
          <w:sz w:val="32"/>
          <w:szCs w:val="32"/>
        </w:rPr>
        <w:t>户，涉及四农场、五农场、唐海镇三个场镇，</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个村庄，实际完成覆盖</w:t>
      </w:r>
      <w:r>
        <w:rPr>
          <w:rFonts w:ascii="仿宋_GB2312" w:hAnsi="Times New Roman" w:eastAsia="仿宋_GB2312" w:cs="DengXian-Regular"/>
          <w:sz w:val="32"/>
          <w:szCs w:val="32"/>
        </w:rPr>
        <w:t>2673</w:t>
      </w:r>
      <w:r>
        <w:rPr>
          <w:rFonts w:hint="eastAsia" w:ascii="仿宋_GB2312" w:hAnsi="Times New Roman" w:eastAsia="仿宋_GB2312" w:cs="DengXian-Regular"/>
          <w:sz w:val="32"/>
          <w:szCs w:val="32"/>
        </w:rPr>
        <w:t>户。二期任务气代煤截</w:t>
      </w:r>
      <w:r>
        <w:rPr>
          <w:rFonts w:hint="eastAsia" w:ascii="仿宋_GB2312" w:hAnsi="Times New Roman" w:eastAsia="仿宋_GB2312" w:cs="DengXian-Regular"/>
          <w:sz w:val="32"/>
          <w:szCs w:val="32"/>
          <w:lang w:val="en-US" w:eastAsia="zh-CN"/>
        </w:rPr>
        <w:t>至</w:t>
      </w:r>
      <w:r>
        <w:rPr>
          <w:rFonts w:hint="eastAsia" w:ascii="仿宋_GB2312" w:hAnsi="Times New Roman" w:eastAsia="仿宋_GB2312" w:cs="DengXian-Regular"/>
          <w:sz w:val="32"/>
          <w:szCs w:val="32"/>
        </w:rPr>
        <w:t>目前采暖设备已基本安装完成，村内管网及入户管网已基本完成，村外管网完成</w:t>
      </w:r>
      <w:r>
        <w:rPr>
          <w:rFonts w:ascii="仿宋_GB2312" w:hAnsi="Times New Roman" w:eastAsia="仿宋_GB2312" w:cs="DengXian-Regular"/>
          <w:sz w:val="32"/>
          <w:szCs w:val="32"/>
        </w:rPr>
        <w:t>90%</w:t>
      </w:r>
      <w:r>
        <w:rPr>
          <w:rFonts w:hint="eastAsia" w:ascii="仿宋_GB2312" w:hAnsi="Times New Roman" w:eastAsia="仿宋_GB2312" w:cs="DengXian-Regular"/>
          <w:sz w:val="32"/>
          <w:szCs w:val="32"/>
        </w:rPr>
        <w:t>，正在抓紧实施。电代煤户内采暖设备已安装完成，户内线路改造已完成，户外线路将随着电力部门的外网改造同步实施。地热供暖改造情况：目前已完井</w:t>
      </w:r>
      <w:r>
        <w:rPr>
          <w:rFonts w:ascii="仿宋_GB2312" w:hAnsi="Times New Roman" w:eastAsia="仿宋_GB2312" w:cs="DengXian-Regular"/>
          <w:sz w:val="32"/>
          <w:szCs w:val="32"/>
        </w:rPr>
        <w:t>9</w:t>
      </w:r>
      <w:r>
        <w:rPr>
          <w:rFonts w:hint="eastAsia" w:ascii="仿宋_GB2312" w:hAnsi="Times New Roman" w:eastAsia="仿宋_GB2312" w:cs="DengXian-Regular"/>
          <w:sz w:val="32"/>
          <w:szCs w:val="32"/>
        </w:rPr>
        <w:t>口，热源已完成</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，村外主管网已完成</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，入户管网完成</w:t>
      </w:r>
      <w:r>
        <w:rPr>
          <w:rFonts w:ascii="仿宋_GB2312" w:hAnsi="Times New Roman" w:eastAsia="仿宋_GB2312" w:cs="DengXian-Regular"/>
          <w:sz w:val="32"/>
          <w:szCs w:val="32"/>
        </w:rPr>
        <w:t>70%</w:t>
      </w:r>
      <w:r>
        <w:rPr>
          <w:rFonts w:hint="eastAsia" w:ascii="仿宋_GB2312" w:hAnsi="Times New Roman" w:eastAsia="仿宋_GB2312" w:cs="DengXian-Regular"/>
          <w:sz w:val="32"/>
          <w:szCs w:val="32"/>
        </w:rPr>
        <w:t>。</w:t>
      </w:r>
    </w:p>
    <w:p>
      <w:pPr>
        <w:spacing w:line="57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）园林绿化工作。我区人均绿地面积</w:t>
      </w:r>
      <w:r>
        <w:rPr>
          <w:rFonts w:ascii="仿宋_GB2312" w:hAnsi="Times New Roman" w:eastAsia="仿宋_GB2312" w:cs="DengXian-Regular"/>
          <w:sz w:val="32"/>
          <w:szCs w:val="32"/>
        </w:rPr>
        <w:t>25.15</w:t>
      </w:r>
      <w:r>
        <w:rPr>
          <w:rFonts w:hint="eastAsia" w:ascii="仿宋_GB2312" w:hAnsi="Times New Roman" w:eastAsia="仿宋_GB2312" w:cs="DengXian-Regular"/>
          <w:sz w:val="32"/>
          <w:szCs w:val="32"/>
        </w:rPr>
        <w:t>平方米</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人，完成年初制定的人均绿地面积</w:t>
      </w:r>
      <w:r>
        <w:rPr>
          <w:rFonts w:ascii="仿宋_GB2312" w:hAnsi="Times New Roman" w:eastAsia="仿宋_GB2312" w:cs="DengXian-Regular"/>
          <w:sz w:val="32"/>
          <w:szCs w:val="32"/>
        </w:rPr>
        <w:t>25.05</w:t>
      </w:r>
      <w:r>
        <w:rPr>
          <w:rFonts w:hint="eastAsia" w:ascii="仿宋_GB2312" w:hAnsi="Times New Roman" w:eastAsia="仿宋_GB2312" w:cs="DengXian-Regular"/>
          <w:sz w:val="32"/>
          <w:szCs w:val="32"/>
        </w:rPr>
        <w:t>平方米</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人的责任要求。</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年我局圆满完成了曹妃甸区的各项绿化任务。其中新增绿地面积</w:t>
      </w:r>
      <w:r>
        <w:rPr>
          <w:rFonts w:ascii="仿宋_GB2312" w:hAnsi="Times New Roman" w:eastAsia="仿宋_GB2312" w:cs="DengXian-Regular"/>
          <w:sz w:val="32"/>
          <w:szCs w:val="32"/>
        </w:rPr>
        <w:t>39.73</w:t>
      </w:r>
      <w:r>
        <w:rPr>
          <w:rFonts w:hint="eastAsia" w:ascii="仿宋_GB2312" w:hAnsi="Times New Roman" w:eastAsia="仿宋_GB2312" w:cs="DengXian-Regular"/>
          <w:sz w:val="32"/>
          <w:szCs w:val="32"/>
        </w:rPr>
        <w:t>公顷，新建公园</w:t>
      </w:r>
      <w:r>
        <w:rPr>
          <w:rFonts w:ascii="仿宋_GB2312" w:hAnsi="Times New Roman" w:eastAsia="仿宋_GB2312" w:cs="DengXian-Regular"/>
          <w:sz w:val="32"/>
          <w:szCs w:val="32"/>
        </w:rPr>
        <w:t>6.75</w:t>
      </w:r>
      <w:r>
        <w:rPr>
          <w:rFonts w:hint="eastAsia" w:ascii="仿宋_GB2312" w:hAnsi="Times New Roman" w:eastAsia="仿宋_GB2312" w:cs="DengXian-Regular"/>
          <w:sz w:val="32"/>
          <w:szCs w:val="32"/>
        </w:rPr>
        <w:t>公顷，完成义务植树</w:t>
      </w:r>
      <w:r>
        <w:rPr>
          <w:rFonts w:ascii="仿宋_GB2312" w:hAnsi="Times New Roman" w:eastAsia="仿宋_GB2312" w:cs="DengXian-Regular"/>
          <w:sz w:val="32"/>
          <w:szCs w:val="32"/>
        </w:rPr>
        <w:t>10.35</w:t>
      </w:r>
      <w:r>
        <w:rPr>
          <w:rFonts w:hint="eastAsia" w:ascii="仿宋_GB2312" w:hAnsi="Times New Roman" w:eastAsia="仿宋_GB2312" w:cs="DengXian-Regular"/>
          <w:sz w:val="32"/>
          <w:szCs w:val="32"/>
        </w:rPr>
        <w:t>万株，完善绿廊绿道</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公里，创建省级园林式单位项目</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个（唐山工业职业技术学院）。曹妃甸区三绿指标为：绿化覆盖率</w:t>
      </w:r>
      <w:r>
        <w:rPr>
          <w:rFonts w:ascii="仿宋_GB2312" w:hAnsi="Times New Roman" w:eastAsia="仿宋_GB2312" w:cs="DengXian-Regular"/>
          <w:sz w:val="32"/>
          <w:szCs w:val="32"/>
        </w:rPr>
        <w:t>42.92%</w:t>
      </w:r>
      <w:r>
        <w:rPr>
          <w:rFonts w:hint="eastAsia" w:ascii="仿宋_GB2312" w:hAnsi="Times New Roman" w:eastAsia="仿宋_GB2312" w:cs="DengXian-Regular"/>
          <w:sz w:val="32"/>
          <w:szCs w:val="32"/>
        </w:rPr>
        <w:t>、绿地率</w:t>
      </w:r>
      <w:r>
        <w:rPr>
          <w:rFonts w:ascii="仿宋_GB2312" w:hAnsi="Times New Roman" w:eastAsia="仿宋_GB2312" w:cs="DengXian-Regular"/>
          <w:sz w:val="32"/>
          <w:szCs w:val="32"/>
        </w:rPr>
        <w:t>40.66%</w:t>
      </w:r>
      <w:r>
        <w:rPr>
          <w:rFonts w:hint="eastAsia" w:ascii="仿宋_GB2312" w:hAnsi="Times New Roman" w:eastAsia="仿宋_GB2312" w:cs="DengXian-Regular"/>
          <w:sz w:val="32"/>
          <w:szCs w:val="32"/>
        </w:rPr>
        <w:t>、人均公园绿地面积</w:t>
      </w:r>
      <w:r>
        <w:rPr>
          <w:rFonts w:ascii="仿宋_GB2312" w:hAnsi="Times New Roman" w:eastAsia="仿宋_GB2312" w:cs="DengXian-Regular"/>
          <w:sz w:val="32"/>
          <w:szCs w:val="32"/>
        </w:rPr>
        <w:t>25.15</w:t>
      </w:r>
      <w:r>
        <w:rPr>
          <w:rFonts w:hint="eastAsia" w:ascii="仿宋_GB2312" w:hAnsi="Times New Roman" w:eastAsia="仿宋_GB2312" w:cs="DengXian-Regular"/>
          <w:sz w:val="32"/>
          <w:szCs w:val="32"/>
        </w:rPr>
        <w:t>平方米。绿化覆盖面积</w:t>
      </w:r>
      <w:r>
        <w:rPr>
          <w:rFonts w:ascii="仿宋_GB2312" w:hAnsi="Times New Roman" w:eastAsia="仿宋_GB2312" w:cs="DengXian-Regular"/>
          <w:sz w:val="32"/>
          <w:szCs w:val="32"/>
        </w:rPr>
        <w:t>2285.99</w:t>
      </w:r>
      <w:r>
        <w:rPr>
          <w:rFonts w:hint="eastAsia" w:ascii="仿宋_GB2312" w:hAnsi="Times New Roman" w:eastAsia="仿宋_GB2312" w:cs="DengXian-Regular"/>
          <w:sz w:val="32"/>
          <w:szCs w:val="32"/>
        </w:rPr>
        <w:t>公顷、绿地总面积</w:t>
      </w:r>
      <w:r>
        <w:rPr>
          <w:rFonts w:ascii="仿宋_GB2312" w:hAnsi="Times New Roman" w:eastAsia="仿宋_GB2312" w:cs="DengXian-Regular"/>
          <w:sz w:val="32"/>
          <w:szCs w:val="32"/>
        </w:rPr>
        <w:t>2165.8</w:t>
      </w:r>
      <w:r>
        <w:rPr>
          <w:rFonts w:hint="eastAsia" w:ascii="仿宋_GB2312" w:hAnsi="Times New Roman" w:eastAsia="仿宋_GB2312" w:cs="DengXian-Regular"/>
          <w:sz w:val="32"/>
          <w:szCs w:val="32"/>
        </w:rPr>
        <w:t>公顷，公园绿地面积</w:t>
      </w:r>
      <w:r>
        <w:rPr>
          <w:rFonts w:ascii="仿宋_GB2312" w:hAnsi="Times New Roman" w:eastAsia="仿宋_GB2312" w:cs="DengXian-Regular"/>
          <w:sz w:val="32"/>
          <w:szCs w:val="32"/>
        </w:rPr>
        <w:t>329.41</w:t>
      </w:r>
      <w:r>
        <w:rPr>
          <w:rFonts w:hint="eastAsia" w:ascii="仿宋_GB2312" w:hAnsi="Times New Roman" w:eastAsia="仿宋_GB2312" w:cs="DengXian-Regular"/>
          <w:sz w:val="32"/>
          <w:szCs w:val="32"/>
        </w:rPr>
        <w:t>公顷。</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）垦区棚户区改造。</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年我区棚改项目市达任务指标共计</w:t>
      </w:r>
      <w:r>
        <w:rPr>
          <w:rFonts w:ascii="仿宋_GB2312" w:hAnsi="Times New Roman" w:eastAsia="仿宋_GB2312" w:cs="DengXian-Regular"/>
          <w:sz w:val="32"/>
          <w:szCs w:val="32"/>
        </w:rPr>
        <w:t>71</w:t>
      </w:r>
      <w:r>
        <w:rPr>
          <w:rFonts w:hint="eastAsia" w:ascii="仿宋_GB2312" w:hAnsi="Times New Roman" w:eastAsia="仿宋_GB2312" w:cs="DengXian-Regular"/>
          <w:sz w:val="32"/>
          <w:szCs w:val="32"/>
        </w:rPr>
        <w:t>户，已完工，进入分户验收阶段，提前完成</w:t>
      </w:r>
      <w:r>
        <w:rPr>
          <w:rFonts w:ascii="仿宋_GB2312" w:hAnsi="Times New Roman" w:eastAsia="仿宋_GB2312" w:cs="DengXian-Regular"/>
          <w:sz w:val="32"/>
          <w:szCs w:val="32"/>
        </w:rPr>
        <w:t>2020</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11</w:t>
      </w:r>
      <w:r>
        <w:rPr>
          <w:rFonts w:hint="eastAsia" w:ascii="仿宋_GB2312" w:hAnsi="Times New Roman" w:eastAsia="仿宋_GB2312" w:cs="DengXian-Regular"/>
          <w:sz w:val="32"/>
          <w:szCs w:val="32"/>
        </w:rPr>
        <w:t>月竣工的既定目标。建设地点位于三农场、九农场、十一农场范围内，改造方式为危房原址翻建和维修加固（无配套基础设施建设）该项工作由职工家庭自行组织施工，项目建设期</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年，目前基本建成，正在组织分户验收。</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）建设四个生活垃圾转运站。根据省市要求我区启动四座农村垃圾转运站建设，现正在推进相关工作。按照实际需求，八场建设一座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垃圾压缩中转站；十农场、十一农场合建一座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垃圾压缩中转站；九农场、柳赞镇合建一座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垃圾压缩中转站；六农场、唐海镇合建一座</w:t>
      </w:r>
      <w:r>
        <w:rPr>
          <w:rFonts w:ascii="仿宋_GB2312" w:hAnsi="Times New Roman" w:eastAsia="仿宋_GB2312" w:cs="DengXian-Regular"/>
          <w:sz w:val="32"/>
          <w:szCs w:val="32"/>
        </w:rPr>
        <w:t xml:space="preserve"> 30t/d </w:t>
      </w:r>
      <w:r>
        <w:rPr>
          <w:rFonts w:hint="eastAsia" w:ascii="仿宋_GB2312" w:hAnsi="Times New Roman" w:eastAsia="仿宋_GB2312" w:cs="DengXian-Regular"/>
          <w:sz w:val="32"/>
          <w:szCs w:val="32"/>
        </w:rPr>
        <w:t>垃圾压缩中转站。工程内容主要包括建筑工程、配套安装相应垃圾压缩设备及配套相应箱体、购置垃圾运输车辆及吸污车。目前完成了初步设计评审，设计单位正在按照评审机构要求进一步完善设计。全年度垃圾处理量为</w:t>
      </w:r>
      <w:r>
        <w:rPr>
          <w:rFonts w:ascii="仿宋_GB2312" w:hAnsi="Times New Roman" w:eastAsia="仿宋_GB2312" w:cs="DengXian-Regular"/>
          <w:sz w:val="32"/>
          <w:szCs w:val="32"/>
        </w:rPr>
        <w:t>8.96</w:t>
      </w:r>
      <w:r>
        <w:rPr>
          <w:rFonts w:hint="eastAsia" w:ascii="仿宋_GB2312" w:hAnsi="Times New Roman" w:eastAsia="仿宋_GB2312" w:cs="DengXian-Regular"/>
          <w:sz w:val="32"/>
          <w:szCs w:val="32"/>
        </w:rPr>
        <w:t>万吨，无害化处理率已达</w:t>
      </w:r>
      <w:r>
        <w:rPr>
          <w:rFonts w:ascii="仿宋_GB2312" w:hAnsi="Times New Roman" w:eastAsia="仿宋_GB2312" w:cs="DengXian-Regular"/>
          <w:sz w:val="32"/>
          <w:szCs w:val="32"/>
        </w:rPr>
        <w:t>100%</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）既有建筑节能改造。</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年完成</w:t>
      </w:r>
      <w:r>
        <w:rPr>
          <w:rFonts w:ascii="仿宋_GB2312" w:hAnsi="Times New Roman" w:eastAsia="仿宋_GB2312" w:cs="DengXian-Regular"/>
          <w:sz w:val="32"/>
          <w:szCs w:val="32"/>
        </w:rPr>
        <w:t>9</w:t>
      </w:r>
      <w:r>
        <w:rPr>
          <w:rFonts w:hint="eastAsia" w:ascii="仿宋_GB2312" w:hAnsi="Times New Roman" w:eastAsia="仿宋_GB2312" w:cs="DengXian-Regular"/>
          <w:sz w:val="32"/>
          <w:szCs w:val="32"/>
        </w:rPr>
        <w:t>万平米农村房屋既有建筑节能改造，超额完成了</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万平米改造任务。</w:t>
      </w:r>
    </w:p>
    <w:p>
      <w:pPr>
        <w:pStyle w:val="4"/>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7</w:t>
      </w:r>
      <w:r>
        <w:rPr>
          <w:rFonts w:hint="eastAsia" w:ascii="仿宋_GB2312" w:hAnsi="Times New Roman" w:eastAsia="仿宋_GB2312" w:cs="DengXian-Regular"/>
          <w:sz w:val="32"/>
          <w:szCs w:val="32"/>
        </w:rPr>
        <w:t>）加强城市公交运营监督管理工作，</w:t>
      </w:r>
      <w:r>
        <w:rPr>
          <w:rFonts w:ascii="仿宋_GB2312" w:hAnsi="Times New Roman" w:eastAsia="仿宋_GB2312" w:cs="DengXian-Regular"/>
          <w:sz w:val="32"/>
          <w:szCs w:val="32"/>
        </w:rPr>
        <w:t xml:space="preserve"> 2019</w:t>
      </w:r>
      <w:r>
        <w:rPr>
          <w:rFonts w:hint="eastAsia" w:ascii="仿宋_GB2312" w:hAnsi="Times New Roman" w:eastAsia="仿宋_GB2312" w:cs="DengXian-Regular"/>
          <w:sz w:val="32"/>
          <w:szCs w:val="32"/>
        </w:rPr>
        <w:t>年，区公交公司根据需要开通了九农场、柳赞</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城区公交线路，及火车站接驳线路，截至目前，区公交公司已开通</w:t>
      </w:r>
      <w:r>
        <w:rPr>
          <w:rFonts w:ascii="仿宋_GB2312" w:hAnsi="Times New Roman" w:eastAsia="仿宋_GB2312" w:cs="DengXian-Regular"/>
          <w:sz w:val="32"/>
          <w:szCs w:val="32"/>
        </w:rPr>
        <w:t>22</w:t>
      </w:r>
      <w:r>
        <w:rPr>
          <w:rFonts w:hint="eastAsia" w:ascii="仿宋_GB2312" w:hAnsi="Times New Roman" w:eastAsia="仿宋_GB2312" w:cs="DengXian-Regular"/>
          <w:sz w:val="32"/>
          <w:szCs w:val="32"/>
        </w:rPr>
        <w:t>条公交线路，其中</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条常规公交线路、</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条场镇公交线路、</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条定制公交专线、</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条火车站专线，投入公交车</w:t>
      </w:r>
      <w:r>
        <w:rPr>
          <w:rFonts w:ascii="仿宋_GB2312" w:hAnsi="Times New Roman" w:eastAsia="仿宋_GB2312" w:cs="DengXian-Regular"/>
          <w:sz w:val="32"/>
          <w:szCs w:val="32"/>
        </w:rPr>
        <w:t>123</w:t>
      </w:r>
      <w:r>
        <w:rPr>
          <w:rFonts w:hint="eastAsia" w:ascii="仿宋_GB2312" w:hAnsi="Times New Roman" w:eastAsia="仿宋_GB2312" w:cs="DengXian-Regular"/>
          <w:sz w:val="32"/>
          <w:szCs w:val="32"/>
        </w:rPr>
        <w:t>辆，实现了四大板块间、机关和重点企事业单位及人口聚集区的连通和覆盖。</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年年初至今，累计派发公交车约</w:t>
      </w:r>
      <w:r>
        <w:rPr>
          <w:rFonts w:ascii="仿宋_GB2312" w:hAnsi="Times New Roman" w:eastAsia="仿宋_GB2312" w:cs="DengXian-Regular"/>
          <w:sz w:val="32"/>
          <w:szCs w:val="32"/>
        </w:rPr>
        <w:t>15.6</w:t>
      </w:r>
      <w:r>
        <w:rPr>
          <w:rFonts w:hint="eastAsia" w:ascii="仿宋_GB2312" w:hAnsi="Times New Roman" w:eastAsia="仿宋_GB2312" w:cs="DengXian-Regular"/>
          <w:sz w:val="32"/>
          <w:szCs w:val="32"/>
        </w:rPr>
        <w:t>万班次，运营总里程约</w:t>
      </w:r>
      <w:r>
        <w:rPr>
          <w:rFonts w:ascii="仿宋_GB2312" w:hAnsi="Times New Roman" w:eastAsia="仿宋_GB2312" w:cs="DengXian-Regular"/>
          <w:sz w:val="32"/>
          <w:szCs w:val="32"/>
        </w:rPr>
        <w:t>389.63</w:t>
      </w:r>
      <w:r>
        <w:rPr>
          <w:rFonts w:hint="eastAsia" w:ascii="仿宋_GB2312" w:hAnsi="Times New Roman" w:eastAsia="仿宋_GB2312" w:cs="DengXian-Regular"/>
          <w:sz w:val="32"/>
          <w:szCs w:val="32"/>
        </w:rPr>
        <w:t>万公里，客运总量约</w:t>
      </w:r>
      <w:r>
        <w:rPr>
          <w:rFonts w:ascii="仿宋_GB2312" w:hAnsi="Times New Roman" w:eastAsia="仿宋_GB2312" w:cs="DengXian-Regular"/>
          <w:sz w:val="32"/>
          <w:szCs w:val="32"/>
        </w:rPr>
        <w:t>212.58</w:t>
      </w:r>
      <w:r>
        <w:rPr>
          <w:rFonts w:hint="eastAsia" w:ascii="仿宋_GB2312" w:hAnsi="Times New Roman" w:eastAsia="仿宋_GB2312" w:cs="DengXian-Regular"/>
          <w:sz w:val="32"/>
          <w:szCs w:val="32"/>
        </w:rPr>
        <w:t>万人次（其中老年人免费及其他公益性免费乘车约</w:t>
      </w:r>
      <w:r>
        <w:rPr>
          <w:rFonts w:ascii="仿宋_GB2312" w:hAnsi="Times New Roman" w:eastAsia="仿宋_GB2312" w:cs="DengXian-Regular"/>
          <w:sz w:val="32"/>
          <w:szCs w:val="32"/>
        </w:rPr>
        <w:t>37.57</w:t>
      </w:r>
      <w:r>
        <w:rPr>
          <w:rFonts w:hint="eastAsia" w:ascii="仿宋_GB2312" w:hAnsi="Times New Roman" w:eastAsia="仿宋_GB2312" w:cs="DengXian-Regular"/>
          <w:sz w:val="32"/>
          <w:szCs w:val="32"/>
        </w:rPr>
        <w:t>万人次），基本满足了四个板块主要区域乘坐城市公交出行的需求。</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w:t>
      </w:r>
      <w:r>
        <w:rPr>
          <w:rFonts w:hint="eastAsia" w:ascii="仿宋_GB2312" w:hAnsi="Times New Roman" w:eastAsia="仿宋_GB2312" w:cs="DengXian-Regular"/>
          <w:sz w:val="32"/>
          <w:szCs w:val="32"/>
        </w:rPr>
        <w:t>）滨海里廉租住房后续简装工程。较好地完成了</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年初设定的工作任务，已完成项目的</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，资金拨付达到</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。我区滨海里</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套廉租房后续室内简装工程共计</w:t>
      </w:r>
      <w:r>
        <w:rPr>
          <w:rFonts w:ascii="仿宋_GB2312" w:hAnsi="Times New Roman" w:eastAsia="仿宋_GB2312" w:cs="DengXian-Regular"/>
          <w:sz w:val="32"/>
          <w:szCs w:val="32"/>
        </w:rPr>
        <w:t>255</w:t>
      </w:r>
      <w:r>
        <w:rPr>
          <w:rFonts w:hint="eastAsia" w:ascii="仿宋_GB2312" w:hAnsi="Times New Roman" w:eastAsia="仿宋_GB2312" w:cs="DengXian-Regular"/>
          <w:sz w:val="32"/>
          <w:szCs w:val="32"/>
        </w:rPr>
        <w:t>套，</w:t>
      </w:r>
      <w:r>
        <w:rPr>
          <w:rFonts w:ascii="仿宋_GB2312" w:hAnsi="Times New Roman" w:eastAsia="仿宋_GB2312" w:cs="DengXian-Regular"/>
          <w:sz w:val="32"/>
          <w:szCs w:val="32"/>
        </w:rPr>
        <w:t xml:space="preserve"> 2019</w:t>
      </w:r>
      <w:r>
        <w:rPr>
          <w:rFonts w:hint="eastAsia" w:ascii="仿宋_GB2312" w:hAnsi="Times New Roman" w:eastAsia="仿宋_GB2312" w:cs="DengXian-Regular"/>
          <w:sz w:val="32"/>
          <w:szCs w:val="32"/>
        </w:rPr>
        <w:t>年财政预算安排共计</w:t>
      </w:r>
      <w:r>
        <w:rPr>
          <w:rFonts w:ascii="仿宋_GB2312" w:hAnsi="Times New Roman" w:eastAsia="仿宋_GB2312" w:cs="DengXian-Regular"/>
          <w:sz w:val="32"/>
          <w:szCs w:val="32"/>
        </w:rPr>
        <w:t>147.1</w:t>
      </w:r>
      <w:r>
        <w:rPr>
          <w:rFonts w:hint="eastAsia" w:ascii="仿宋_GB2312" w:hAnsi="Times New Roman" w:eastAsia="仿宋_GB2312" w:cs="DengXian-Regular"/>
          <w:sz w:val="32"/>
          <w:szCs w:val="32"/>
        </w:rPr>
        <w:t>万元。建设资金做到了专款专用，专户管理。截</w:t>
      </w:r>
      <w:r>
        <w:rPr>
          <w:rFonts w:hint="eastAsia" w:ascii="仿宋_GB2312" w:hAnsi="Times New Roman" w:eastAsia="仿宋_GB2312" w:cs="DengXian-Regular"/>
          <w:sz w:val="32"/>
          <w:szCs w:val="32"/>
          <w:lang w:val="en-US" w:eastAsia="zh-CN"/>
        </w:rPr>
        <w:t>至</w:t>
      </w:r>
      <w:bookmarkStart w:id="0" w:name="_GoBack"/>
      <w:bookmarkEnd w:id="0"/>
      <w:r>
        <w:rPr>
          <w:rFonts w:hint="eastAsia" w:ascii="仿宋_GB2312" w:hAnsi="Times New Roman" w:eastAsia="仿宋_GB2312" w:cs="DengXian-Regular"/>
          <w:sz w:val="32"/>
          <w:szCs w:val="32"/>
        </w:rPr>
        <w:t>目前，项目已交付使用，预算资金已全部拨付到位。</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ascii="仿宋_GB2312" w:hAnsi="Times New Roman" w:eastAsia="仿宋_GB2312" w:cs="DengXian-Regular"/>
          <w:sz w:val="32"/>
          <w:szCs w:val="32"/>
        </w:rPr>
        <w:t>132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9万元，比2018年度减少24.59万元，降低15.66%。主要原因是节约支出。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color w:val="FF0000"/>
          <w:sz w:val="32"/>
          <w:szCs w:val="32"/>
        </w:rPr>
      </w:pPr>
      <w:r>
        <w:rPr>
          <w:rFonts w:hint="eastAsia" w:ascii="仿宋_GB2312" w:hAnsi="Times New Roman" w:eastAsia="仿宋_GB2312" w:cs="DengXian-Regular"/>
          <w:sz w:val="32"/>
          <w:szCs w:val="32"/>
        </w:rPr>
        <w:t>从采本部门2019年度政府采购支出总额9066.17万元，购类型来看，</w:t>
      </w:r>
      <w:r>
        <w:rPr>
          <w:rFonts w:ascii="仿宋_GB2312" w:hAnsi="仿宋_GB2312" w:eastAsia="仿宋_GB2312" w:cs="仿宋_GB2312"/>
          <w:kern w:val="0"/>
          <w:sz w:val="32"/>
          <w:szCs w:val="32"/>
        </w:rPr>
        <w:t>政府采购货物支出</w:t>
      </w:r>
      <w:r>
        <w:rPr>
          <w:rFonts w:hint="eastAsia" w:ascii="仿宋_GB2312" w:hAnsi="仿宋_GB2312" w:eastAsia="仿宋_GB2312" w:cs="仿宋_GB2312"/>
          <w:kern w:val="0"/>
          <w:sz w:val="32"/>
          <w:szCs w:val="32"/>
        </w:rPr>
        <w:t>30.6</w:t>
      </w:r>
      <w:r>
        <w:rPr>
          <w:rFonts w:ascii="仿宋_GB2312" w:hAnsi="仿宋_GB2312" w:eastAsia="仿宋_GB2312" w:cs="仿宋_GB2312"/>
          <w:kern w:val="0"/>
          <w:sz w:val="32"/>
          <w:szCs w:val="32"/>
        </w:rPr>
        <w:t xml:space="preserve"> 万元、政府采购工程支出</w:t>
      </w:r>
      <w:r>
        <w:rPr>
          <w:rFonts w:hint="eastAsia" w:ascii="仿宋_GB2312" w:hAnsi="仿宋_GB2312" w:eastAsia="仿宋_GB2312" w:cs="仿宋_GB2312"/>
          <w:kern w:val="0"/>
          <w:sz w:val="32"/>
          <w:szCs w:val="32"/>
        </w:rPr>
        <w:t>1051.22</w:t>
      </w:r>
      <w:r>
        <w:rPr>
          <w:rFonts w:ascii="仿宋_GB2312" w:hAnsi="仿宋_GB2312" w:eastAsia="仿宋_GB2312" w:cs="仿宋_GB2312"/>
          <w:kern w:val="0"/>
          <w:sz w:val="32"/>
          <w:szCs w:val="32"/>
        </w:rPr>
        <w:t>万元、政府采购服务支出</w:t>
      </w:r>
      <w:r>
        <w:rPr>
          <w:rFonts w:hint="eastAsia" w:ascii="仿宋_GB2312" w:hAnsi="仿宋_GB2312" w:eastAsia="仿宋_GB2312" w:cs="仿宋_GB2312"/>
          <w:kern w:val="0"/>
          <w:sz w:val="32"/>
          <w:szCs w:val="32"/>
        </w:rPr>
        <w:t>7984.35</w:t>
      </w:r>
      <w:r>
        <w:rPr>
          <w:rFonts w:ascii="仿宋_GB2312" w:hAnsi="仿宋_GB2312" w:eastAsia="仿宋_GB2312" w:cs="仿宋_GB2312"/>
          <w:kern w:val="0"/>
          <w:sz w:val="32"/>
          <w:szCs w:val="32"/>
        </w:rPr>
        <w:t>万元。授予中小企业合同金</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其中授予小微企业合同金额</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万元。</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59辆，与上年持平。其中，副部（省）级及以上领导用车0辆，主要领导干部用车0辆，机要通信用车0辆，应急保障用车0辆，执法执勤用车4辆，特种专业技术用车0辆，离退休干部用车0辆，其他用车55辆，其他用车主要是工程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本部门2019年度国有资本经营预算财政拨款无收支及结转结余情况，故国有资本经营预算财政拨款支出决算表以空表列示。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jc w:val="center"/>
        <w:rPr>
          <w:rFonts w:ascii="黑体" w:hAnsi="黑体" w:eastAsia="黑体" w:cs="黑体"/>
          <w:sz w:val="56"/>
          <w:szCs w:val="72"/>
        </w:r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8281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path/>
            <v:fill type="pattern" on="t" o:title="5%" focussize="0,0" r:id="rId22"/>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Pr>
        <w:tabs>
          <w:tab w:val="left" w:pos="886"/>
        </w:tabs>
        <w:jc w:val="left"/>
        <w:sectPr>
          <w:headerReference r:id="rId14" w:type="first"/>
          <w:footerReference r:id="rId16" w:type="first"/>
          <w:headerReference r:id="rId13" w:type="default"/>
          <w:footerReference r:id="rId15" w:type="default"/>
          <w:pgSz w:w="11906" w:h="16838"/>
          <w:pgMar w:top="2041" w:right="1531" w:bottom="2041" w:left="1531" w:header="851" w:footer="992" w:gutter="0"/>
          <w:pgNumType w:fmt="numberInDash"/>
          <w:cols w:space="0" w:num="1"/>
          <w:titlePg/>
          <w:docGrid w:type="lines" w:linePitch="312" w:charSpace="0"/>
        </w:sect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17"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path/>
            <v:fill type="pattern" on="t" o:title="5%" focussize="0,0" r:id="rId22"/>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8"/>
        <w:tblW w:w="5000" w:type="pct"/>
        <w:tblInd w:w="0" w:type="dxa"/>
        <w:tblLayout w:type="autofit"/>
        <w:tblCellMar>
          <w:top w:w="0" w:type="dxa"/>
          <w:left w:w="108" w:type="dxa"/>
          <w:bottom w:w="0" w:type="dxa"/>
          <w:right w:w="108" w:type="dxa"/>
        </w:tblCellMar>
      </w:tblPr>
      <w:tblGrid>
        <w:gridCol w:w="5016"/>
        <w:gridCol w:w="659"/>
        <w:gridCol w:w="2604"/>
        <w:gridCol w:w="3516"/>
        <w:gridCol w:w="660"/>
        <w:gridCol w:w="1617"/>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1773"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3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92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245"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3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576" w:type="pct"/>
            <w:tcBorders>
              <w:top w:val="nil"/>
              <w:left w:val="nil"/>
              <w:bottom w:val="nil"/>
              <w:right w:val="nil"/>
            </w:tcBorders>
            <w:shd w:val="clear" w:color="auto" w:fill="FFFFFF"/>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255" w:hRule="atLeast"/>
        </w:trPr>
        <w:tc>
          <w:tcPr>
            <w:tcW w:w="1773" w:type="pct"/>
            <w:tcBorders>
              <w:top w:val="nil"/>
              <w:left w:val="nil"/>
              <w:bottom w:val="nil"/>
              <w:right w:val="nil"/>
            </w:tcBorders>
            <w:shd w:val="clear" w:color="auto" w:fill="FFFFFF"/>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23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92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245"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38" w:type="pct"/>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576" w:type="pct"/>
            <w:tcBorders>
              <w:top w:val="nil"/>
              <w:left w:val="nil"/>
              <w:bottom w:val="nil"/>
              <w:right w:val="nil"/>
            </w:tcBorders>
            <w:shd w:val="clear" w:color="auto" w:fill="FFFFFF"/>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rPr>
          <w:trHeight w:val="308" w:hRule="atLeast"/>
        </w:trPr>
        <w:tc>
          <w:tcPr>
            <w:tcW w:w="2940" w:type="pct"/>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2059" w:type="pct"/>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2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76"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8" w:type="pc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宋体"/>
                <w:color w:val="000000"/>
                <w:sz w:val="22"/>
              </w:rPr>
            </w:pPr>
          </w:p>
        </w:tc>
        <w:tc>
          <w:tcPr>
            <w:tcW w:w="92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8" w:type="pct"/>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宋体"/>
                <w:color w:val="000000"/>
                <w:sz w:val="22"/>
              </w:rPr>
            </w:pPr>
          </w:p>
        </w:tc>
        <w:tc>
          <w:tcPr>
            <w:tcW w:w="576"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42,218.36</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10,881.25</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r>
      <w:tr>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29,823.64</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861.59</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53,099.61</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47,290.71</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8,522.27</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14,331.17</w:t>
            </w: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2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245" w:type="pct"/>
            <w:tcBorders>
              <w:top w:val="nil"/>
              <w:left w:val="nil"/>
              <w:bottom w:val="single" w:color="000000" w:sz="4" w:space="0"/>
              <w:right w:val="single" w:color="000000" w:sz="4" w:space="0"/>
            </w:tcBorders>
            <w:shd w:val="clear" w:color="FFFFFF" w:fill="FFFFFF"/>
            <w:noWrap/>
            <w:vAlign w:val="center"/>
          </w:tcPr>
          <w:p>
            <w:pPr>
              <w:jc w:val="left"/>
              <w:rPr>
                <w:rFonts w:ascii="宋体" w:hAnsi="宋体" w:eastAsia="宋体" w:cs="宋体"/>
                <w:color w:val="000000"/>
                <w:sz w:val="22"/>
              </w:rPr>
            </w:pP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576" w:type="pct"/>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773" w:type="pc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2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61,621.88</w:t>
            </w:r>
          </w:p>
        </w:tc>
        <w:tc>
          <w:tcPr>
            <w:tcW w:w="1245"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238" w:type="pc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57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61,621.88</w:t>
            </w:r>
          </w:p>
        </w:tc>
      </w:tr>
      <w:tr>
        <w:tblPrEx>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注：本表反映部门本年度的总收支和年末结转结余情况。</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5000" w:type="pct"/>
        <w:tblInd w:w="0" w:type="dxa"/>
        <w:tblLayout w:type="autofit"/>
        <w:tblCellMar>
          <w:top w:w="0" w:type="dxa"/>
          <w:left w:w="108" w:type="dxa"/>
          <w:bottom w:w="0" w:type="dxa"/>
          <w:right w:w="108" w:type="dxa"/>
        </w:tblCellMar>
      </w:tblPr>
      <w:tblGrid>
        <w:gridCol w:w="2183"/>
        <w:gridCol w:w="222"/>
        <w:gridCol w:w="222"/>
        <w:gridCol w:w="5716"/>
        <w:gridCol w:w="1214"/>
        <w:gridCol w:w="1214"/>
        <w:gridCol w:w="660"/>
        <w:gridCol w:w="660"/>
        <w:gridCol w:w="660"/>
        <w:gridCol w:w="660"/>
        <w:gridCol w:w="661"/>
      </w:tblGrid>
      <w:tr>
        <w:tblPrEx>
          <w:tblCellMar>
            <w:top w:w="0" w:type="dxa"/>
            <w:left w:w="108" w:type="dxa"/>
            <w:bottom w:w="0" w:type="dxa"/>
            <w:right w:w="108" w:type="dxa"/>
          </w:tblCellMar>
        </w:tblPrEx>
        <w:trPr>
          <w:trHeight w:val="390" w:hRule="atLeast"/>
        </w:trPr>
        <w:tc>
          <w:tcPr>
            <w:tcW w:w="143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89" w:type="pct"/>
            <w:gridSpan w:val="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收入决算表</w:t>
            </w: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143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4" w:type="pct"/>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646" w:hRule="atLeast"/>
        </w:trPr>
        <w:tc>
          <w:tcPr>
            <w:tcW w:w="3231"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3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4" w:type="pct"/>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231"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6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36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108" w:type="dxa"/>
            <w:bottom w:w="0" w:type="dxa"/>
            <w:right w:w="108" w:type="dxa"/>
          </w:tblCellMar>
        </w:tblPrEx>
        <w:trPr>
          <w:trHeight w:val="315" w:hRule="atLeast"/>
        </w:trPr>
        <w:tc>
          <w:tcPr>
            <w:tcW w:w="160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29"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5" w:hRule="atLeast"/>
        </w:trPr>
        <w:tc>
          <w:tcPr>
            <w:tcW w:w="160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6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5" w:hRule="atLeast"/>
        </w:trPr>
        <w:tc>
          <w:tcPr>
            <w:tcW w:w="160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6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3231"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6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6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0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0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0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20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0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8" w:hRule="atLeast"/>
        </w:trPr>
        <w:tc>
          <w:tcPr>
            <w:tcW w:w="3231"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53,099.61</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53,099.61</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288.69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288.69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人力资源和社会保障管理事务</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2080106</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就业管理事务</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279.94</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279.94</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196.39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196.39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2080506</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机关事业单位职业年金缴费支出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83.55</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83.55</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134.88</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134.88</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污染防治</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大气</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16,177.10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32,979.88</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32,979.88</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城乡社区管理事务</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6,750.82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6,750.82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2,092.73</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2,092.73</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2120104</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城管执法</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1,018.85</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1,018.85</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其他城乡社区管理事务支出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3,639.24</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3,639.24</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城乡社区公共设施</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11,833.28</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11,833.28</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小城镇基础设施建设</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5,378.10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5,378.10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其他城乡社区公共设施支出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6,455.19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6,455.19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城乡社区环境卫生</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3,514.53</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3,514.53</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城乡社区环境卫生</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3,514.53</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3,514.53</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9,746.21</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9,746.21</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城市建设支出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4,691.17</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4,691.17</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城市基础设施配套费安排的支出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城市公共设施</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交通运输支出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其他交通运输支出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公共交通运营补助</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2,133.22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2,133.22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保障性安居工程支出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2,004.79</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2,004.79</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廉租住房</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665.92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665.92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2210103</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棚户区改造</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212.00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2210106</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公共租赁住房</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2210107</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保障性住房租金补贴</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其他保障性安居工程支出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1,098.57</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1,098.57</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60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2299901</w:t>
            </w:r>
          </w:p>
        </w:tc>
        <w:tc>
          <w:tcPr>
            <w:tcW w:w="162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36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0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5000" w:type="pct"/>
        <w:tblInd w:w="0" w:type="dxa"/>
        <w:tblLayout w:type="fixed"/>
        <w:tblCellMar>
          <w:top w:w="0" w:type="dxa"/>
          <w:left w:w="108" w:type="dxa"/>
          <w:bottom w:w="0" w:type="dxa"/>
          <w:right w:w="108" w:type="dxa"/>
        </w:tblCellMar>
      </w:tblPr>
      <w:tblGrid>
        <w:gridCol w:w="3867"/>
        <w:gridCol w:w="239"/>
        <w:gridCol w:w="262"/>
        <w:gridCol w:w="3372"/>
        <w:gridCol w:w="1317"/>
        <w:gridCol w:w="1230"/>
        <w:gridCol w:w="1337"/>
        <w:gridCol w:w="757"/>
        <w:gridCol w:w="830"/>
        <w:gridCol w:w="861"/>
      </w:tblGrid>
      <w:tr>
        <w:tblPrEx>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支出决算表</w:t>
            </w:r>
          </w:p>
        </w:tc>
      </w:tr>
      <w:tr>
        <w:tblPrEx>
          <w:tblCellMar>
            <w:top w:w="0" w:type="dxa"/>
            <w:left w:w="108" w:type="dxa"/>
            <w:bottom w:w="0" w:type="dxa"/>
            <w:right w:w="108" w:type="dxa"/>
          </w:tblCellMar>
        </w:tblPrEx>
        <w:trPr>
          <w:trHeight w:val="510" w:hRule="atLeast"/>
        </w:trPr>
        <w:tc>
          <w:tcPr>
            <w:tcW w:w="137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7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10" w:hRule="atLeast"/>
        </w:trPr>
        <w:tc>
          <w:tcPr>
            <w:tcW w:w="1374"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9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7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3"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510" w:hRule="atLeast"/>
        </w:trPr>
        <w:tc>
          <w:tcPr>
            <w:tcW w:w="275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68"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437"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475"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26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295"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303"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108" w:type="dxa"/>
            <w:bottom w:w="0" w:type="dxa"/>
            <w:right w:w="108" w:type="dxa"/>
          </w:tblCellMar>
        </w:tblPrEx>
        <w:trPr>
          <w:trHeight w:val="510" w:hRule="atLeast"/>
        </w:trPr>
        <w:tc>
          <w:tcPr>
            <w:tcW w:w="155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197"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3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7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155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19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3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7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155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19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46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3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7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6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0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0" w:hRule="atLeast"/>
        </w:trPr>
        <w:tc>
          <w:tcPr>
            <w:tcW w:w="2750"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68"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37"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7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69"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9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0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510" w:hRule="atLeast"/>
        </w:trPr>
        <w:tc>
          <w:tcPr>
            <w:tcW w:w="2750"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47,290.71</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2,927.75</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44,362.96</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教育支出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20502</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普通教育</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2050299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其他普通教育支出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人力资源和社会保障管理事务</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2080106</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就业管理事务</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210.40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210.40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2080506</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机关事业单位职业年金缴费支出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134.86</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134.86</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污染防治</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大气</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29,823.64</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2,353.87</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27,469.78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城乡社区管理事务</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6,767.30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2,201.10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4,566.19</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1,855.97</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1,576.99</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278.98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2120104</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城管执法</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985.60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495.22</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490.38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其他城乡社区管理事务支出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3,925.73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128.90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3,796.83</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城乡社区公共设施</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10,286.68</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82.04</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10,204.64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小城镇基础设施建设</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5,368.60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5,368.60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其他城乡社区公共设施支出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4,918.09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82.04</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4,836.04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城乡社区环境卫生</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2,435.19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70.72</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2,364.47</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城乡社区环境卫生</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2,435.19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70.72</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2,364.47</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8,855.04</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8,855.04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城市建设支出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3,800.00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3,800.00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城市基础设施配套费安排的支出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1,479.44</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1,479.44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城市公共设施</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1,079.44</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1,079.44</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其他城市基础设施配套费安排的支出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交通运输支出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其他交通运输支出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公共交通运营补助</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861.59</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保障性安居工程支出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廉租住房</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532.12</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532.12</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2210103</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棚户区改造</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52.36</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52.36</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2210106</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公共租赁住房</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2210107</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保障性住房租金补贴</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其他保障性安居工程支出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120.38</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120.38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155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2299901</w:t>
            </w:r>
          </w:p>
        </w:tc>
        <w:tc>
          <w:tcPr>
            <w:tcW w:w="1197"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468"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4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7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5000" w:type="pct"/>
        <w:tblInd w:w="0" w:type="dxa"/>
        <w:tblLayout w:type="autofit"/>
        <w:tblCellMar>
          <w:top w:w="0" w:type="dxa"/>
          <w:left w:w="108" w:type="dxa"/>
          <w:bottom w:w="0" w:type="dxa"/>
          <w:right w:w="108" w:type="dxa"/>
        </w:tblCellMar>
      </w:tblPr>
      <w:tblGrid>
        <w:gridCol w:w="4860"/>
        <w:gridCol w:w="436"/>
        <w:gridCol w:w="1206"/>
        <w:gridCol w:w="3516"/>
        <w:gridCol w:w="436"/>
        <w:gridCol w:w="1206"/>
        <w:gridCol w:w="1206"/>
        <w:gridCol w:w="1206"/>
      </w:tblGrid>
      <w:tr>
        <w:tblPrEx>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174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2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3"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560"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15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2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3"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33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2666" w:type="pct"/>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rPr>
          <w:trHeight w:val="315" w:hRule="atLeast"/>
        </w:trPr>
        <w:tc>
          <w:tcPr>
            <w:tcW w:w="1747"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5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2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22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5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26"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2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42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r>
      <w:tr>
        <w:tblPrEx>
          <w:tblCellMar>
            <w:top w:w="0" w:type="dxa"/>
            <w:left w:w="108" w:type="dxa"/>
            <w:bottom w:w="0" w:type="dxa"/>
            <w:right w:w="108" w:type="dxa"/>
          </w:tblCellMar>
        </w:tblPrEx>
        <w:trPr>
          <w:trHeight w:val="615" w:hRule="atLeast"/>
        </w:trPr>
        <w:tc>
          <w:tcPr>
            <w:tcW w:w="1747"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5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2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22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5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2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42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2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9" w:type="pct"/>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9" w:type="pct"/>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2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42,218.36</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10,881.25</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29,823.64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19,489.17</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10,334.48</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861.59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861.59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53,099.61</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47,290.71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36,956.23</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10,334.48</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8,522.27</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14,331.17</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13,241.01</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1,090.16</w:t>
            </w: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7,978.88</w:t>
            </w:r>
          </w:p>
        </w:tc>
        <w:tc>
          <w:tcPr>
            <w:tcW w:w="122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543.39</w:t>
            </w:r>
          </w:p>
        </w:tc>
        <w:tc>
          <w:tcPr>
            <w:tcW w:w="122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22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747"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61,621.88</w:t>
            </w:r>
          </w:p>
        </w:tc>
        <w:tc>
          <w:tcPr>
            <w:tcW w:w="1227"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15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61,621.88</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50,197.24</w:t>
            </w:r>
          </w:p>
        </w:tc>
        <w:tc>
          <w:tcPr>
            <w:tcW w:w="426"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11,424.64</w:t>
            </w: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14025" w:type="dxa"/>
        <w:tblInd w:w="93" w:type="dxa"/>
        <w:tblLayout w:type="autofit"/>
        <w:tblCellMar>
          <w:top w:w="0" w:type="dxa"/>
          <w:left w:w="108" w:type="dxa"/>
          <w:bottom w:w="0" w:type="dxa"/>
          <w:right w:w="108" w:type="dxa"/>
        </w:tblCellMar>
      </w:tblPr>
      <w:tblGrid>
        <w:gridCol w:w="5016"/>
        <w:gridCol w:w="222"/>
        <w:gridCol w:w="222"/>
        <w:gridCol w:w="3956"/>
        <w:gridCol w:w="1434"/>
        <w:gridCol w:w="1317"/>
        <w:gridCol w:w="1858"/>
      </w:tblGrid>
      <w:tr>
        <w:tblPrEx>
          <w:tblCellMar>
            <w:top w:w="0" w:type="dxa"/>
            <w:left w:w="108" w:type="dxa"/>
            <w:bottom w:w="0" w:type="dxa"/>
            <w:right w:w="108" w:type="dxa"/>
          </w:tblCellMar>
        </w:tblPrEx>
        <w:trPr>
          <w:trHeight w:val="390" w:hRule="atLeast"/>
        </w:trPr>
        <w:tc>
          <w:tcPr>
            <w:tcW w:w="14025" w:type="dxa"/>
            <w:gridSpan w:val="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46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315"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8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8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8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31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36,956.23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2,927.75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34,028.49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普通教育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2050299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297.00</w:t>
            </w:r>
          </w:p>
        </w:tc>
      </w:tr>
      <w:tr>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就业管理事务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210.40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210.40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污染防治</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大气</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14,568.63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19,489.17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2,353.87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17,135.30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6,767.30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4,566.19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1,855.97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1,576.99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278.98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城管执法</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985.60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495.22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490.38</w:t>
            </w:r>
          </w:p>
        </w:tc>
      </w:tr>
      <w:tr>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3,925.73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3,796.83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10,286.68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10,204.64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5,368.60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5,368.60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4,918.09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4,836.04</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2,435.19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70.72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2,364.47</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2,435.19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70.72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2,364.47</w:t>
            </w:r>
          </w:p>
        </w:tc>
      </w:tr>
      <w:tr>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2149901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公共交通运营补助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994.39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861.59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733.16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廉租住房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532.12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棚户区改造</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52.36</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17.52</w:t>
            </w:r>
          </w:p>
        </w:tc>
      </w:tr>
      <w:tr>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保障性住房租金补贴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120.38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2299901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r>
    </w:tbl>
    <w:p>
      <w:pPr>
        <w:tabs>
          <w:tab w:val="left" w:pos="886"/>
        </w:tabs>
        <w:jc w:val="left"/>
      </w:pPr>
    </w:p>
    <w:p>
      <w:pPr>
        <w:tabs>
          <w:tab w:val="left" w:pos="886"/>
        </w:tabs>
        <w:jc w:val="left"/>
      </w:pPr>
    </w:p>
    <w:tbl>
      <w:tblPr>
        <w:tblStyle w:val="8"/>
        <w:tblW w:w="5279" w:type="pct"/>
        <w:tblInd w:w="0" w:type="dxa"/>
        <w:tblLayout w:type="fixed"/>
        <w:tblCellMar>
          <w:top w:w="0" w:type="dxa"/>
          <w:left w:w="108" w:type="dxa"/>
          <w:bottom w:w="0" w:type="dxa"/>
          <w:right w:w="108" w:type="dxa"/>
        </w:tblCellMar>
      </w:tblPr>
      <w:tblGrid>
        <w:gridCol w:w="939"/>
        <w:gridCol w:w="2930"/>
        <w:gridCol w:w="1483"/>
        <w:gridCol w:w="921"/>
        <w:gridCol w:w="1504"/>
        <w:gridCol w:w="989"/>
        <w:gridCol w:w="1120"/>
        <w:gridCol w:w="3358"/>
        <w:gridCol w:w="1613"/>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31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9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7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71"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108" w:type="dxa"/>
            <w:bottom w:w="0" w:type="dxa"/>
            <w:right w:w="108" w:type="dxa"/>
          </w:tblCellMar>
        </w:tblPrEx>
        <w:trPr>
          <w:trHeight w:val="255" w:hRule="atLeast"/>
        </w:trPr>
        <w:tc>
          <w:tcPr>
            <w:tcW w:w="2111"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50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7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71"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1801"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3198" w:type="pct"/>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108" w:type="dxa"/>
            <w:bottom w:w="0" w:type="dxa"/>
            <w:right w:w="108" w:type="dxa"/>
          </w:tblCellMar>
        </w:tblPrEx>
        <w:trPr>
          <w:trHeight w:val="315" w:hRule="atLeast"/>
        </w:trPr>
        <w:tc>
          <w:tcPr>
            <w:tcW w:w="316"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985"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49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310"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506"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33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37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129"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42"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315" w:hRule="atLeast"/>
        </w:trPr>
        <w:tc>
          <w:tcPr>
            <w:tcW w:w="316"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985"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9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10"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506"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3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7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1129"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2,650.86</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177.49</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558.01</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25.90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193.44</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386.53</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5.04</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518.56</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2.84</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5.04</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21.75</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34.62</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89.11</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134.76</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34.27</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14.67</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9.59</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128.43</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0.96</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416.96</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94.35</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0.71</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5.14</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91.58</w:t>
            </w:r>
          </w:p>
        </w:tc>
        <w:tc>
          <w:tcPr>
            <w:tcW w:w="310"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0.35</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1.19</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赠与</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12.01</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0.16</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11.06</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3.77</w:t>
            </w:r>
          </w:p>
        </w:tc>
        <w:tc>
          <w:tcPr>
            <w:tcW w:w="377"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1129"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985"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9.77</w:t>
            </w:r>
          </w:p>
        </w:tc>
        <w:tc>
          <w:tcPr>
            <w:tcW w:w="37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129"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985"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7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129"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316"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985"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49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310"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506" w:type="pct"/>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0.75</w:t>
            </w:r>
          </w:p>
        </w:tc>
        <w:tc>
          <w:tcPr>
            <w:tcW w:w="377"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1129" w:type="pct"/>
            <w:tcBorders>
              <w:top w:val="nil"/>
              <w:left w:val="nil"/>
              <w:bottom w:val="single" w:color="000000" w:sz="4" w:space="0"/>
              <w:right w:val="single" w:color="000000" w:sz="4" w:space="0"/>
            </w:tcBorders>
            <w:shd w:val="clear" w:color="FFFFFF" w:fill="C0C0C0"/>
            <w:noWrap/>
            <w:vAlign w:val="center"/>
          </w:tcPr>
          <w:p>
            <w:pPr>
              <w:jc w:val="left"/>
              <w:rPr>
                <w:rFonts w:ascii="宋体" w:hAnsi="宋体" w:eastAsia="宋体" w:cs="宋体"/>
                <w:color w:val="000000"/>
                <w:sz w:val="22"/>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302" w:type="pct"/>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2,745.22</w:t>
            </w:r>
          </w:p>
        </w:tc>
        <w:tc>
          <w:tcPr>
            <w:tcW w:w="2656" w:type="pct"/>
            <w:gridSpan w:val="5"/>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54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182.53</w:t>
            </w:r>
          </w:p>
        </w:tc>
      </w:tr>
    </w:tbl>
    <w:p>
      <w:pPr>
        <w:tabs>
          <w:tab w:val="left" w:pos="886"/>
        </w:tabs>
        <w:jc w:val="left"/>
      </w:pPr>
    </w:p>
    <w:p>
      <w:pPr>
        <w:tabs>
          <w:tab w:val="left" w:pos="886"/>
        </w:tabs>
        <w:jc w:val="left"/>
      </w:pPr>
    </w:p>
    <w:p>
      <w:pPr>
        <w:tabs>
          <w:tab w:val="left" w:pos="886"/>
        </w:tabs>
        <w:jc w:val="left"/>
      </w:pPr>
    </w:p>
    <w:tbl>
      <w:tblPr>
        <w:tblStyle w:val="8"/>
        <w:tblW w:w="5000" w:type="pct"/>
        <w:tblInd w:w="0" w:type="dxa"/>
        <w:tblLayout w:type="autofit"/>
        <w:tblCellMar>
          <w:top w:w="0" w:type="dxa"/>
          <w:left w:w="108" w:type="dxa"/>
          <w:bottom w:w="0" w:type="dxa"/>
          <w:right w:w="108" w:type="dxa"/>
        </w:tblCellMar>
      </w:tblPr>
      <w:tblGrid>
        <w:gridCol w:w="5440"/>
        <w:gridCol w:w="948"/>
        <w:gridCol w:w="830"/>
        <w:gridCol w:w="715"/>
        <w:gridCol w:w="830"/>
        <w:gridCol w:w="712"/>
        <w:gridCol w:w="709"/>
        <w:gridCol w:w="948"/>
        <w:gridCol w:w="709"/>
        <w:gridCol w:w="709"/>
        <w:gridCol w:w="716"/>
        <w:gridCol w:w="806"/>
      </w:tblGrid>
      <w:tr>
        <w:tblPrEx>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44"/>
                <w:szCs w:val="44"/>
              </w:rPr>
            </w:pPr>
            <w:r>
              <w:rPr>
                <w:rFonts w:hint="eastAsia" w:ascii="宋体" w:hAnsi="宋体" w:eastAsia="宋体" w:cs="宋体"/>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1933"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9" w:type="pct"/>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2819"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29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37"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9" w:type="pct"/>
            <w:gridSpan w:val="3"/>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367"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1632" w:type="pct"/>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308" w:hRule="atLeast"/>
        </w:trPr>
        <w:tc>
          <w:tcPr>
            <w:tcW w:w="1933"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3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843" w:type="pct"/>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252"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252"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37"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758" w:type="pct"/>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283"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615" w:hRule="atLeast"/>
        </w:trPr>
        <w:tc>
          <w:tcPr>
            <w:tcW w:w="193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3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9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29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252"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52"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337"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25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283"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1933" w:type="pc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37"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9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95"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337"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252"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25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283" w:type="pc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308" w:hRule="atLeast"/>
        </w:trPr>
        <w:tc>
          <w:tcPr>
            <w:tcW w:w="193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24.00</w:t>
            </w:r>
          </w:p>
        </w:tc>
        <w:tc>
          <w:tcPr>
            <w:tcW w:w="2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9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24.00</w:t>
            </w:r>
          </w:p>
        </w:tc>
        <w:tc>
          <w:tcPr>
            <w:tcW w:w="2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0.90</w:t>
            </w:r>
          </w:p>
        </w:tc>
        <w:tc>
          <w:tcPr>
            <w:tcW w:w="2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4.12</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3.77</w:t>
            </w:r>
          </w:p>
        </w:tc>
        <w:tc>
          <w:tcPr>
            <w:tcW w:w="252"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25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3.77</w:t>
            </w:r>
          </w:p>
        </w:tc>
        <w:tc>
          <w:tcPr>
            <w:tcW w:w="283"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0.35</w:t>
            </w: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5000" w:type="pct"/>
        <w:tblInd w:w="0" w:type="dxa"/>
        <w:tblLayout w:type="autofit"/>
        <w:tblCellMar>
          <w:top w:w="0" w:type="dxa"/>
          <w:left w:w="108" w:type="dxa"/>
          <w:bottom w:w="0" w:type="dxa"/>
          <w:right w:w="108" w:type="dxa"/>
        </w:tblCellMar>
      </w:tblPr>
      <w:tblGrid>
        <w:gridCol w:w="706"/>
        <w:gridCol w:w="239"/>
        <w:gridCol w:w="242"/>
        <w:gridCol w:w="5854"/>
        <w:gridCol w:w="912"/>
        <w:gridCol w:w="1252"/>
        <w:gridCol w:w="1252"/>
        <w:gridCol w:w="687"/>
        <w:gridCol w:w="1255"/>
        <w:gridCol w:w="1673"/>
      </w:tblGrid>
      <w:tr>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25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1"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255" w:hRule="atLeast"/>
        </w:trPr>
        <w:tc>
          <w:tcPr>
            <w:tcW w:w="2502" w:type="pct"/>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32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37" w:type="pct"/>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rPr>
          <w:trHeight w:val="308" w:hRule="atLeast"/>
        </w:trPr>
        <w:tc>
          <w:tcPr>
            <w:tcW w:w="250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2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445"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1135" w:type="pct"/>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591"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108" w:type="dxa"/>
            <w:bottom w:w="0" w:type="dxa"/>
            <w:right w:w="108" w:type="dxa"/>
          </w:tblCellMar>
        </w:tblPrEx>
        <w:trPr>
          <w:trHeight w:val="315" w:hRule="atLeast"/>
        </w:trPr>
        <w:tc>
          <w:tcPr>
            <w:tcW w:w="42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79" w:type="pct"/>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3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44"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445" w:type="pct"/>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5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5" w:hRule="atLeast"/>
        </w:trPr>
        <w:tc>
          <w:tcPr>
            <w:tcW w:w="42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7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3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44"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5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15" w:hRule="atLeast"/>
        </w:trPr>
        <w:tc>
          <w:tcPr>
            <w:tcW w:w="42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07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eastAsia="宋体" w:cs="宋体"/>
                <w:color w:val="000000"/>
                <w:sz w:val="22"/>
              </w:rPr>
            </w:pPr>
          </w:p>
        </w:tc>
        <w:tc>
          <w:tcPr>
            <w:tcW w:w="3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244"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445" w:type="pct"/>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c>
          <w:tcPr>
            <w:tcW w:w="59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5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24"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5"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5"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44"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5"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9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308" w:hRule="atLeast"/>
        </w:trPr>
        <w:tc>
          <w:tcPr>
            <w:tcW w:w="2502"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543.39</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10,881.25</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10,334.48</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10,334.48</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1,090.16</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543.39</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10,881.25</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10,334.48</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10,334.48</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1,090.16</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5.57</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9,746.21</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8,855.04</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8,855.04</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896.74</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2120803</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城市建设支出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5.57</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5,055.04</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5.57</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4,691.17</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3,800.00</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3,800.00</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891.17</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城市基础设施配套费安排的支出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537.82</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1,479.44</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1,479.44</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193.42</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2121301</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城市公共设施</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137.82</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1,135.04</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1,079.44</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1,079.44</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193.42</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2121399</w:t>
            </w:r>
          </w:p>
        </w:tc>
        <w:tc>
          <w:tcPr>
            <w:tcW w:w="2079" w:type="pct"/>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其他城市基础设施配套费安排的支出</w:t>
            </w:r>
          </w:p>
        </w:tc>
        <w:tc>
          <w:tcPr>
            <w:tcW w:w="32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400.00</w:t>
            </w:r>
          </w:p>
        </w:tc>
        <w:tc>
          <w:tcPr>
            <w:tcW w:w="244"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45"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400.00</w:t>
            </w:r>
          </w:p>
        </w:tc>
        <w:tc>
          <w:tcPr>
            <w:tcW w:w="591" w:type="pct"/>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207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32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42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2079" w:type="pct"/>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32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24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45"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9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bl>
    <w:p>
      <w:pPr>
        <w:tabs>
          <w:tab w:val="left" w:pos="886"/>
        </w:tabs>
        <w:jc w:val="left"/>
      </w:pPr>
    </w:p>
    <w:p>
      <w:pPr>
        <w:tabs>
          <w:tab w:val="left" w:pos="886"/>
        </w:tabs>
        <w:jc w:val="left"/>
      </w:pPr>
    </w:p>
    <w:p>
      <w:pPr>
        <w:tabs>
          <w:tab w:val="left" w:pos="886"/>
        </w:tabs>
        <w:jc w:val="left"/>
      </w:pPr>
    </w:p>
    <w:p>
      <w:pPr>
        <w:tabs>
          <w:tab w:val="left" w:pos="886"/>
        </w:tabs>
        <w:jc w:val="left"/>
      </w:pPr>
    </w:p>
    <w:p>
      <w:pPr>
        <w:tabs>
          <w:tab w:val="left" w:pos="886"/>
        </w:tabs>
        <w:jc w:val="left"/>
      </w:pPr>
    </w:p>
    <w:tbl>
      <w:tblPr>
        <w:tblStyle w:val="8"/>
        <w:tblW w:w="5000" w:type="pct"/>
        <w:tblInd w:w="0" w:type="dxa"/>
        <w:tblLayout w:type="autofit"/>
        <w:tblCellMar>
          <w:top w:w="0" w:type="dxa"/>
          <w:left w:w="108" w:type="dxa"/>
          <w:bottom w:w="0" w:type="dxa"/>
          <w:right w:w="108" w:type="dxa"/>
        </w:tblCellMar>
      </w:tblPr>
      <w:tblGrid>
        <w:gridCol w:w="6008"/>
        <w:gridCol w:w="265"/>
        <w:gridCol w:w="267"/>
        <w:gridCol w:w="3493"/>
        <w:gridCol w:w="785"/>
        <w:gridCol w:w="1312"/>
        <w:gridCol w:w="1942"/>
      </w:tblGrid>
      <w:tr>
        <w:tblPrEx>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44"/>
                <w:szCs w:val="44"/>
              </w:rPr>
            </w:pPr>
            <w:r>
              <w:rPr>
                <w:rFonts w:hint="eastAsia" w:ascii="宋体" w:hAnsi="宋体" w:eastAsia="宋体" w:cs="宋体"/>
                <w:color w:val="000000"/>
                <w:kern w:val="0"/>
                <w:sz w:val="44"/>
                <w:szCs w:val="44"/>
              </w:rPr>
              <w:t>国有资本经营预算财政拨款支出决算表</w:t>
            </w:r>
          </w:p>
        </w:tc>
      </w:tr>
      <w:tr>
        <w:tblPrEx>
          <w:tblCellMar>
            <w:top w:w="0" w:type="dxa"/>
            <w:left w:w="108" w:type="dxa"/>
            <w:bottom w:w="0" w:type="dxa"/>
            <w:right w:w="108" w:type="dxa"/>
          </w:tblCellMar>
        </w:tblPrEx>
        <w:trPr>
          <w:trHeight w:val="255" w:hRule="atLeast"/>
        </w:trPr>
        <w:tc>
          <w:tcPr>
            <w:tcW w:w="2135"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8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55" w:hRule="atLeast"/>
        </w:trPr>
        <w:tc>
          <w:tcPr>
            <w:tcW w:w="2135" w:type="pct"/>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部门：唐山市曹妃甸区住房和城乡建设管理局（汇总）</w:t>
            </w:r>
          </w:p>
        </w:tc>
        <w:tc>
          <w:tcPr>
            <w:tcW w:w="9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1"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88"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56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1434"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615" w:hRule="atLeast"/>
        </w:trPr>
        <w:tc>
          <w:tcPr>
            <w:tcW w:w="2324" w:type="pct"/>
            <w:gridSpan w:val="3"/>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41"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7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46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688"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308" w:hRule="atLeast"/>
        </w:trPr>
        <w:tc>
          <w:tcPr>
            <w:tcW w:w="356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79"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66"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88" w:type="pc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308" w:hRule="atLeast"/>
        </w:trPr>
        <w:tc>
          <w:tcPr>
            <w:tcW w:w="3565" w:type="pct"/>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308" w:hRule="atLeast"/>
        </w:trPr>
        <w:tc>
          <w:tcPr>
            <w:tcW w:w="232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241" w:type="pct"/>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66"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688"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bl>
    <w:p>
      <w:pPr>
        <w:tabs>
          <w:tab w:val="left" w:pos="886"/>
        </w:tabs>
        <w:jc w:val="left"/>
      </w:pPr>
    </w:p>
    <w:p>
      <w:pPr>
        <w:widowControl/>
        <w:rPr>
          <w:rFonts w:ascii="宋体" w:hAnsi="宋体" w:eastAsia="宋体" w:cs="Arial"/>
          <w:color w:val="000000"/>
          <w:kern w:val="0"/>
          <w:sz w:val="22"/>
        </w:rPr>
        <w:sectPr>
          <w:headerReference r:id="rId18" w:type="default"/>
          <w:footerReference r:id="rId19" w:type="default"/>
          <w:pgSz w:w="16838" w:h="11906" w:orient="landscape"/>
          <w:pgMar w:top="1417" w:right="1701" w:bottom="1417" w:left="1281" w:header="851" w:footer="992" w:gutter="0"/>
          <w:pgNumType w:fmt="numberInDash"/>
          <w:cols w:space="0" w:num="1"/>
          <w:docGrid w:type="lines" w:linePitch="312" w:charSpace="0"/>
        </w:sectPr>
      </w:pPr>
      <w:r>
        <w:rPr>
          <w:rFonts w:hint="eastAsia" w:ascii="宋体" w:hAnsi="宋体" w:eastAsia="宋体" w:cs="Arial"/>
          <w:color w:val="000000"/>
          <w:kern w:val="0"/>
          <w:sz w:val="22"/>
        </w:rPr>
        <w:t>注：本部门本年度无相关收入（或支出、收支及结转结余等）情况，按要求空表列示。</w:t>
      </w:r>
    </w:p>
    <w:p>
      <w:pPr>
        <w:tabs>
          <w:tab w:val="left" w:pos="886"/>
        </w:tabs>
        <w:jc w:val="left"/>
        <w:sectPr>
          <w:pgSz w:w="11906" w:h="16838"/>
          <w:pgMar w:top="1701" w:right="1417" w:bottom="1281" w:left="1417" w:header="851" w:footer="992" w:gutter="0"/>
          <w:pgNumType w:fmt="numberInDash"/>
          <w:cols w:space="0" w:num="1"/>
          <w:docGrid w:type="lines" w:linePitch="312" w:charSpace="0"/>
        </w:sectPr>
      </w:pPr>
    </w:p>
    <w:p>
      <w:pPr>
        <w:tabs>
          <w:tab w:val="left" w:pos="886"/>
        </w:tabs>
        <w:jc w:val="left"/>
      </w:pPr>
      <w:r>
        <w:pict>
          <v:rect id="_x0000_s1027" o:spid="_x0000_s1027" o:spt="1" style="position:absolute;left:0pt;margin-left:-70.5pt;margin-top:-85.05pt;height:873.25pt;width:595.1pt;z-index:251683840;v-text-anchor:middle;mso-width-relative:page;mso-height-relative:page;" fillcolor="#FFC000" filled="t" stroked="f" coordsize="21600,21600" o:gfxdata="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3AC5J3QAAAA8BAAAPAAAAAAAAAAEAIAAA&#10;ACIAAABkcnMvZG93bnJldi54bWxQSwECFAAUAAAACACHTuJAYJWcR3kCAADaBAAADgAAAAAAAAAB&#10;ACAAAAAsAQAAZHJzL2Uyb0RvYy54bWxQSwUGAAAAAAYABgBZAQAAFwYAAAAA&#10;">
            <v:path/>
            <v:fill on="t" focussize="0,0"/>
            <v:stroke on="f" weight="1pt"/>
            <v:imagedata o:title=""/>
            <o:lock v:ext="edit"/>
          </v:rect>
        </w:pict>
      </w:r>
    </w:p>
    <w:p>
      <w:pPr>
        <w:tabs>
          <w:tab w:val="left" w:pos="886"/>
        </w:tabs>
        <w:jc w:val="left"/>
      </w:pPr>
    </w:p>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66" o:spid="_x0000_s2066" o:spt="202" type="#_x0000_t202" style="position:absolute;left:0pt;margin-left:209.65pt;margin-top:-12.95pt;height:14.3pt;width:30.6pt;mso-position-horizontal-relative:margin;z-index:25167462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74" o:spid="_x0000_s2074" o:spt="202" type="#_x0000_t202" style="position:absolute;left:0pt;margin-left:206.55pt;margin-top:-22.45pt;height:35.15pt;width:34pt;mso-position-horizontal-relative:margin;z-index:25167564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7" o:spid="_x0000_s2057" o:spt="202" type="#_x0000_t202" style="position:absolute;left:0pt;margin-left:209.15pt;margin-top:-6pt;height:18.7pt;width:144pt;mso-position-horizontal-relative:margin;mso-wrap-style:none;z-index:25167667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65" o:spid="_x0000_s2065" o:spt="202" type="#_x0000_t202" style="position:absolute;left:0pt;margin-left:205.45pt;margin-top:-18.75pt;height:31.45pt;width:30.15pt;mso-position-horizontal-relative:margin;z-index:25167769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left:209.15pt;margin-top:-6pt;height:18.7pt;width:144pt;mso-position-horizontal-relative:margin;mso-wrap-style:none;z-index:251678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- 41 -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79" o:spid="_x0000_s2079" o:spt="203" style="position:absolute;left:0pt;margin-top:29.75pt;height:32pt;width:157.5pt;mso-position-horizontal:left;mso-position-horizontal-relative:page;mso-position-vertical-relative:page;z-index:251662336;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v:shape id="_x0000_s2081" o:spid="_x0000_s2081"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80"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5" o:spid="_x0000_s2075" o:spt="203" style="position:absolute;left:0pt;margin-left:0pt;margin-top:0pt;height:58.95pt;width:596.5pt;mso-position-horizontal-relative:page;mso-position-vertical-relative:page;z-index:251661312;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v:rect id="矩形 2" o:spid="_x0000_s2078"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77"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76"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70" o:spid="_x0000_s2070" o:spt="203" style="position:absolute;left:0pt;margin-left:2.75pt;margin-top:46.95pt;height:32.8pt;width:596.85pt;mso-position-horizontal-relative:page;mso-position-vertical-relative:page;z-index:25166950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v:rect id="矩形 2" o:spid="_x0000_s2073"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2"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71"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67" o:spid="_x0000_s2067" o:spt="203" style="position:absolute;left:0pt;margin-left:1.95pt;margin-top:47.1pt;height:32pt;width:235.7pt;mso-position-horizontal-relative:page;mso-position-vertical-relative:page;z-index:251670528;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v:shape id="_x0000_s2069" o:spid="_x0000_s2069"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68"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61" o:spid="_x0000_s2061" o:spt="203" style="position:absolute;left:0pt;margin-left:0pt;margin-top:43.35pt;height:37.85pt;width:594.8pt;mso-position-horizontal-relative:page;mso-position-vertical-relative:page;z-index:251671552;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v:rect id="矩形 2" o:spid="_x0000_s2064"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63"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2"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8" o:spid="_x0000_s2058" o:spt="203" style="position:absolute;left:0pt;margin-left:-2.15pt;margin-top:47.15pt;height:32pt;width:235.7pt;mso-position-horizontal-relative:page;mso-position-vertical-relative:page;z-index:251672576;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v:shape id="_x0000_s2060" o:spid="_x0000_s2060"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59"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53" o:spid="_x0000_s2053" o:spt="203" style="position:absolute;left:0pt;margin-left:2.5pt;margin-top:28.75pt;height:35.25pt;width:594.8pt;mso-position-horizontal-relative:page;mso-position-vertical-relative:page;z-index:25167974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0768;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I4ZGU1NTY1MzI0YWZlNjcyNzQ1M2Y5ZGU1ZTdmMTQifQ=="/>
  </w:docVars>
  <w:rsids>
    <w:rsidRoot w:val="6AAF1C96"/>
    <w:rsid w:val="0007063E"/>
    <w:rsid w:val="00073392"/>
    <w:rsid w:val="00073F4E"/>
    <w:rsid w:val="00076F2B"/>
    <w:rsid w:val="00086C89"/>
    <w:rsid w:val="000A39FB"/>
    <w:rsid w:val="000A575B"/>
    <w:rsid w:val="00117746"/>
    <w:rsid w:val="00117B9D"/>
    <w:rsid w:val="00151DB8"/>
    <w:rsid w:val="00157857"/>
    <w:rsid w:val="00163F95"/>
    <w:rsid w:val="00180A9A"/>
    <w:rsid w:val="001829C0"/>
    <w:rsid w:val="00184809"/>
    <w:rsid w:val="00192112"/>
    <w:rsid w:val="001B0127"/>
    <w:rsid w:val="001B48AC"/>
    <w:rsid w:val="001C12D5"/>
    <w:rsid w:val="001C69F7"/>
    <w:rsid w:val="00231B15"/>
    <w:rsid w:val="00233AD2"/>
    <w:rsid w:val="002650EC"/>
    <w:rsid w:val="00284DE9"/>
    <w:rsid w:val="002A6C46"/>
    <w:rsid w:val="002B1EC9"/>
    <w:rsid w:val="002C19B5"/>
    <w:rsid w:val="00343A44"/>
    <w:rsid w:val="00345E53"/>
    <w:rsid w:val="003A4EE8"/>
    <w:rsid w:val="003D26BA"/>
    <w:rsid w:val="00401877"/>
    <w:rsid w:val="00442CC2"/>
    <w:rsid w:val="00446244"/>
    <w:rsid w:val="00473C20"/>
    <w:rsid w:val="004D61CB"/>
    <w:rsid w:val="005011D6"/>
    <w:rsid w:val="00503F2E"/>
    <w:rsid w:val="00552226"/>
    <w:rsid w:val="00566120"/>
    <w:rsid w:val="00571A60"/>
    <w:rsid w:val="00582E6D"/>
    <w:rsid w:val="005954D5"/>
    <w:rsid w:val="005A53FA"/>
    <w:rsid w:val="005D1293"/>
    <w:rsid w:val="005E4554"/>
    <w:rsid w:val="006050E3"/>
    <w:rsid w:val="00622612"/>
    <w:rsid w:val="00644D5F"/>
    <w:rsid w:val="00660EC0"/>
    <w:rsid w:val="006727AD"/>
    <w:rsid w:val="00691425"/>
    <w:rsid w:val="00694674"/>
    <w:rsid w:val="006A516E"/>
    <w:rsid w:val="006B0830"/>
    <w:rsid w:val="006D3E53"/>
    <w:rsid w:val="0070261B"/>
    <w:rsid w:val="00716E2B"/>
    <w:rsid w:val="0073513F"/>
    <w:rsid w:val="007550FD"/>
    <w:rsid w:val="00762C91"/>
    <w:rsid w:val="00767F73"/>
    <w:rsid w:val="00770F18"/>
    <w:rsid w:val="00773B74"/>
    <w:rsid w:val="0078290C"/>
    <w:rsid w:val="007C06CA"/>
    <w:rsid w:val="00814536"/>
    <w:rsid w:val="008163FB"/>
    <w:rsid w:val="00816B27"/>
    <w:rsid w:val="0082605B"/>
    <w:rsid w:val="00855C36"/>
    <w:rsid w:val="00857DBE"/>
    <w:rsid w:val="008701BC"/>
    <w:rsid w:val="00883D92"/>
    <w:rsid w:val="008A5362"/>
    <w:rsid w:val="008F21F1"/>
    <w:rsid w:val="008F221B"/>
    <w:rsid w:val="008F5A2D"/>
    <w:rsid w:val="00921602"/>
    <w:rsid w:val="00957EA1"/>
    <w:rsid w:val="00966E5B"/>
    <w:rsid w:val="009718FB"/>
    <w:rsid w:val="00983AAA"/>
    <w:rsid w:val="009B4EF0"/>
    <w:rsid w:val="009D271F"/>
    <w:rsid w:val="009F1B43"/>
    <w:rsid w:val="009F248F"/>
    <w:rsid w:val="00A929C2"/>
    <w:rsid w:val="00A96150"/>
    <w:rsid w:val="00AA2C90"/>
    <w:rsid w:val="00AD097F"/>
    <w:rsid w:val="00B67440"/>
    <w:rsid w:val="00B844F4"/>
    <w:rsid w:val="00BA06A1"/>
    <w:rsid w:val="00BA770A"/>
    <w:rsid w:val="00C054DE"/>
    <w:rsid w:val="00C066D5"/>
    <w:rsid w:val="00C20283"/>
    <w:rsid w:val="00C36C34"/>
    <w:rsid w:val="00C679A9"/>
    <w:rsid w:val="00C711E8"/>
    <w:rsid w:val="00C7541C"/>
    <w:rsid w:val="00CB5DF5"/>
    <w:rsid w:val="00CC0FAA"/>
    <w:rsid w:val="00CD0736"/>
    <w:rsid w:val="00CE0456"/>
    <w:rsid w:val="00D1570F"/>
    <w:rsid w:val="00D32830"/>
    <w:rsid w:val="00DB7153"/>
    <w:rsid w:val="00DB7F05"/>
    <w:rsid w:val="00DD64B2"/>
    <w:rsid w:val="00E028C3"/>
    <w:rsid w:val="00E14F77"/>
    <w:rsid w:val="00E215B9"/>
    <w:rsid w:val="00E3076B"/>
    <w:rsid w:val="00E36978"/>
    <w:rsid w:val="00E667EA"/>
    <w:rsid w:val="00E82A1E"/>
    <w:rsid w:val="00EB1CE7"/>
    <w:rsid w:val="00EB41E3"/>
    <w:rsid w:val="00EC06F4"/>
    <w:rsid w:val="00EE4529"/>
    <w:rsid w:val="00EE4E36"/>
    <w:rsid w:val="00F665F4"/>
    <w:rsid w:val="00F7024C"/>
    <w:rsid w:val="00F91F9B"/>
    <w:rsid w:val="00FD06F5"/>
    <w:rsid w:val="00FD225F"/>
    <w:rsid w:val="05811464"/>
    <w:rsid w:val="0D413724"/>
    <w:rsid w:val="14BC3670"/>
    <w:rsid w:val="1B6C4BFE"/>
    <w:rsid w:val="1BB47B35"/>
    <w:rsid w:val="29C171FE"/>
    <w:rsid w:val="2ADE2520"/>
    <w:rsid w:val="31C2036A"/>
    <w:rsid w:val="320D02A5"/>
    <w:rsid w:val="333A66C5"/>
    <w:rsid w:val="33512554"/>
    <w:rsid w:val="33932642"/>
    <w:rsid w:val="348E566F"/>
    <w:rsid w:val="3A226944"/>
    <w:rsid w:val="3AEE6A48"/>
    <w:rsid w:val="3C1620AA"/>
    <w:rsid w:val="3D8F080F"/>
    <w:rsid w:val="4278473A"/>
    <w:rsid w:val="44CE1FA4"/>
    <w:rsid w:val="487F73ED"/>
    <w:rsid w:val="4A347EAE"/>
    <w:rsid w:val="4AE63194"/>
    <w:rsid w:val="4B815DEC"/>
    <w:rsid w:val="52600405"/>
    <w:rsid w:val="529B4319"/>
    <w:rsid w:val="57773DD6"/>
    <w:rsid w:val="578B79AB"/>
    <w:rsid w:val="59155DE7"/>
    <w:rsid w:val="5CC168D7"/>
    <w:rsid w:val="5CCD3FD5"/>
    <w:rsid w:val="61FA5F9D"/>
    <w:rsid w:val="64CD6910"/>
    <w:rsid w:val="6789158D"/>
    <w:rsid w:val="67D81BA4"/>
    <w:rsid w:val="685D7BBE"/>
    <w:rsid w:val="697806E7"/>
    <w:rsid w:val="6AAF1C96"/>
    <w:rsid w:val="70B714C5"/>
    <w:rsid w:val="75681757"/>
    <w:rsid w:val="75A346A8"/>
    <w:rsid w:val="771E6402"/>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Plain Text"/>
    <w:basedOn w:val="1"/>
    <w:next w:val="1"/>
    <w:qFormat/>
    <w:uiPriority w:val="0"/>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heme="minorHAnsi" w:hAnsiTheme="minorHAnsi" w:eastAsiaTheme="minorEastAsia"/>
      <w:sz w:val="18"/>
      <w:szCs w:val="18"/>
    </w:rPr>
  </w:style>
  <w:style w:type="character" w:customStyle="1" w:styleId="12">
    <w:name w:val="页脚 Char"/>
    <w:basedOn w:val="10"/>
    <w:link w:val="6"/>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chart" Target="charts/chart1.xml"/><Relationship Id="rId22" Type="http://schemas.openxmlformats.org/officeDocument/2006/relationships/image" Target="media/image2.GIF"/><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本年度支出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2927.75</c:v>
                </c:pt>
                <c:pt idx="1">
                  <c:v>44362.96</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一般公共预算财政拨款收入</c:v>
                </c:pt>
              </c:strCache>
            </c:strRef>
          </c:tx>
          <c:invertIfNegative val="0"/>
          <c:dLbls>
            <c:delete val="1"/>
          </c:dLbls>
          <c:cat>
            <c:strRef>
              <c:f>Sheet1!$A$2:$A$3</c:f>
              <c:strCache>
                <c:ptCount val="2"/>
                <c:pt idx="0">
                  <c:v>2019年</c:v>
                </c:pt>
                <c:pt idx="1">
                  <c:v>2018年</c:v>
                </c:pt>
              </c:strCache>
            </c:strRef>
          </c:cat>
          <c:val>
            <c:numRef>
              <c:f>Sheet1!$B$2:$B$3</c:f>
              <c:numCache>
                <c:formatCode>General</c:formatCode>
                <c:ptCount val="2"/>
                <c:pt idx="0">
                  <c:v>42218.36</c:v>
                </c:pt>
                <c:pt idx="1">
                  <c:v>32771.79</c:v>
                </c:pt>
              </c:numCache>
            </c:numRef>
          </c:val>
        </c:ser>
        <c:ser>
          <c:idx val="1"/>
          <c:order val="1"/>
          <c:tx>
            <c:strRef>
              <c:f>Sheet1!$C$1</c:f>
              <c:strCache>
                <c:ptCount val="1"/>
                <c:pt idx="0">
                  <c:v>一般公共预算财政拨款支出</c:v>
                </c:pt>
              </c:strCache>
            </c:strRef>
          </c:tx>
          <c:invertIfNegative val="0"/>
          <c:dLbls>
            <c:delete val="1"/>
          </c:dLbls>
          <c:cat>
            <c:strRef>
              <c:f>Sheet1!$A$2:$A$3</c:f>
              <c:strCache>
                <c:ptCount val="2"/>
                <c:pt idx="0">
                  <c:v>2019年</c:v>
                </c:pt>
                <c:pt idx="1">
                  <c:v>2018年</c:v>
                </c:pt>
              </c:strCache>
            </c:strRef>
          </c:cat>
          <c:val>
            <c:numRef>
              <c:f>Sheet1!$C$2:$C$3</c:f>
              <c:numCache>
                <c:formatCode>General</c:formatCode>
                <c:ptCount val="2"/>
                <c:pt idx="0">
                  <c:v>36956.23</c:v>
                </c:pt>
                <c:pt idx="1">
                  <c:v>34465.37</c:v>
                </c:pt>
              </c:numCache>
            </c:numRef>
          </c:val>
        </c:ser>
        <c:ser>
          <c:idx val="2"/>
          <c:order val="2"/>
          <c:tx>
            <c:strRef>
              <c:f>Sheet1!$D$1</c:f>
              <c:strCache>
                <c:ptCount val="1"/>
                <c:pt idx="0">
                  <c:v>政府性基金预算财政拨款收入</c:v>
                </c:pt>
              </c:strCache>
            </c:strRef>
          </c:tx>
          <c:invertIfNegative val="0"/>
          <c:dLbls>
            <c:delete val="1"/>
          </c:dLbls>
          <c:cat>
            <c:strRef>
              <c:f>Sheet1!$A$2:$A$3</c:f>
              <c:strCache>
                <c:ptCount val="2"/>
                <c:pt idx="0">
                  <c:v>2019年</c:v>
                </c:pt>
                <c:pt idx="1">
                  <c:v>2018年</c:v>
                </c:pt>
              </c:strCache>
            </c:strRef>
          </c:cat>
          <c:val>
            <c:numRef>
              <c:f>Sheet1!$D$2:$D$3</c:f>
              <c:numCache>
                <c:formatCode>General</c:formatCode>
                <c:ptCount val="2"/>
                <c:pt idx="0">
                  <c:v>10881.25</c:v>
                </c:pt>
                <c:pt idx="1">
                  <c:v>70911.64</c:v>
                </c:pt>
              </c:numCache>
            </c:numRef>
          </c:val>
        </c:ser>
        <c:ser>
          <c:idx val="3"/>
          <c:order val="3"/>
          <c:tx>
            <c:strRef>
              <c:f>Sheet1!$E$1</c:f>
              <c:strCache>
                <c:ptCount val="1"/>
                <c:pt idx="0">
                  <c:v>政府性基金预算财政拨款支出</c:v>
                </c:pt>
              </c:strCache>
            </c:strRef>
          </c:tx>
          <c:invertIfNegative val="0"/>
          <c:dLbls>
            <c:delete val="1"/>
          </c:dLbls>
          <c:cat>
            <c:strRef>
              <c:f>Sheet1!$A$2:$A$3</c:f>
              <c:strCache>
                <c:ptCount val="2"/>
                <c:pt idx="0">
                  <c:v>2019年</c:v>
                </c:pt>
                <c:pt idx="1">
                  <c:v>2018年</c:v>
                </c:pt>
              </c:strCache>
            </c:strRef>
          </c:cat>
          <c:val>
            <c:numRef>
              <c:f>Sheet1!$E$2:$E$3</c:f>
              <c:numCache>
                <c:formatCode>General</c:formatCode>
                <c:ptCount val="2"/>
                <c:pt idx="0">
                  <c:v>10334.48</c:v>
                </c:pt>
                <c:pt idx="1">
                  <c:v>71661.06</c:v>
                </c:pt>
              </c:numCache>
            </c:numRef>
          </c:val>
        </c:ser>
        <c:dLbls>
          <c:showLegendKey val="0"/>
          <c:showVal val="0"/>
          <c:showCatName val="0"/>
          <c:showSerName val="0"/>
          <c:showPercent val="0"/>
          <c:showBubbleSize val="0"/>
        </c:dLbls>
        <c:gapWidth val="150"/>
        <c:axId val="112754688"/>
        <c:axId val="112756224"/>
      </c:barChart>
      <c:catAx>
        <c:axId val="112754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756224"/>
        <c:crosses val="autoZero"/>
        <c:auto val="1"/>
        <c:lblAlgn val="ctr"/>
        <c:lblOffset val="100"/>
        <c:noMultiLvlLbl val="0"/>
      </c:catAx>
      <c:valAx>
        <c:axId val="112756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75468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一般公共预算不拨款收入</c:v>
                </c:pt>
              </c:strCache>
            </c:strRef>
          </c:tx>
          <c:invertIfNegative val="0"/>
          <c:dLbls>
            <c:delete val="1"/>
          </c:dLbls>
          <c:cat>
            <c:strRef>
              <c:f>Sheet1!$A$2:$A$3</c:f>
              <c:strCache>
                <c:ptCount val="2"/>
                <c:pt idx="0">
                  <c:v>决算</c:v>
                </c:pt>
                <c:pt idx="1">
                  <c:v>类别 2</c:v>
                </c:pt>
              </c:strCache>
            </c:strRef>
          </c:cat>
          <c:val>
            <c:numRef>
              <c:f>Sheet1!$B$2:$B$3</c:f>
              <c:numCache>
                <c:formatCode>General</c:formatCode>
                <c:ptCount val="2"/>
                <c:pt idx="0">
                  <c:v>31113.6</c:v>
                </c:pt>
                <c:pt idx="1">
                  <c:v>16297.47</c:v>
                </c:pt>
              </c:numCache>
            </c:numRef>
          </c:val>
        </c:ser>
        <c:ser>
          <c:idx val="1"/>
          <c:order val="1"/>
          <c:tx>
            <c:strRef>
              <c:f>Sheet1!$C$1</c:f>
              <c:strCache>
                <c:ptCount val="1"/>
                <c:pt idx="0">
                  <c:v>一般公共预算不拨款支出</c:v>
                </c:pt>
              </c:strCache>
            </c:strRef>
          </c:tx>
          <c:invertIfNegative val="0"/>
          <c:dLbls>
            <c:delete val="1"/>
          </c:dLbls>
          <c:cat>
            <c:strRef>
              <c:f>Sheet1!$A$2:$A$3</c:f>
              <c:strCache>
                <c:ptCount val="2"/>
                <c:pt idx="0">
                  <c:v>决算</c:v>
                </c:pt>
                <c:pt idx="1">
                  <c:v>类别 2</c:v>
                </c:pt>
              </c:strCache>
            </c:strRef>
          </c:cat>
          <c:val>
            <c:numRef>
              <c:f>Sheet1!$C$2:$C$3</c:f>
              <c:numCache>
                <c:formatCode>General</c:formatCode>
                <c:ptCount val="2"/>
                <c:pt idx="0">
                  <c:v>28519.56</c:v>
                </c:pt>
                <c:pt idx="1">
                  <c:v>16297.47</c:v>
                </c:pt>
              </c:numCache>
            </c:numRef>
          </c:val>
        </c:ser>
        <c:ser>
          <c:idx val="2"/>
          <c:order val="2"/>
          <c:tx>
            <c:strRef>
              <c:f>Sheet1!$D$1</c:f>
              <c:strCache>
                <c:ptCount val="1"/>
                <c:pt idx="0">
                  <c:v>政府性基金预算收入</c:v>
                </c:pt>
              </c:strCache>
            </c:strRef>
          </c:tx>
          <c:invertIfNegative val="0"/>
          <c:dLbls>
            <c:delete val="1"/>
          </c:dLbls>
          <c:cat>
            <c:strRef>
              <c:f>Sheet1!$A$2:$A$3</c:f>
              <c:strCache>
                <c:ptCount val="2"/>
                <c:pt idx="0">
                  <c:v>决算</c:v>
                </c:pt>
                <c:pt idx="1">
                  <c:v>类别 2</c:v>
                </c:pt>
              </c:strCache>
            </c:strRef>
          </c:cat>
          <c:val>
            <c:numRef>
              <c:f>Sheet1!$D$2:$D$3</c:f>
              <c:numCache>
                <c:formatCode>General</c:formatCode>
                <c:ptCount val="2"/>
                <c:pt idx="0">
                  <c:v>10877.29</c:v>
                </c:pt>
                <c:pt idx="1">
                  <c:v>2885.04</c:v>
                </c:pt>
              </c:numCache>
            </c:numRef>
          </c:val>
        </c:ser>
        <c:ser>
          <c:idx val="3"/>
          <c:order val="3"/>
          <c:tx>
            <c:strRef>
              <c:f>Sheet1!$E$1</c:f>
              <c:strCache>
                <c:ptCount val="1"/>
                <c:pt idx="0">
                  <c:v>政府性基金预算支出</c:v>
                </c:pt>
              </c:strCache>
            </c:strRef>
          </c:tx>
          <c:invertIfNegative val="0"/>
          <c:dLbls>
            <c:delete val="1"/>
          </c:dLbls>
          <c:cat>
            <c:strRef>
              <c:f>Sheet1!$A$2:$A$3</c:f>
              <c:strCache>
                <c:ptCount val="2"/>
                <c:pt idx="0">
                  <c:v>决算</c:v>
                </c:pt>
                <c:pt idx="1">
                  <c:v>类别 2</c:v>
                </c:pt>
              </c:strCache>
            </c:strRef>
          </c:cat>
          <c:val>
            <c:numRef>
              <c:f>Sheet1!$E$2:$E$3</c:f>
              <c:numCache>
                <c:formatCode>General</c:formatCode>
                <c:ptCount val="2"/>
                <c:pt idx="0">
                  <c:v>10192.7</c:v>
                </c:pt>
                <c:pt idx="1">
                  <c:v>2885.04</c:v>
                </c:pt>
              </c:numCache>
            </c:numRef>
          </c:val>
        </c:ser>
        <c:dLbls>
          <c:showLegendKey val="0"/>
          <c:showVal val="0"/>
          <c:showCatName val="0"/>
          <c:showSerName val="0"/>
          <c:showPercent val="0"/>
          <c:showBubbleSize val="0"/>
        </c:dLbls>
        <c:gapWidth val="150"/>
        <c:axId val="81619968"/>
        <c:axId val="81625856"/>
      </c:barChart>
      <c:catAx>
        <c:axId val="81619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25856"/>
        <c:crosses val="autoZero"/>
        <c:auto val="1"/>
        <c:lblAlgn val="ctr"/>
        <c:lblOffset val="100"/>
        <c:noMultiLvlLbl val="0"/>
      </c:catAx>
      <c:valAx>
        <c:axId val="816258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1996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Sheet1!$A$2:$A$9</c:f>
              <c:strCache>
                <c:ptCount val="8"/>
                <c:pt idx="0">
                  <c:v>教育（类）支出</c:v>
                </c:pt>
                <c:pt idx="1">
                  <c:v>社会保障和就业（类）支出</c:v>
                </c:pt>
                <c:pt idx="2">
                  <c:v>卫生健康支出</c:v>
                </c:pt>
                <c:pt idx="3">
                  <c:v>节能环保支出</c:v>
                </c:pt>
                <c:pt idx="4">
                  <c:v>城乡社区支出</c:v>
                </c:pt>
                <c:pt idx="5">
                  <c:v>交通运输支出</c:v>
                </c:pt>
                <c:pt idx="6">
                  <c:v>住房保障（类）支出</c:v>
                </c:pt>
                <c:pt idx="7">
                  <c:v>其他支出</c:v>
                </c:pt>
              </c:strCache>
            </c:strRef>
          </c:cat>
          <c:val>
            <c:numRef>
              <c:f>Sheet1!$B$2:$B$9</c:f>
              <c:numCache>
                <c:formatCode>General</c:formatCode>
                <c:ptCount val="8"/>
                <c:pt idx="0">
                  <c:v>297</c:v>
                </c:pt>
                <c:pt idx="1">
                  <c:v>165.14</c:v>
                </c:pt>
                <c:pt idx="2">
                  <c:v>158.3</c:v>
                </c:pt>
                <c:pt idx="3">
                  <c:v>14568.63</c:v>
                </c:pt>
                <c:pt idx="4">
                  <c:v>21403</c:v>
                </c:pt>
                <c:pt idx="5">
                  <c:v>994.39</c:v>
                </c:pt>
                <c:pt idx="6">
                  <c:v>825.8</c:v>
                </c:pt>
                <c:pt idx="7">
                  <c:v>300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81"/>
    <customShpInfo spid="_x0000_s2080"/>
    <customShpInfo spid="_x0000_s2079"/>
    <customShpInfo spid="_x0000_s2078"/>
    <customShpInfo spid="_x0000_s2077"/>
    <customShpInfo spid="_x0000_s2076"/>
    <customShpInfo spid="_x0000_s2075"/>
    <customShpInfo spid="_x0000_s2073"/>
    <customShpInfo spid="_x0000_s2072"/>
    <customShpInfo spid="_x0000_s2071"/>
    <customShpInfo spid="_x0000_s2070"/>
    <customShpInfo spid="_x0000_s2069"/>
    <customShpInfo spid="_x0000_s2068"/>
    <customShpInfo spid="_x0000_s2067"/>
    <customShpInfo spid="_x0000_s2066"/>
    <customShpInfo spid="_x0000_s2074"/>
    <customShpInfo spid="_x0000_s2064"/>
    <customShpInfo spid="_x0000_s2063"/>
    <customShpInfo spid="_x0000_s2062"/>
    <customShpInfo spid="_x0000_s2061"/>
    <customShpInfo spid="_x0000_s2060"/>
    <customShpInfo spid="_x0000_s2059"/>
    <customShpInfo spid="_x0000_s2058"/>
    <customShpInfo spid="_x0000_s2057"/>
    <customShpInfo spid="_x0000_s2065"/>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3A51A-0DF5-42F1-B2F7-BBC638C84EC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微软中国</Company>
  <Pages>41</Pages>
  <Words>10272</Words>
  <Characters>16237</Characters>
  <Lines>75</Lines>
  <Paragraphs>38</Paragraphs>
  <TotalTime>314</TotalTime>
  <ScaleCrop>false</ScaleCrop>
  <LinksUpToDate>false</LinksUpToDate>
  <CharactersWithSpaces>16580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2020-07-30T02:37:00Z</cp:lastPrinted>
  <dcterms:modified xsi:type="dcterms:W3CDTF">2023-06-20T07:55:22Z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F95967D5D5B54F65846619BD2B2C70B1</vt:lpwstr>
  </property>
</Properties>
</file>