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4" w:name="_GoBack"/>
      <w:bookmarkEnd w:id="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曹妃甸区委统战部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曹妃甸区委统战部编制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1.2025年统战部专项资金绩效目标表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一、总体绩效目标</w:t>
      </w:r>
    </w:p>
    <w:p>
      <w:pPr>
        <w:pStyle w:val="8"/>
      </w:pPr>
      <w:r>
        <w:t>区委统战部深入贯彻落实党中央和省、市、区委关于统一战线的各项重大决策部署，统筹各项工作开展，切实落实党风廉政建设和意识形态工作责任制，坚持构建大统战工作格局，紧扣新时代要求履职尽责，围绕高质量发展凝心聚力，圆满完成各项工作任务。</w:t>
      </w:r>
    </w:p>
    <w:p>
      <w:pPr>
        <w:pStyle w:val="8"/>
      </w:pPr>
    </w:p>
    <w:p>
      <w:pPr>
        <w:pStyle w:val="8"/>
      </w:pPr>
      <w:r>
        <w:t>二、分项绩效目标</w:t>
      </w:r>
    </w:p>
    <w:p>
      <w:pPr>
        <w:pStyle w:val="8"/>
      </w:pPr>
      <w:r>
        <w:t>分项绩效目标</w:t>
      </w:r>
    </w:p>
    <w:p>
      <w:pPr>
        <w:pStyle w:val="8"/>
      </w:pPr>
    </w:p>
    <w:p>
      <w:pPr>
        <w:pStyle w:val="8"/>
      </w:pPr>
      <w:r>
        <w:t>(一)：加强组织领导，推进党风廉政建设主体责任全面落实</w:t>
      </w:r>
    </w:p>
    <w:p>
      <w:pPr>
        <w:pStyle w:val="8"/>
      </w:pPr>
      <w:r>
        <w:t>绩效目标：坚持以习近平新时代中国特色社会主义思想为指导，深入学习贯彻党的十九大和十九届历次全会精神，牢牢把握新时代党的建设总要求，深入开展党史学习教育，以党的政治建设为统领，保障统战部各项工作高质量开展。</w:t>
      </w:r>
    </w:p>
    <w:p>
      <w:pPr>
        <w:pStyle w:val="8"/>
      </w:pPr>
      <w:r>
        <w:t>绩效指标：引领党员干部要严格遵守党的政治纪律，自觉增强政治意识、大局意识、核心意识、看齐意识，在思想上、政治上、行动上同党中央保持高度一致。</w:t>
      </w:r>
    </w:p>
    <w:p>
      <w:pPr>
        <w:pStyle w:val="8"/>
      </w:pPr>
    </w:p>
    <w:p>
      <w:pPr>
        <w:pStyle w:val="8"/>
      </w:pPr>
      <w:r>
        <w:t>（二）：围绕中心工作，扎实推进各项工作在考核中争先进位</w:t>
      </w:r>
    </w:p>
    <w:p>
      <w:pPr>
        <w:pStyle w:val="8"/>
      </w:pPr>
      <w:r>
        <w:t>绩效目标：区委统战部围绕中心工作，扎实推进各项工作的有序开展，“统一战线和宗教工作”绩效考核指标在省、市考核排名中均名列前茅.</w:t>
      </w:r>
    </w:p>
    <w:p>
      <w:pPr>
        <w:pStyle w:val="8"/>
      </w:pPr>
      <w:r>
        <w:t>绩效指标标：是坚持政治站位，全面加强党对宗教工作的领导，坚持问题导向，持续深化宗教领域治理，坚持标本兼治，扎实推进宗教领域系统治理。</w:t>
      </w:r>
    </w:p>
    <w:p>
      <w:pPr>
        <w:pStyle w:val="8"/>
      </w:pPr>
      <w:r>
        <w:t>三、工作保障措施</w:t>
      </w:r>
    </w:p>
    <w:p>
      <w:pPr>
        <w:pStyle w:val="8"/>
      </w:pPr>
      <w:r>
        <w:t xml:space="preserve">（一）完善制度建设。制定完善预算绩效管理制度、资金管理办法、工作保障制度等，为全年预算绩效目标的实现奠定制度基础。 </w:t>
      </w:r>
    </w:p>
    <w:p>
      <w:pPr>
        <w:pStyle w:val="8"/>
      </w:pPr>
      <w:r>
        <w:t>（二）加强支出管理。通过优化支出结构、编细编实预算、及时支付资金、确保支出进度达标。</w:t>
      </w:r>
    </w:p>
    <w:p>
      <w:pPr>
        <w:pStyle w:val="8"/>
      </w:pPr>
      <w:r>
        <w:t>（三）加强绩效运行监控。按要求开展绩效运行监控，发现问题及时采取措施，确保绩效目标如期保质实现。</w:t>
      </w:r>
    </w:p>
    <w:p>
      <w:pPr>
        <w:pStyle w:val="8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8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8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(一)：加强组织领导，推进党风廉政建设主体责任全面落实</w:t>
      </w:r>
    </w:p>
    <w:p>
      <w:pPr>
        <w:pStyle w:val="9"/>
      </w:pPr>
      <w:r>
        <w:t>绩效目标：坚持以习近平新时代中国特色社会主义思想为指导，深入学习贯彻党的十九大和十九届历次全会精神，牢牢把握新时代党的建设总要求，深入开展党史学习教育，以党的政治建设为统领，保障统战部各项工作高质量开展。</w:t>
      </w:r>
    </w:p>
    <w:p>
      <w:pPr>
        <w:pStyle w:val="9"/>
      </w:pPr>
      <w:r>
        <w:t>绩效指标：引领党员干部要严格遵守党的政治纪律，自觉增强政治意识、大局意识、核心意识、看齐意识，在思想上、政治上、行动上同党中央保持高度一致。</w:t>
      </w:r>
    </w:p>
    <w:p>
      <w:pPr>
        <w:pStyle w:val="9"/>
      </w:pPr>
    </w:p>
    <w:p>
      <w:pPr>
        <w:pStyle w:val="9"/>
      </w:pPr>
      <w:r>
        <w:t>（二）：围绕中心工作，扎实推进各项工作在考核中争先进位</w:t>
      </w:r>
    </w:p>
    <w:p>
      <w:pPr>
        <w:pStyle w:val="9"/>
      </w:pPr>
      <w:r>
        <w:t>绩效目标：区委统战部围绕中心工作，扎实推进各项工作的有序开展，“统一战线和宗教工作”绩效考核指标在省、市考核排名中均名列前茅.</w:t>
      </w:r>
    </w:p>
    <w:p>
      <w:pPr>
        <w:pStyle w:val="9"/>
      </w:pPr>
      <w:r>
        <w:t>绩效指标标：是坚持政治站位，全面加强党对宗教工作的领导，坚持问题导向，持续深化宗教领域治理，坚持标本兼治，扎实推进宗教领域系统治理。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</w:t>
      </w:r>
    </w:p>
    <w:p>
      <w:pPr>
        <w:pStyle w:val="10"/>
      </w:pPr>
      <w:r>
        <w:t>（一）完善制度建设。制定完善预算绩效管理制度、资金管理办法、工作保障制度等，为全年预算绩效目标的实现奠定基础。</w:t>
      </w:r>
    </w:p>
    <w:p>
      <w:pPr>
        <w:pStyle w:val="10"/>
      </w:pPr>
    </w:p>
    <w:p>
      <w:pPr>
        <w:pStyle w:val="10"/>
      </w:pPr>
      <w:r>
        <w:t>（二）加强支出管理。通过优化支出结构、编细编实预算、及时支付资金、确保支出进度达标。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（七）加强宣传培训调研等。加强人员培训，提高本部门职工业务素质；加强调研，提高资金使用效益的意见；加大宣传力度，强化预算绩效管理意识，促进预算绩效管理水平进一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1.2025年统战部专项资金绩效目标表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213001曹妃甸区委统战部本级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13020925P000057100043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2025年统战部专项资金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66.80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66.80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13020925P000057100043-2025年统战部专项资金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1.2025年12月31日前圆满完成本年度计划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培训活动次数不少于4次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考核结果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工作考核争取优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按年度工作计划完成比例95%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项目总预算控制额不超66.80万元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≤66.8按计划完成工作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达成合作意向数量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达成合作意向数量不少于10次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业务沟通成效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业务沟通成效提高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宣传次数不少于5次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专项工作宣传次数不少于5次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提供工作建议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积极采纳各部门建议更好完成工作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主管单位满意度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主管单位满意度提高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≥95按计划完成工作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按计划完成工作</w:t>
            </w:r>
          </w:p>
          <w:p>
            <w:pPr>
              <w:pStyle w:val="13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6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2025-02-25T11:04:00Z</dcterms:created>
  <dc:creator>Administrator</dc:creator>
  <cp:lastModifiedBy>Administrator</cp:lastModifiedBy>
  <dcterms:modified xsi:type="dcterms:W3CDTF">2025-02-25T06:52:14Z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B80F2F22E37C4A568EC6E6C7E8851D68</vt:lpwstr>
  </property>
</Properties>
</file>