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唐山市曹妃甸区机关事务中心</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唐山市曹妃甸区机关事务中心编制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唐山市曹妃甸区财政局审核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1.2023城区机关食堂补贴绩效目标表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2.2023年临港商务区机关工作人员伙食补助绩效目标表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3.2023年企业人员冬季取暖费绩效目标表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4.2023年四大联检正常费用绩效目标表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5.2023年置业大厦正常运转费用绩效目标表</w:t>
      </w:r>
      <w:r>
        <w:tab/>
      </w:r>
      <w:r>
        <w:fldChar w:fldCharType="begin"/>
      </w:r>
      <w:r>
        <w:instrText xml:space="preserve">PAGEREF _Toc_4_4_0000000008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6.城区后勤管理运行费绩效目标表</w:t>
      </w:r>
      <w:r>
        <w:tab/>
      </w:r>
      <w:r>
        <w:fldChar w:fldCharType="begin"/>
      </w:r>
      <w:r>
        <w:instrText xml:space="preserve">PAGEREF _Toc_4_4_0000000009 \h</w:instrText>
      </w:r>
      <w:r>
        <w:fldChar w:fldCharType="separate"/>
      </w:r>
      <w:r>
        <w:t>10</w:t>
      </w:r>
      <w:r>
        <w:fldChar w:fldCharType="end"/>
      </w:r>
      <w:r>
        <w:fldChar w:fldCharType="end"/>
      </w:r>
    </w:p>
    <w:p>
      <w:r>
        <w:fldChar w:fldCharType="end"/>
      </w:r>
    </w:p>
    <w:p>
      <w:pPr>
        <w:rPr>
          <w:rFonts w:hint="eastAsia" w:eastAsia="宋体"/>
          <w:lang w:eastAsia="zh-CN"/>
        </w:rPr>
      </w:pPr>
      <w:r>
        <w:br w:type="page"/>
      </w:r>
    </w:p>
    <w:p>
      <w:pPr>
        <w:rPr>
          <w:rFonts w:hint="eastAsia" w:eastAsia="宋体"/>
          <w:lang w:eastAsia="zh-CN"/>
        </w:rPr>
        <w:sectPr>
          <w:footerReference r:id="rId3" w:type="default"/>
          <w:footerReference r:id="rId4" w:type="even"/>
          <w:pgSz w:w="11900" w:h="16840"/>
          <w:pgMar w:top="1984" w:right="1304" w:bottom="1134" w:left="130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唐山市曹妃甸区机关事务中心绩效信息</w:t>
      </w:r>
    </w:p>
    <w:p>
      <w:pPr>
        <w:pStyle w:val="8"/>
      </w:pPr>
    </w:p>
    <w:p>
      <w:pPr>
        <w:pStyle w:val="9"/>
        <w:bidi w:val="0"/>
      </w:pPr>
      <w:r>
        <w:t>为加强项目绩效目标管理工作，作为保障机关正常运转的综合枢纽和后勤事务管理部门，始终坚持以服务为先导，牢固树立“机关事务无小事”的工作理念，不断提升服务水平和保障能力，各项工作目标取得显著成效。现将</w:t>
      </w:r>
      <w:bookmarkStart w:id="9" w:name="_GoBack"/>
      <w:bookmarkEnd w:id="9"/>
      <w:r>
        <w:t>我中心2022年项目绩效目标完成情况说明如下：</w:t>
      </w:r>
    </w:p>
    <w:p>
      <w:pPr>
        <w:pStyle w:val="8"/>
      </w:pPr>
      <w:r>
        <w:t>一是强化资产管理，严格房产设备使用维护。组织实施党政机关办公用房专项自查检查，并严格按照《党政机关办公用房管理办法》，对12家行政事业单位的办公地点进行了调整，研究制定涉改部门(单位)办公用房调配方案，积极协调涉改单位，按照单位实际在编人员数量，严格执行办公用房使用标准，合理分配办公用房，实现资源的优化配和集中统一办公，加强和规范了我区行政事业单位办公用房管理，推进办公用房资源合理配置和节约使用；较好的完成了我区59家党政机关办公用房信息统计上报工作；对我中心管理并对外出租的5家房屋进行评估、出租，保障了国有资产的增值收益。在房产设备维护方面，严格审核、规范操作，定期对管辖区域高低压配电房、水泵房、电网管道、下水管道、安防监控等系统设备运行管理和维修保养工作，以及应对大风和暴雨灾害天气基础设施的巡检排查。先后就政府机关大院和原水务局外墙体进行防水修缮作业、信访局大院路面硬化、政府主楼及人大政协楼供暖设备改造、政协及纪委楼顶防水作业、置业大厦9050会议室灯光音响改造、置业大厦各楼层局部装修装饰、协调曹发展对置业大厦楼内外监控设备及消防设施进行更换等，不断改善机关后勤条件。</w:t>
      </w:r>
    </w:p>
    <w:p>
      <w:pPr>
        <w:pStyle w:val="8"/>
      </w:pPr>
      <w:r>
        <w:t>二是强化车辆保障，高效推进公务用车管理工作。严格做好全区企事业单位车改后续工作，对全区52家事业单位16家企业、74辆公务用车，严格落实“三化管理”（管理平台化、平台信息化、车辆标识化），并做好档案信息的收集整理工作。为确保公务用车管理工作有序推进，取得实效，在原制订的各项规章制度的基础上进一步补充和完善车辆制度及流程，并完善跨部门行政执法平台22台车辆划转工作，进一步规范程序，做到按规章办事，按工作程序办事，按职责要求办事，为用车单位提供了优质的用车服务，全年累计派车近700。同时，按区纪委、区财政局规定要求，为规范全区行政事业单位公务活动用车使用管理，实行公务用车按照市场化经营模式运营，认真做好公务活动租赁社会车辆的审批、协调及相关租赁事项，全年共服务保障行政事业单位公务集体活动400余场次，租赁使用社会车辆807辆次。</w:t>
      </w:r>
    </w:p>
    <w:p>
      <w:pPr>
        <w:pStyle w:val="8"/>
      </w:pPr>
      <w:r>
        <w:t>三是强化创新意识，循序推进公共机构节能工作。制定本区域年度节能工作实施方案，并根据全市统一安排，制定《唐山市曹妃甸区节约型机关创建行动实施方案》，参与创建的50家单位分2020年、2021年、2022年三个批次完成创建。制定《唐山市曹妃甸区节水型机关建设实施方案》，参与创建的22家单位在2021年底完成创建任务。对全区公共机构开展能源资源消费统计工作。同时，在我区开展节能宣传周工作，通过制作节能宣传横幅，张贴节能宣传画，发放节能宣传手册，进一步增强了全区机关工作人员节能降耗的意识，全年累计发放各类节能宣传册500余份、悬挂条幅10余张、更换节能型灯具1000余个，节能型水龙头200余，投入500万元，重点启动冀东俱乐部活动中心项目，安装影音设备，目前即将投入使用，为全区文化建设提供优质场地、提高机关食堂服务水平，装修改造了工业区机关食堂，添置空调桌椅等厨房设备。同时，对厨师进行技术培训，通过学习，提高了厨技，菜肴口味和品种花样均有较大改善，机关干部的满意率不断提升、提高物业管理水平。我们把工作重点放在设施线路的日常维护和保养工作上，确保了各类设备设施的高效运转。针对部分设施陈旧老化的现状，对政府大院供暖设施全面更新，对置业大厦进行了维修维护，确保维修响应率、成功率和满意率达到百分之百。</w:t>
      </w:r>
    </w:p>
    <w:p>
      <w:pPr>
        <w:pStyle w:val="8"/>
      </w:pPr>
      <w:r>
        <w:t>四是提高机关大院的环境卫生和绿化美化管理水平。积极响应垃圾分类的号召，辖区范围内，摆放了分类垃圾箱。同时配合疫情防控要求，每天对重点区域消杀两次，对进出人员进行体温监控和车辆登记，确保了办公环境的整洁优美。</w:t>
      </w:r>
    </w:p>
    <w:p>
      <w:pPr>
        <w:pStyle w:val="8"/>
      </w:pPr>
      <w:r>
        <w:t>五是强化服务意识，大力推进优质高效后勤服务工作。在会务服务工作中，坚持高标准服务，每场会议都做到了会前准备充分、会中现场服务到位、会后清整有序，全力打造零差错、零失误的服务保障机制。截止目前，共保障各类大小会议2000余场次。加强食堂管理，明确职责分工，形成有效监管和合理监督，并健全完善库存管理台账和存货计价方式，加强库存管理。加强食堂存量资金管理，在预算总量不增加的基础上，提高食堂菜样品种和营养搭配。坚持高标准，严要求，切实抓好领导和员工宿舍小区的服务保障和日常管理工作，确保为入住人员提供优质高效的服务。</w:t>
      </w:r>
    </w:p>
    <w:p>
      <w:pPr>
        <w:numPr>
          <w:ilvl w:val="0"/>
          <w:numId w:val="1"/>
        </w:numPr>
        <w:spacing w:before="10" w:after="10"/>
        <w:ind w:firstLine="560"/>
        <w:jc w:val="left"/>
        <w:outlineLvl w:val="1"/>
        <w:rPr>
          <w:rFonts w:ascii="方正黑体_GBK" w:hAnsi="方正黑体_GBK" w:eastAsia="方正黑体_GBK" w:cs="方正黑体_GBK"/>
          <w:color w:val="000000"/>
          <w:sz w:val="28"/>
        </w:rPr>
      </w:pPr>
      <w:bookmarkStart w:id="1" w:name="_Toc_2_2_0000000002"/>
      <w:r>
        <w:rPr>
          <w:rFonts w:ascii="方正黑体_GBK" w:hAnsi="方正黑体_GBK" w:eastAsia="方正黑体_GBK" w:cs="方正黑体_GBK"/>
          <w:color w:val="000000"/>
          <w:sz w:val="28"/>
        </w:rPr>
        <w:t>分项绩效目标</w:t>
      </w:r>
      <w:bookmarkEnd w:id="1"/>
    </w:p>
    <w:p>
      <w:pPr>
        <w:pStyle w:val="9"/>
      </w:pPr>
      <w:r>
        <w:rPr>
          <w:rFonts w:hint="eastAsia" w:ascii="方正黑体_GBK" w:hAnsi="方正黑体_GBK" w:eastAsia="方正黑体_GBK" w:cs="方正黑体_GBK"/>
          <w:color w:val="000000"/>
          <w:sz w:val="28"/>
          <w:lang w:val="en-US" w:eastAsia="zh-CN"/>
        </w:rPr>
        <w:t xml:space="preserve"> </w:t>
      </w:r>
      <w:r>
        <w:t>1)办公室</w:t>
      </w:r>
    </w:p>
    <w:p>
      <w:pPr>
        <w:pStyle w:val="9"/>
      </w:pPr>
      <w:r>
        <w:t>负责党务、政务工作；负责综合协调、综合性文字起草工作；负责人事、机构编制和工资福利工作；负责档案、保密、信息及内部规章制度的制定和目标考核管理；负责机关办公用品采购、管理工作；负责单位政府采购工作；领导交办的其他工作。</w:t>
      </w:r>
    </w:p>
    <w:p>
      <w:pPr>
        <w:pStyle w:val="9"/>
      </w:pPr>
      <w:r>
        <w:t>2)财务室</w:t>
      </w:r>
    </w:p>
    <w:p>
      <w:pPr>
        <w:pStyle w:val="9"/>
      </w:pPr>
      <w:r>
        <w:t>负责本单位及代管部门职工相关保险、公积金的缴纳工作；负责其他财务工作。</w:t>
      </w:r>
    </w:p>
    <w:p>
      <w:pPr>
        <w:pStyle w:val="9"/>
      </w:pPr>
      <w:r>
        <w:t>3)房产设备一科</w:t>
      </w:r>
    </w:p>
    <w:p>
      <w:pPr>
        <w:pStyle w:val="9"/>
      </w:pPr>
      <w:r>
        <w:t>负责临港商务区内管辖区域办公用房的配置、调剂、维修、改造等相关工作；承担管辖区域水、电、冷暖气供应及相关设施设备维修；负责党政机关办公用房信息管理系统的数据统计、信息录入工作；负责区域内机关事业单位办公用房租赁工作。</w:t>
      </w:r>
    </w:p>
    <w:p>
      <w:pPr>
        <w:pStyle w:val="9"/>
      </w:pPr>
      <w:r>
        <w:t>4)房产设备二科</w:t>
      </w:r>
    </w:p>
    <w:p>
      <w:pPr>
        <w:pStyle w:val="9"/>
      </w:pPr>
      <w:r>
        <w:t>负责主城区内管辖区域办公用房的配置、调剂、使用、维修改、造等相关工作；承担管辖区域内水、电、冷暖气供应及相关设施设备维修；负责管辖区域内机关事业单位办公用房租赁工作。</w:t>
      </w:r>
    </w:p>
    <w:p>
      <w:pPr>
        <w:pStyle w:val="9"/>
      </w:pPr>
      <w:r>
        <w:t>5)公务用车管理科</w:t>
      </w:r>
    </w:p>
    <w:p>
      <w:pPr>
        <w:pStyle w:val="9"/>
      </w:pPr>
      <w:r>
        <w:t>负责区公务用车平台及机关公务用车的调配、管理、维护等工作；负责公务用车信息化管理平台的日常和维护工作；负责全区机关事业单位公务活动租赁社会车辆的协调管理及服务保障工作。</w:t>
      </w:r>
    </w:p>
    <w:p>
      <w:pPr>
        <w:pStyle w:val="9"/>
      </w:pPr>
      <w:r>
        <w:t>6) 绿化卫生管理科</w:t>
      </w:r>
    </w:p>
    <w:p>
      <w:pPr>
        <w:pStyle w:val="9"/>
      </w:pPr>
      <w:r>
        <w:t>负责管辖办公区域内爱国卫生、绿化管理、环境综合整治等工作。</w:t>
      </w:r>
    </w:p>
    <w:p>
      <w:pPr>
        <w:pStyle w:val="9"/>
      </w:pPr>
      <w:r>
        <w:t>7) 安全保卫科</w:t>
      </w:r>
    </w:p>
    <w:p>
      <w:pPr>
        <w:pStyle w:val="9"/>
      </w:pPr>
      <w:r>
        <w:t>负责管辖办公区域的安全保卫工作、应急消防、交通秩序及社会治安综合治理工作；协助公安和信访部门处置群体性突发事件和上访工作。</w:t>
      </w:r>
    </w:p>
    <w:p>
      <w:pPr>
        <w:pStyle w:val="9"/>
      </w:pPr>
      <w:r>
        <w:t>8)会务服务保障科</w:t>
      </w:r>
    </w:p>
    <w:p>
      <w:pPr>
        <w:pStyle w:val="9"/>
      </w:pPr>
      <w:r>
        <w:t>负责区有关重大活动和重要会议的后勤保障工作；负责区领导办公室、会议室的日常服务和保障工作；负责区领导周转房、员工宿舍的保障管理和相关服务保障工作。</w:t>
      </w:r>
    </w:p>
    <w:p>
      <w:pPr>
        <w:pStyle w:val="9"/>
      </w:pPr>
      <w:r>
        <w:t>9)膳食科</w:t>
      </w:r>
    </w:p>
    <w:p>
      <w:pPr>
        <w:pStyle w:val="9"/>
      </w:pPr>
      <w:r>
        <w:t>负责区直机关食堂的管理工作。</w:t>
      </w:r>
    </w:p>
    <w:p>
      <w:pPr>
        <w:numPr>
          <w:ilvl w:val="0"/>
          <w:numId w:val="0"/>
        </w:numPr>
        <w:spacing w:before="10" w:after="10"/>
        <w:jc w:val="left"/>
        <w:outlineLvl w:val="1"/>
        <w:rPr>
          <w:rFonts w:hint="eastAsia" w:ascii="方正黑体_GBK" w:hAnsi="方正黑体_GBK" w:eastAsia="方正黑体_GBK" w:cs="方正黑体_GBK"/>
          <w:color w:val="000000"/>
          <w:sz w:val="28"/>
          <w:lang w:val="en-US" w:eastAsia="zh-CN"/>
        </w:rPr>
      </w:pPr>
    </w:p>
    <w:p>
      <w:pPr>
        <w:pStyle w:val="9"/>
      </w:pPr>
    </w:p>
    <w:p>
      <w:pPr>
        <w:numPr>
          <w:ilvl w:val="0"/>
          <w:numId w:val="1"/>
        </w:numPr>
        <w:spacing w:before="10" w:after="10"/>
        <w:ind w:left="0" w:leftChars="0" w:firstLine="560" w:firstLineChars="0"/>
        <w:jc w:val="left"/>
        <w:outlineLvl w:val="1"/>
        <w:rPr>
          <w:rFonts w:ascii="方正黑体_GBK" w:hAnsi="方正黑体_GBK" w:eastAsia="方正黑体_GBK" w:cs="方正黑体_GBK"/>
          <w:color w:val="000000"/>
          <w:sz w:val="28"/>
        </w:rPr>
      </w:pPr>
      <w:bookmarkStart w:id="2" w:name="_Toc_2_2_0000000003"/>
      <w:r>
        <w:rPr>
          <w:rFonts w:ascii="方正黑体_GBK" w:hAnsi="方正黑体_GBK" w:eastAsia="方正黑体_GBK" w:cs="方正黑体_GBK"/>
          <w:color w:val="000000"/>
          <w:sz w:val="28"/>
        </w:rPr>
        <w:t>工作保障措施</w:t>
      </w:r>
      <w:bookmarkEnd w:id="2"/>
    </w:p>
    <w:p>
      <w:pPr>
        <w:pStyle w:val="10"/>
      </w:pPr>
      <w:r>
        <w:t>工作保障措施：</w:t>
      </w:r>
    </w:p>
    <w:p>
      <w:pPr>
        <w:pStyle w:val="10"/>
      </w:pPr>
      <w:r>
        <w:t>我中心通过健全组织机构，完善工作机制，创新工作举措，有力的推动力各项工作开展落实。一是高度重视，完善组织。成立了以刘景海为组长，</w:t>
      </w:r>
      <w:r>
        <w:rPr>
          <w:rFonts w:hint="eastAsia"/>
          <w:lang w:eastAsia="zh-CN"/>
        </w:rPr>
        <w:t>丁亚轩</w:t>
      </w:r>
      <w:r>
        <w:t>为副组长，中心各科室负责人为成员决算工作领导小组，领导小组下设会计室。同时，制定了《曹妃甸区机关事务中心预算编制工作实施方案》，明确责任、层层落实；二是细化措施，规范管理。根据工作方案，进一步细化工作目标任务和措施，建立健全阶段性、专项性工作计划；同时，完善机关事务中心内控工作制度，规范管理会计财务制度。三是健全考评体系。制定机关事务中心全年重点工作，坚持目标导向，把各项工程工作完成情况作为党员干部终考评的重要内容。强化制度约束，奖惩分明，引导广大党员领导干部扎实做好各项日常工作，为机关中心各项工作的扎实开展提供了强有力的组织保证。</w:t>
      </w:r>
    </w:p>
    <w:p>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numPr>
          <w:ilvl w:val="0"/>
          <w:numId w:val="0"/>
        </w:numPr>
        <w:spacing w:before="10" w:after="10"/>
        <w:ind w:left="560" w:leftChars="0"/>
        <w:jc w:val="left"/>
        <w:outlineLvl w:val="1"/>
        <w:rPr>
          <w:rFonts w:ascii="方正黑体_GBK" w:hAnsi="方正黑体_GBK" w:eastAsia="方正黑体_GBK" w:cs="方正黑体_GBK"/>
          <w:color w:val="000000"/>
          <w:sz w:val="28"/>
        </w:rPr>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1.2023城区机关食堂补贴绩效目标表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13020923P00006310001U</w:t>
            </w:r>
          </w:p>
        </w:tc>
        <w:tc>
          <w:tcPr>
            <w:tcW w:w="1587" w:type="dxa"/>
            <w:vAlign w:val="center"/>
          </w:tcPr>
          <w:p>
            <w:pPr>
              <w:pStyle w:val="14"/>
            </w:pPr>
            <w:r>
              <w:t>项目名称</w:t>
            </w:r>
          </w:p>
        </w:tc>
        <w:tc>
          <w:tcPr>
            <w:tcW w:w="4422" w:type="dxa"/>
            <w:gridSpan w:val="3"/>
            <w:vAlign w:val="center"/>
          </w:tcPr>
          <w:p>
            <w:pPr>
              <w:pStyle w:val="13"/>
            </w:pPr>
            <w:r>
              <w:t>2023城区机关食堂补贴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150.00</w:t>
            </w:r>
          </w:p>
        </w:tc>
        <w:tc>
          <w:tcPr>
            <w:tcW w:w="1587" w:type="dxa"/>
            <w:vAlign w:val="center"/>
          </w:tcPr>
          <w:p>
            <w:pPr>
              <w:pStyle w:val="14"/>
            </w:pPr>
            <w:r>
              <w:t>其中：财政    资金</w:t>
            </w:r>
          </w:p>
        </w:tc>
        <w:tc>
          <w:tcPr>
            <w:tcW w:w="1304" w:type="dxa"/>
            <w:vAlign w:val="center"/>
          </w:tcPr>
          <w:p>
            <w:pPr>
              <w:pStyle w:val="13"/>
            </w:pPr>
            <w:r>
              <w:t>150.00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城区机关食堂补贴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ind w:firstLine="0" w:firstLineChars="0"/>
            </w:pPr>
            <w:r>
              <w:rPr>
                <w:rFonts w:hint="eastAsia"/>
                <w:lang w:val="en-US" w:eastAsia="zh-CN"/>
              </w:rPr>
              <w:t>30%</w:t>
            </w:r>
          </w:p>
        </w:tc>
        <w:tc>
          <w:tcPr>
            <w:tcW w:w="1587" w:type="dxa"/>
            <w:vAlign w:val="center"/>
          </w:tcPr>
          <w:p>
            <w:pPr>
              <w:pStyle w:val="15"/>
              <w:ind w:firstLine="0" w:firstLineChars="0"/>
            </w:pPr>
            <w:r>
              <w:rPr>
                <w:rFonts w:hint="eastAsia"/>
                <w:lang w:val="en-US" w:eastAsia="zh-CN"/>
              </w:rPr>
              <w:t>50%</w:t>
            </w:r>
          </w:p>
        </w:tc>
        <w:tc>
          <w:tcPr>
            <w:tcW w:w="1304" w:type="dxa"/>
            <w:vAlign w:val="center"/>
          </w:tcPr>
          <w:p>
            <w:pPr>
              <w:pStyle w:val="15"/>
              <w:ind w:firstLine="0" w:firstLineChars="0"/>
            </w:pPr>
            <w:r>
              <w:rPr>
                <w:rFonts w:hint="eastAsia"/>
                <w:lang w:val="en-US" w:eastAsia="zh-CN"/>
              </w:rPr>
              <w:t>80%</w:t>
            </w:r>
          </w:p>
        </w:tc>
        <w:tc>
          <w:tcPr>
            <w:tcW w:w="3118" w:type="dxa"/>
            <w:gridSpan w:val="2"/>
            <w:vAlign w:val="center"/>
          </w:tcPr>
          <w:p>
            <w:pPr>
              <w:pStyle w:val="15"/>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rPr>
                <w:rFonts w:hint="eastAsia" w:eastAsia="方正书宋_GBK"/>
                <w:highlight w:val="none"/>
                <w:lang w:val="en-US" w:eastAsia="zh-CN"/>
              </w:rPr>
            </w:pPr>
            <w:r>
              <w:rPr>
                <w:highlight w:val="none"/>
              </w:rPr>
              <w:t>食堂补贴</w:t>
            </w:r>
            <w:r>
              <w:rPr>
                <w:rFonts w:hint="eastAsia"/>
                <w:highlight w:val="none"/>
                <w:lang w:val="en-US" w:eastAsia="zh-CN"/>
              </w:rPr>
              <w:t>对象</w:t>
            </w:r>
          </w:p>
        </w:tc>
        <w:tc>
          <w:tcPr>
            <w:tcW w:w="2654" w:type="dxa"/>
            <w:vAlign w:val="center"/>
          </w:tcPr>
          <w:p>
            <w:pPr>
              <w:pStyle w:val="13"/>
              <w:ind w:firstLine="0" w:firstLineChars="0"/>
              <w:rPr>
                <w:highlight w:val="none"/>
              </w:rPr>
            </w:pPr>
            <w:r>
              <w:rPr>
                <w:highlight w:val="none"/>
              </w:rPr>
              <w:t>食堂补贴</w:t>
            </w:r>
            <w:r>
              <w:rPr>
                <w:rFonts w:hint="eastAsia"/>
                <w:highlight w:val="none"/>
                <w:lang w:val="en-US" w:eastAsia="zh-CN"/>
              </w:rPr>
              <w:t>对象</w:t>
            </w:r>
          </w:p>
        </w:tc>
        <w:tc>
          <w:tcPr>
            <w:tcW w:w="1327" w:type="dxa"/>
            <w:vAlign w:val="center"/>
          </w:tcPr>
          <w:p>
            <w:pPr>
              <w:pStyle w:val="13"/>
              <w:ind w:firstLine="0" w:firstLineChars="0"/>
              <w:rPr>
                <w:rFonts w:hint="default"/>
                <w:highlight w:val="none"/>
                <w:lang w:val="en-US"/>
              </w:rPr>
            </w:pPr>
            <w:r>
              <w:rPr>
                <w:highlight w:val="none"/>
              </w:rPr>
              <w:t>≥</w:t>
            </w:r>
            <w:r>
              <w:rPr>
                <w:rFonts w:hint="eastAsia"/>
                <w:highlight w:val="none"/>
                <w:lang w:val="en-US" w:eastAsia="zh-CN"/>
              </w:rPr>
              <w:t>450人</w:t>
            </w:r>
          </w:p>
        </w:tc>
        <w:tc>
          <w:tcPr>
            <w:tcW w:w="1327" w:type="dxa"/>
            <w:vAlign w:val="center"/>
          </w:tcPr>
          <w:p>
            <w:pPr>
              <w:pStyle w:val="13"/>
              <w:ind w:firstLine="0" w:firstLineChars="0"/>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ind w:firstLine="0" w:firstLineChars="0"/>
            </w:pPr>
            <w:r>
              <w:t>质量指标</w:t>
            </w:r>
          </w:p>
        </w:tc>
        <w:tc>
          <w:tcPr>
            <w:tcW w:w="1327" w:type="dxa"/>
            <w:vAlign w:val="center"/>
          </w:tcPr>
          <w:p>
            <w:pPr>
              <w:pStyle w:val="13"/>
              <w:ind w:firstLine="0" w:firstLineChars="0"/>
            </w:pPr>
            <w:r>
              <w:rPr>
                <w:rFonts w:hint="eastAsia"/>
                <w:color w:val="333333"/>
                <w:shd w:val="clear" w:color="auto" w:fill="FFFFFF"/>
              </w:rPr>
              <w:t>全年不发生食品安全事故</w:t>
            </w:r>
          </w:p>
        </w:tc>
        <w:tc>
          <w:tcPr>
            <w:tcW w:w="2654" w:type="dxa"/>
            <w:vAlign w:val="center"/>
          </w:tcPr>
          <w:p>
            <w:pPr>
              <w:pStyle w:val="13"/>
              <w:ind w:firstLine="0" w:firstLineChars="0"/>
            </w:pPr>
            <w:r>
              <w:rPr>
                <w:rFonts w:hint="eastAsia"/>
                <w:color w:val="333333"/>
                <w:shd w:val="clear" w:color="auto" w:fill="FFFFFF"/>
              </w:rPr>
              <w:t>加强食堂的监督管理，提升餐饮保障质量，确保全年不发生食品安全事故</w:t>
            </w:r>
          </w:p>
        </w:tc>
        <w:tc>
          <w:tcPr>
            <w:tcW w:w="1327" w:type="dxa"/>
            <w:vAlign w:val="center"/>
          </w:tcPr>
          <w:p>
            <w:pPr>
              <w:pStyle w:val="13"/>
              <w:ind w:firstLine="0" w:firstLineChars="0"/>
            </w:pPr>
            <w:r>
              <w:rPr>
                <w:rFonts w:hint="eastAsia"/>
                <w:color w:val="333333"/>
                <w:shd w:val="clear" w:color="auto" w:fill="FFFFFF"/>
              </w:rPr>
              <w:t>全年不发生食品安全事故</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及时完成工作</w:t>
            </w:r>
          </w:p>
        </w:tc>
        <w:tc>
          <w:tcPr>
            <w:tcW w:w="1327" w:type="dxa"/>
            <w:vAlign w:val="center"/>
          </w:tcPr>
          <w:p>
            <w:pPr>
              <w:pStyle w:val="13"/>
              <w:ind w:firstLine="0" w:firstLineChars="0"/>
            </w:pPr>
            <w:r>
              <w:rPr>
                <w:rFonts w:hint="eastAsia"/>
                <w:lang w:val="en-US" w:eastAsia="zh-CN"/>
              </w:rPr>
              <w:t>2023年12月31日之前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项目实际成本</w:t>
            </w:r>
          </w:p>
        </w:tc>
        <w:tc>
          <w:tcPr>
            <w:tcW w:w="2654" w:type="dxa"/>
            <w:vAlign w:val="center"/>
          </w:tcPr>
          <w:p>
            <w:pPr>
              <w:pStyle w:val="13"/>
            </w:pPr>
            <w:r>
              <w:t>节约成本</w:t>
            </w:r>
          </w:p>
        </w:tc>
        <w:tc>
          <w:tcPr>
            <w:tcW w:w="1327" w:type="dxa"/>
            <w:vAlign w:val="center"/>
          </w:tcPr>
          <w:p>
            <w:pPr>
              <w:pStyle w:val="13"/>
              <w:ind w:firstLine="0" w:firstLineChars="0"/>
            </w:pPr>
            <w:r>
              <w:rPr>
                <w:rFonts w:ascii="Arial" w:hAnsi="Arial" w:eastAsia="宋体" w:cs="Arial"/>
              </w:rPr>
              <w:t>≤</w:t>
            </w:r>
            <w:r>
              <w:rPr>
                <w:rFonts w:hint="eastAsia" w:ascii="Arial" w:hAnsi="Arial" w:eastAsia="宋体" w:cs="Arial"/>
                <w:lang w:eastAsia="zh-CN"/>
              </w:rPr>
              <w:t>150万元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rPr>
                <w:rFonts w:hint="default" w:eastAsia="宋体"/>
                <w:lang w:val="en-US" w:eastAsia="zh-CN"/>
              </w:rPr>
            </w:pPr>
            <w:r>
              <w:rPr>
                <w:rFonts w:hint="eastAsia" w:eastAsia="宋体"/>
                <w:lang w:val="en-US" w:eastAsia="zh-CN"/>
              </w:rPr>
              <w:t>效益指标</w:t>
            </w:r>
          </w:p>
        </w:tc>
        <w:tc>
          <w:tcPr>
            <w:tcW w:w="1327" w:type="dxa"/>
            <w:vAlign w:val="center"/>
          </w:tcPr>
          <w:p>
            <w:pPr>
              <w:pStyle w:val="13"/>
              <w:ind w:firstLine="0" w:firstLineChars="0"/>
            </w:pPr>
            <w:r>
              <w:t>可持续影响指标</w:t>
            </w:r>
          </w:p>
        </w:tc>
        <w:tc>
          <w:tcPr>
            <w:tcW w:w="1327" w:type="dxa"/>
            <w:vAlign w:val="center"/>
          </w:tcPr>
          <w:p>
            <w:pPr>
              <w:pStyle w:val="13"/>
              <w:rPr>
                <w:rFonts w:hint="eastAsia"/>
                <w:lang w:eastAsia="zh-CN"/>
              </w:rPr>
            </w:pPr>
            <w:r>
              <w:rPr>
                <w:rFonts w:hint="eastAsia"/>
                <w:color w:val="333333"/>
                <w:shd w:val="clear" w:color="auto" w:fill="FFFFFF"/>
              </w:rPr>
              <w:t>提升机关工作人员安全感、幸福感</w:t>
            </w:r>
          </w:p>
          <w:p>
            <w:pPr>
              <w:pStyle w:val="13"/>
              <w:ind w:firstLine="0" w:firstLineChars="0"/>
            </w:pPr>
          </w:p>
        </w:tc>
        <w:tc>
          <w:tcPr>
            <w:tcW w:w="2654" w:type="dxa"/>
            <w:vAlign w:val="center"/>
          </w:tcPr>
          <w:p>
            <w:pPr>
              <w:pStyle w:val="13"/>
              <w:ind w:firstLine="0" w:firstLineChars="0"/>
            </w:pPr>
            <w:r>
              <w:rPr>
                <w:rFonts w:hint="eastAsia"/>
                <w:color w:val="333333"/>
                <w:shd w:val="clear" w:color="auto" w:fill="FFFFFF"/>
              </w:rPr>
              <w:t>建立相关台账，强化监管提升服务质量，对提升机关工作人员安全感、幸福感的作用</w:t>
            </w:r>
          </w:p>
        </w:tc>
        <w:tc>
          <w:tcPr>
            <w:tcW w:w="1327" w:type="dxa"/>
            <w:vAlign w:val="center"/>
          </w:tcPr>
          <w:p>
            <w:pPr>
              <w:pStyle w:val="13"/>
              <w:ind w:firstLine="0" w:firstLineChars="0"/>
            </w:pPr>
            <w:r>
              <w:rPr>
                <w:rFonts w:hint="eastAsia"/>
                <w:color w:val="333333"/>
                <w:shd w:val="clear" w:color="auto" w:fill="FFFFFF"/>
              </w:rPr>
              <w:t>提升机关工作人员安全感、幸福感</w:t>
            </w:r>
          </w:p>
        </w:tc>
        <w:tc>
          <w:tcPr>
            <w:tcW w:w="1327" w:type="dxa"/>
            <w:vAlign w:val="center"/>
          </w:tcPr>
          <w:p>
            <w:r>
              <w:rPr>
                <w:rFonts w:hint="eastAsia" w:eastAsia="宋体"/>
                <w:lang w:eastAsia="zh-C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服务人员的满意</w:t>
            </w:r>
          </w:p>
        </w:tc>
        <w:tc>
          <w:tcPr>
            <w:tcW w:w="1327" w:type="dxa"/>
            <w:vAlign w:val="center"/>
          </w:tcPr>
          <w:p>
            <w:pPr>
              <w:pStyle w:val="13"/>
              <w:ind w:firstLine="0" w:firstLineChars="0"/>
              <w:rPr>
                <w:rFonts w:hint="default"/>
                <w:lang w:val="en-US"/>
              </w:rPr>
            </w:pPr>
            <w:r>
              <w:t>≥</w:t>
            </w:r>
            <w:r>
              <w:rPr>
                <w:rFonts w:hint="eastAsia"/>
                <w:lang w:val="en-US" w:eastAsia="zh-CN"/>
              </w:rPr>
              <w:t>95%</w:t>
            </w:r>
          </w:p>
        </w:tc>
        <w:tc>
          <w:tcPr>
            <w:tcW w:w="1327" w:type="dxa"/>
            <w:vAlign w:val="center"/>
          </w:tcPr>
          <w:p>
            <w:r>
              <w:rPr>
                <w:rFonts w:hint="eastAsia"/>
                <w:lang w:val="en-US" w:eastAsia="zh-CN"/>
              </w:rPr>
              <w:t>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2.2023年临港商务区机关工作人员伙食补助绩效目标表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00"/>
        <w:gridCol w:w="1354"/>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13020923P000068100018</w:t>
            </w:r>
          </w:p>
        </w:tc>
        <w:tc>
          <w:tcPr>
            <w:tcW w:w="1327" w:type="dxa"/>
            <w:vAlign w:val="center"/>
          </w:tcPr>
          <w:p>
            <w:pPr>
              <w:pStyle w:val="14"/>
            </w:pPr>
            <w:r>
              <w:t>项目名称</w:t>
            </w:r>
          </w:p>
        </w:tc>
        <w:tc>
          <w:tcPr>
            <w:tcW w:w="3981" w:type="dxa"/>
            <w:gridSpan w:val="3"/>
            <w:vAlign w:val="center"/>
          </w:tcPr>
          <w:p>
            <w:pPr>
              <w:pStyle w:val="13"/>
            </w:pPr>
            <w:r>
              <w:t>2023年临港商务区机关工作人员伙食补助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00" w:type="dxa"/>
            <w:vAlign w:val="center"/>
          </w:tcPr>
          <w:p>
            <w:pPr>
              <w:pStyle w:val="14"/>
            </w:pPr>
            <w:r>
              <w:t>预算数</w:t>
            </w:r>
          </w:p>
        </w:tc>
        <w:tc>
          <w:tcPr>
            <w:tcW w:w="1354" w:type="dxa"/>
            <w:vAlign w:val="center"/>
          </w:tcPr>
          <w:p>
            <w:pPr>
              <w:pStyle w:val="13"/>
            </w:pPr>
            <w:r>
              <w:t>2249.14</w:t>
            </w:r>
          </w:p>
        </w:tc>
        <w:tc>
          <w:tcPr>
            <w:tcW w:w="1327" w:type="dxa"/>
            <w:vAlign w:val="center"/>
          </w:tcPr>
          <w:p>
            <w:pPr>
              <w:pStyle w:val="14"/>
            </w:pPr>
            <w:r>
              <w:t>其中：财政    资金</w:t>
            </w:r>
          </w:p>
        </w:tc>
        <w:tc>
          <w:tcPr>
            <w:tcW w:w="1327" w:type="dxa"/>
            <w:vAlign w:val="center"/>
          </w:tcPr>
          <w:p>
            <w:pPr>
              <w:pStyle w:val="13"/>
            </w:pPr>
            <w:r>
              <w:t>2249.14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临港商务工作人员伙食补贴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ind w:firstLine="0" w:firstLineChars="0"/>
            </w:pPr>
            <w:r>
              <w:rPr>
                <w:rFonts w:hint="eastAsia"/>
                <w:lang w:val="en-US" w:eastAsia="zh-CN"/>
              </w:rPr>
              <w:t>30%</w:t>
            </w:r>
          </w:p>
        </w:tc>
        <w:tc>
          <w:tcPr>
            <w:tcW w:w="1327" w:type="dxa"/>
            <w:vAlign w:val="center"/>
          </w:tcPr>
          <w:p>
            <w:pPr>
              <w:pStyle w:val="15"/>
              <w:ind w:firstLine="0" w:firstLineChars="0"/>
            </w:pPr>
            <w:r>
              <w:rPr>
                <w:rFonts w:hint="eastAsia"/>
                <w:lang w:val="en-US" w:eastAsia="zh-CN"/>
              </w:rPr>
              <w:t>50%</w:t>
            </w:r>
          </w:p>
        </w:tc>
        <w:tc>
          <w:tcPr>
            <w:tcW w:w="1327" w:type="dxa"/>
            <w:vAlign w:val="center"/>
          </w:tcPr>
          <w:p>
            <w:pPr>
              <w:pStyle w:val="15"/>
              <w:ind w:firstLine="0" w:firstLineChars="0"/>
            </w:pPr>
            <w:r>
              <w:rPr>
                <w:rFonts w:hint="eastAsia"/>
                <w:lang w:val="en-US" w:eastAsia="zh-CN"/>
              </w:rPr>
              <w:t>80%</w:t>
            </w:r>
          </w:p>
        </w:tc>
        <w:tc>
          <w:tcPr>
            <w:tcW w:w="2654" w:type="dxa"/>
            <w:gridSpan w:val="2"/>
            <w:vAlign w:val="center"/>
          </w:tcPr>
          <w:p>
            <w:pPr>
              <w:pStyle w:val="15"/>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rPr>
                <w:highlight w:val="none"/>
              </w:rPr>
            </w:pPr>
            <w:r>
              <w:rPr>
                <w:rFonts w:hint="eastAsia"/>
                <w:highlight w:val="none"/>
              </w:rPr>
              <w:t>伙食补助</w:t>
            </w:r>
            <w:r>
              <w:rPr>
                <w:rFonts w:hint="eastAsia"/>
                <w:highlight w:val="none"/>
                <w:lang w:eastAsia="zh-CN"/>
              </w:rPr>
              <w:t>对象</w:t>
            </w:r>
          </w:p>
        </w:tc>
        <w:tc>
          <w:tcPr>
            <w:tcW w:w="2654" w:type="dxa"/>
            <w:vAlign w:val="center"/>
          </w:tcPr>
          <w:p>
            <w:pPr>
              <w:pStyle w:val="13"/>
              <w:ind w:firstLine="0" w:firstLineChars="0"/>
              <w:rPr>
                <w:highlight w:val="none"/>
              </w:rPr>
            </w:pPr>
            <w:r>
              <w:rPr>
                <w:rFonts w:hint="eastAsia"/>
                <w:highlight w:val="none"/>
              </w:rPr>
              <w:t>伙食补助</w:t>
            </w:r>
            <w:r>
              <w:rPr>
                <w:rFonts w:hint="eastAsia"/>
                <w:highlight w:val="none"/>
                <w:lang w:eastAsia="zh-CN"/>
              </w:rPr>
              <w:t>对象</w:t>
            </w:r>
          </w:p>
        </w:tc>
        <w:tc>
          <w:tcPr>
            <w:tcW w:w="1327" w:type="dxa"/>
            <w:vAlign w:val="center"/>
          </w:tcPr>
          <w:p>
            <w:pPr>
              <w:pStyle w:val="13"/>
              <w:ind w:firstLine="0" w:firstLineChars="0"/>
              <w:rPr>
                <w:highlight w:val="none"/>
              </w:rPr>
            </w:pPr>
            <w:r>
              <w:rPr>
                <w:rFonts w:hint="eastAsia"/>
                <w:highlight w:val="none"/>
                <w:lang w:eastAsia="zh-CN"/>
              </w:rPr>
              <w:t>≤</w:t>
            </w:r>
            <w:r>
              <w:rPr>
                <w:rFonts w:hint="eastAsia"/>
                <w:highlight w:val="none"/>
                <w:lang w:val="en-US" w:eastAsia="zh-CN"/>
              </w:rPr>
              <w:t>2450</w:t>
            </w:r>
            <w:r>
              <w:rPr>
                <w:rFonts w:hint="eastAsia"/>
                <w:highlight w:val="none"/>
                <w:lang w:eastAsia="zh-CN"/>
              </w:rPr>
              <w:t>人</w:t>
            </w:r>
          </w:p>
        </w:tc>
        <w:tc>
          <w:tcPr>
            <w:tcW w:w="1327" w:type="dxa"/>
            <w:vAlign w:val="center"/>
          </w:tcPr>
          <w:p>
            <w:pPr>
              <w:pStyle w:val="13"/>
              <w:ind w:firstLine="0" w:firstLineChars="0"/>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正常使用率</w:t>
            </w:r>
          </w:p>
        </w:tc>
        <w:tc>
          <w:tcPr>
            <w:tcW w:w="2654" w:type="dxa"/>
            <w:vAlign w:val="center"/>
          </w:tcPr>
          <w:p>
            <w:pPr>
              <w:pStyle w:val="13"/>
            </w:pPr>
            <w:r>
              <w:t>正常使用率</w:t>
            </w:r>
          </w:p>
        </w:tc>
        <w:tc>
          <w:tcPr>
            <w:tcW w:w="1327" w:type="dxa"/>
            <w:vAlign w:val="center"/>
          </w:tcPr>
          <w:p>
            <w:pPr>
              <w:pStyle w:val="13"/>
              <w:ind w:firstLine="0" w:firstLineChars="0"/>
            </w:pPr>
            <w:r>
              <w:t>≥</w:t>
            </w:r>
            <w:r>
              <w:rPr>
                <w:rFonts w:hint="eastAsia"/>
                <w:lang w:val="en-US" w:eastAsia="zh-CN"/>
              </w:rPr>
              <w:t>90%</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项目资金支付时间</w:t>
            </w:r>
          </w:p>
        </w:tc>
        <w:tc>
          <w:tcPr>
            <w:tcW w:w="2654" w:type="dxa"/>
            <w:vAlign w:val="center"/>
          </w:tcPr>
          <w:p>
            <w:pPr>
              <w:pStyle w:val="13"/>
            </w:pPr>
            <w:r>
              <w:t>节约成本</w:t>
            </w:r>
          </w:p>
        </w:tc>
        <w:tc>
          <w:tcPr>
            <w:tcW w:w="1327" w:type="dxa"/>
            <w:vAlign w:val="center"/>
          </w:tcPr>
          <w:p>
            <w:pPr>
              <w:pStyle w:val="13"/>
              <w:ind w:firstLine="0" w:firstLineChars="0"/>
            </w:pPr>
            <w:r>
              <w:rPr>
                <w:rFonts w:hint="eastAsia"/>
                <w:lang w:val="en-US" w:eastAsia="zh-CN"/>
              </w:rPr>
              <w:t>2023年12月底之前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项目预算控制数</w:t>
            </w:r>
          </w:p>
        </w:tc>
        <w:tc>
          <w:tcPr>
            <w:tcW w:w="2654" w:type="dxa"/>
            <w:vAlign w:val="center"/>
          </w:tcPr>
          <w:p>
            <w:pPr>
              <w:pStyle w:val="13"/>
            </w:pPr>
            <w:r>
              <w:t>控制预算成本</w:t>
            </w:r>
          </w:p>
        </w:tc>
        <w:tc>
          <w:tcPr>
            <w:tcW w:w="1327" w:type="dxa"/>
            <w:vAlign w:val="center"/>
          </w:tcPr>
          <w:p>
            <w:pPr>
              <w:pStyle w:val="13"/>
              <w:ind w:firstLine="0" w:firstLineChars="0"/>
              <w:rPr>
                <w:rFonts w:hint="default" w:eastAsia="宋体"/>
                <w:lang w:val="en-US" w:eastAsia="zh-CN"/>
              </w:rPr>
            </w:pPr>
            <w:r>
              <w:rPr>
                <w:rFonts w:hint="default" w:ascii="Arial" w:hAnsi="Arial" w:eastAsia="宋体" w:cs="Arial"/>
              </w:rPr>
              <w:t>≤</w:t>
            </w:r>
            <w:r>
              <w:t>2249.14</w:t>
            </w:r>
            <w:r>
              <w:rPr>
                <w:rFonts w:hint="eastAsia" w:ascii="Arial" w:hAnsi="Arial" w:eastAsia="宋体" w:cs="Arial"/>
                <w:lang w:val="en-US" w:eastAsia="zh-CN"/>
              </w:rPr>
              <w:t>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rPr>
                <w:rFonts w:hint="default" w:eastAsia="宋体"/>
                <w:lang w:val="en-US" w:eastAsia="zh-CN"/>
              </w:rPr>
            </w:pPr>
            <w:r>
              <w:rPr>
                <w:rFonts w:hint="eastAsia"/>
                <w:lang w:val="en-US" w:eastAsia="zh-CN"/>
              </w:rPr>
              <w:t>效益</w:t>
            </w:r>
            <w:r>
              <w:t>指标</w:t>
            </w:r>
          </w:p>
        </w:tc>
        <w:tc>
          <w:tcPr>
            <w:tcW w:w="1327" w:type="dxa"/>
            <w:vAlign w:val="center"/>
          </w:tcPr>
          <w:p>
            <w:pPr>
              <w:pStyle w:val="13"/>
              <w:ind w:firstLine="0" w:firstLineChars="0"/>
            </w:pPr>
            <w:r>
              <w:t>可持续影响指标</w:t>
            </w:r>
          </w:p>
        </w:tc>
        <w:tc>
          <w:tcPr>
            <w:tcW w:w="1327" w:type="dxa"/>
            <w:vAlign w:val="center"/>
          </w:tcPr>
          <w:p>
            <w:pPr>
              <w:pStyle w:val="13"/>
              <w:rPr>
                <w:rFonts w:hint="eastAsia"/>
                <w:lang w:eastAsia="zh-CN"/>
              </w:rPr>
            </w:pPr>
            <w:r>
              <w:rPr>
                <w:rFonts w:hint="eastAsia"/>
                <w:color w:val="333333"/>
                <w:shd w:val="clear" w:color="auto" w:fill="FFFFFF"/>
              </w:rPr>
              <w:t>提升机关工作人员安全感、幸福感</w:t>
            </w:r>
          </w:p>
          <w:p>
            <w:pPr>
              <w:pStyle w:val="13"/>
              <w:ind w:firstLine="0" w:firstLineChars="0"/>
            </w:pPr>
          </w:p>
        </w:tc>
        <w:tc>
          <w:tcPr>
            <w:tcW w:w="2654" w:type="dxa"/>
            <w:vAlign w:val="center"/>
          </w:tcPr>
          <w:p>
            <w:pPr>
              <w:pStyle w:val="13"/>
              <w:ind w:firstLine="0" w:firstLineChars="0"/>
            </w:pPr>
            <w:r>
              <w:rPr>
                <w:rFonts w:hint="eastAsia"/>
                <w:color w:val="333333"/>
                <w:shd w:val="clear" w:color="auto" w:fill="FFFFFF"/>
              </w:rPr>
              <w:t>建立相关台账，强化监管提升服务质量，对提升机关工作人员安全感、幸福感的作用</w:t>
            </w:r>
          </w:p>
        </w:tc>
        <w:tc>
          <w:tcPr>
            <w:tcW w:w="1327" w:type="dxa"/>
            <w:vAlign w:val="center"/>
          </w:tcPr>
          <w:p>
            <w:pPr>
              <w:pStyle w:val="13"/>
              <w:ind w:firstLine="0" w:firstLineChars="0"/>
            </w:pPr>
            <w:r>
              <w:t>≥</w:t>
            </w:r>
            <w:r>
              <w:rPr>
                <w:rFonts w:hint="eastAsia"/>
                <w:lang w:val="en-US" w:eastAsia="zh-CN"/>
              </w:rPr>
              <w:t>95%</w:t>
            </w:r>
          </w:p>
        </w:tc>
        <w:tc>
          <w:tcPr>
            <w:tcW w:w="1327" w:type="dxa"/>
            <w:vAlign w:val="center"/>
          </w:tcPr>
          <w:p>
            <w:r>
              <w:rPr>
                <w:rFonts w:hint="eastAsia" w:eastAsia="宋体"/>
                <w:lang w:val="en-US" w:eastAsia="zh-C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服务好每一位人员</w:t>
            </w:r>
          </w:p>
        </w:tc>
        <w:tc>
          <w:tcPr>
            <w:tcW w:w="1327" w:type="dxa"/>
            <w:vAlign w:val="center"/>
          </w:tcPr>
          <w:p>
            <w:pPr>
              <w:pStyle w:val="13"/>
              <w:ind w:firstLine="0" w:firstLineChars="0"/>
            </w:pPr>
            <w:r>
              <w:t>≥</w:t>
            </w:r>
            <w:r>
              <w:rPr>
                <w:rFonts w:hint="eastAsia"/>
                <w:lang w:val="en-US" w:eastAsia="zh-CN"/>
              </w:rPr>
              <w:t>98%</w:t>
            </w:r>
          </w:p>
        </w:tc>
        <w:tc>
          <w:tcPr>
            <w:tcW w:w="1327" w:type="dxa"/>
            <w:vAlign w:val="center"/>
          </w:tcPr>
          <w:p>
            <w:r>
              <w:rPr>
                <w:rFonts w:hint="eastAsia"/>
                <w:lang w:val="en-US" w:eastAsia="zh-CN"/>
              </w:rPr>
              <w:t>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3.2023年企业人员冬季取暖费绩效目标表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13020923P00005610001M</w:t>
            </w:r>
          </w:p>
        </w:tc>
        <w:tc>
          <w:tcPr>
            <w:tcW w:w="1587" w:type="dxa"/>
            <w:vAlign w:val="center"/>
          </w:tcPr>
          <w:p>
            <w:pPr>
              <w:pStyle w:val="14"/>
            </w:pPr>
            <w:r>
              <w:t>项目名称</w:t>
            </w:r>
          </w:p>
        </w:tc>
        <w:tc>
          <w:tcPr>
            <w:tcW w:w="4422" w:type="dxa"/>
            <w:gridSpan w:val="3"/>
            <w:vAlign w:val="center"/>
          </w:tcPr>
          <w:p>
            <w:pPr>
              <w:pStyle w:val="13"/>
            </w:pPr>
            <w:r>
              <w:t>2023年企业人员冬季取暖费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w:t>
            </w:r>
          </w:p>
        </w:tc>
        <w:tc>
          <w:tcPr>
            <w:tcW w:w="1587" w:type="dxa"/>
            <w:vAlign w:val="center"/>
          </w:tcPr>
          <w:p>
            <w:pPr>
              <w:pStyle w:val="14"/>
            </w:pPr>
            <w:r>
              <w:t>其中：财政    资金</w:t>
            </w:r>
          </w:p>
        </w:tc>
        <w:tc>
          <w:tcPr>
            <w:tcW w:w="1304" w:type="dxa"/>
            <w:vAlign w:val="center"/>
          </w:tcPr>
          <w:p>
            <w:pPr>
              <w:pStyle w:val="13"/>
            </w:pPr>
            <w:r>
              <w:t>1.40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企业编人员冬季取暖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ind w:firstLine="0" w:firstLineChars="0"/>
            </w:pPr>
            <w:r>
              <w:rPr>
                <w:rFonts w:hint="eastAsia"/>
                <w:lang w:val="en-US" w:eastAsia="zh-CN"/>
              </w:rPr>
              <w:t>30%</w:t>
            </w:r>
          </w:p>
        </w:tc>
        <w:tc>
          <w:tcPr>
            <w:tcW w:w="1587" w:type="dxa"/>
            <w:vAlign w:val="center"/>
          </w:tcPr>
          <w:p>
            <w:pPr>
              <w:pStyle w:val="15"/>
              <w:ind w:firstLine="0" w:firstLineChars="0"/>
            </w:pPr>
            <w:r>
              <w:rPr>
                <w:rFonts w:hint="eastAsia"/>
                <w:lang w:val="en-US" w:eastAsia="zh-CN"/>
              </w:rPr>
              <w:t>50%</w:t>
            </w:r>
          </w:p>
        </w:tc>
        <w:tc>
          <w:tcPr>
            <w:tcW w:w="1304" w:type="dxa"/>
            <w:vAlign w:val="center"/>
          </w:tcPr>
          <w:p>
            <w:pPr>
              <w:pStyle w:val="15"/>
              <w:ind w:firstLine="0" w:firstLineChars="0"/>
            </w:pPr>
            <w:r>
              <w:rPr>
                <w:rFonts w:hint="eastAsia"/>
                <w:lang w:val="en-US" w:eastAsia="zh-CN"/>
              </w:rPr>
              <w:t>80%</w:t>
            </w:r>
          </w:p>
        </w:tc>
        <w:tc>
          <w:tcPr>
            <w:tcW w:w="3118" w:type="dxa"/>
            <w:gridSpan w:val="2"/>
            <w:vAlign w:val="center"/>
          </w:tcPr>
          <w:p>
            <w:pPr>
              <w:pStyle w:val="15"/>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rPr>
                <w:rFonts w:hint="eastAsia" w:eastAsia="方正书宋_GBK"/>
                <w:lang w:eastAsia="zh-CN"/>
              </w:rPr>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ind w:firstLine="0" w:firstLineChars="0"/>
              <w:rPr>
                <w:highlight w:val="none"/>
              </w:rPr>
            </w:pPr>
            <w:r>
              <w:rPr>
                <w:highlight w:val="none"/>
              </w:rPr>
              <w:t>冬季取暖费补贴</w:t>
            </w:r>
            <w:r>
              <w:rPr>
                <w:rFonts w:hint="eastAsia"/>
                <w:highlight w:val="none"/>
                <w:lang w:eastAsia="zh-CN"/>
              </w:rPr>
              <w:t>人数</w:t>
            </w:r>
          </w:p>
        </w:tc>
        <w:tc>
          <w:tcPr>
            <w:tcW w:w="2654" w:type="dxa"/>
            <w:vAlign w:val="center"/>
          </w:tcPr>
          <w:p>
            <w:pPr>
              <w:pStyle w:val="13"/>
              <w:ind w:firstLine="0" w:firstLineChars="0"/>
              <w:rPr>
                <w:highlight w:val="none"/>
              </w:rPr>
            </w:pPr>
            <w:r>
              <w:rPr>
                <w:highlight w:val="none"/>
              </w:rPr>
              <w:t>冬季取暖费补贴</w:t>
            </w:r>
            <w:r>
              <w:rPr>
                <w:rFonts w:hint="eastAsia"/>
                <w:highlight w:val="none"/>
                <w:lang w:eastAsia="zh-CN"/>
              </w:rPr>
              <w:t>人数</w:t>
            </w:r>
          </w:p>
        </w:tc>
        <w:tc>
          <w:tcPr>
            <w:tcW w:w="1327" w:type="dxa"/>
            <w:vAlign w:val="center"/>
          </w:tcPr>
          <w:p>
            <w:pPr>
              <w:pStyle w:val="13"/>
              <w:ind w:firstLine="0" w:firstLineChars="0"/>
              <w:rPr>
                <w:rFonts w:hint="default" w:eastAsia="方正书宋_GBK"/>
                <w:highlight w:val="none"/>
                <w:lang w:val="en-US" w:eastAsia="zh-CN"/>
              </w:rPr>
            </w:pPr>
            <w:r>
              <w:rPr>
                <w:rFonts w:hint="eastAsia"/>
                <w:highlight w:val="none"/>
                <w:lang w:val="en-US" w:eastAsia="zh-CN"/>
              </w:rPr>
              <w:t>4</w:t>
            </w:r>
            <w:r>
              <w:rPr>
                <w:highlight w:val="none"/>
              </w:rPr>
              <w:t>人</w:t>
            </w:r>
          </w:p>
        </w:tc>
        <w:tc>
          <w:tcPr>
            <w:tcW w:w="1327" w:type="dxa"/>
            <w:vAlign w:val="center"/>
          </w:tcPr>
          <w:p>
            <w:pPr>
              <w:pStyle w:val="13"/>
              <w:rPr>
                <w:rFonts w:hint="eastAsia" w:eastAsia="方正书宋_GBK"/>
                <w:lang w:val="en-US" w:eastAsia="zh-CN"/>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综合业务管理工作完成率</w:t>
            </w:r>
          </w:p>
        </w:tc>
        <w:tc>
          <w:tcPr>
            <w:tcW w:w="2654" w:type="dxa"/>
            <w:vAlign w:val="center"/>
          </w:tcPr>
          <w:p>
            <w:pPr>
              <w:pStyle w:val="13"/>
            </w:pPr>
            <w:r>
              <w:t>综合业务管理</w:t>
            </w:r>
          </w:p>
        </w:tc>
        <w:tc>
          <w:tcPr>
            <w:tcW w:w="1327" w:type="dxa"/>
            <w:vAlign w:val="center"/>
          </w:tcPr>
          <w:p>
            <w:pPr>
              <w:pStyle w:val="13"/>
              <w:rPr>
                <w:rFonts w:hint="default" w:eastAsia="方正书宋_GBK"/>
                <w:lang w:val="en-US" w:eastAsia="zh-CN"/>
              </w:rPr>
            </w:pPr>
            <w:r>
              <w:t>≥</w:t>
            </w:r>
            <w:r>
              <w:rPr>
                <w:rFonts w:hint="eastAsia"/>
                <w:lang w:val="en-US" w:eastAsia="zh-CN"/>
              </w:rPr>
              <w:t>90%</w:t>
            </w:r>
          </w:p>
        </w:tc>
        <w:tc>
          <w:tcPr>
            <w:tcW w:w="1327" w:type="dxa"/>
            <w:vAlign w:val="center"/>
          </w:tcPr>
          <w:p>
            <w:pPr>
              <w:rPr>
                <w:rFonts w:hint="default"/>
                <w:lang w:val="en-US"/>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服务的完成度</w:t>
            </w:r>
          </w:p>
        </w:tc>
        <w:tc>
          <w:tcPr>
            <w:tcW w:w="2654" w:type="dxa"/>
            <w:vAlign w:val="center"/>
          </w:tcPr>
          <w:p>
            <w:pPr>
              <w:pStyle w:val="13"/>
            </w:pPr>
            <w:r>
              <w:t>服务质量</w:t>
            </w:r>
          </w:p>
        </w:tc>
        <w:tc>
          <w:tcPr>
            <w:tcW w:w="1327" w:type="dxa"/>
            <w:vAlign w:val="center"/>
          </w:tcPr>
          <w:p>
            <w:pPr>
              <w:pStyle w:val="13"/>
              <w:ind w:firstLine="0" w:firstLineChars="0"/>
              <w:rPr>
                <w:rFonts w:hint="default" w:eastAsia="方正书宋_GBK"/>
                <w:lang w:val="en-US" w:eastAsia="zh-CN"/>
              </w:rPr>
            </w:pPr>
            <w:r>
              <w:rPr>
                <w:rFonts w:hint="eastAsia"/>
                <w:lang w:val="en-US" w:eastAsia="zh-CN"/>
              </w:rPr>
              <w:t>2023年12月底之前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按总成本控制</w:t>
            </w:r>
          </w:p>
        </w:tc>
        <w:tc>
          <w:tcPr>
            <w:tcW w:w="2654" w:type="dxa"/>
            <w:vAlign w:val="center"/>
          </w:tcPr>
          <w:p>
            <w:pPr>
              <w:pStyle w:val="13"/>
            </w:pPr>
            <w:r>
              <w:t>节约成本</w:t>
            </w:r>
          </w:p>
        </w:tc>
        <w:tc>
          <w:tcPr>
            <w:tcW w:w="1327" w:type="dxa"/>
            <w:vAlign w:val="center"/>
          </w:tcPr>
          <w:p>
            <w:pPr>
              <w:pStyle w:val="13"/>
              <w:rPr>
                <w:rFonts w:hint="eastAsia" w:eastAsia="方正书宋_GBK"/>
                <w:lang w:val="en-US" w:eastAsia="zh-CN"/>
              </w:rPr>
            </w:pPr>
            <w:r>
              <w:rPr>
                <w:rFonts w:hint="default" w:ascii="Arial" w:hAnsi="Arial" w:eastAsia="宋体" w:cs="Arial"/>
              </w:rPr>
              <w:t>≤</w:t>
            </w:r>
            <w:r>
              <w:t>1.40</w:t>
            </w:r>
            <w:r>
              <w:rPr>
                <w:rFonts w:hint="eastAsia"/>
                <w:lang w:val="en-US" w:eastAsia="zh-CN"/>
              </w:rPr>
              <w:t>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可持续影响指标</w:t>
            </w:r>
          </w:p>
        </w:tc>
        <w:tc>
          <w:tcPr>
            <w:tcW w:w="1327" w:type="dxa"/>
            <w:vAlign w:val="center"/>
          </w:tcPr>
          <w:p>
            <w:pPr>
              <w:pStyle w:val="13"/>
              <w:ind w:firstLine="0" w:firstLineChars="0"/>
            </w:pPr>
            <w:r>
              <w:rPr>
                <w:rFonts w:hint="eastAsia"/>
              </w:rPr>
              <w:t>确保</w:t>
            </w:r>
            <w:r>
              <w:t>临港商务区</w:t>
            </w:r>
            <w:r>
              <w:rPr>
                <w:rFonts w:hint="eastAsia"/>
                <w:lang w:eastAsia="zh-CN"/>
              </w:rPr>
              <w:t>更好</w:t>
            </w:r>
            <w:r>
              <w:rPr>
                <w:rFonts w:hint="eastAsia"/>
              </w:rPr>
              <w:t>的有效运转</w:t>
            </w:r>
          </w:p>
        </w:tc>
        <w:tc>
          <w:tcPr>
            <w:tcW w:w="2654" w:type="dxa"/>
            <w:vAlign w:val="center"/>
          </w:tcPr>
          <w:p>
            <w:pPr>
              <w:pStyle w:val="13"/>
              <w:ind w:firstLine="0" w:firstLineChars="0"/>
            </w:pPr>
            <w:r>
              <w:rPr>
                <w:rFonts w:hint="eastAsia"/>
              </w:rPr>
              <w:t>项目的进行，可提升机关工作人员的生活水平，提升工作的积极性，确保了</w:t>
            </w:r>
            <w:r>
              <w:t>临港商务区</w:t>
            </w:r>
            <w:r>
              <w:rPr>
                <w:rFonts w:hint="eastAsia"/>
                <w:lang w:eastAsia="zh-CN"/>
              </w:rPr>
              <w:t>更好</w:t>
            </w:r>
            <w:r>
              <w:rPr>
                <w:rFonts w:hint="eastAsia"/>
              </w:rPr>
              <w:t>的有效运转，项目可持续时间长</w:t>
            </w:r>
          </w:p>
        </w:tc>
        <w:tc>
          <w:tcPr>
            <w:tcW w:w="1327" w:type="dxa"/>
            <w:vAlign w:val="center"/>
          </w:tcPr>
          <w:p>
            <w:pPr>
              <w:pStyle w:val="13"/>
              <w:ind w:firstLine="0" w:firstLineChars="0"/>
              <w:rPr>
                <w:rFonts w:hint="eastAsia" w:eastAsia="方正书宋_GBK"/>
                <w:lang w:eastAsia="zh-CN"/>
              </w:rPr>
            </w:pPr>
            <w:r>
              <w:t>≥</w:t>
            </w:r>
            <w:r>
              <w:rPr>
                <w:rFonts w:hint="eastAsia"/>
                <w:lang w:eastAsia="zh-CN"/>
              </w:rPr>
              <w:t>95%</w:t>
            </w:r>
          </w:p>
        </w:tc>
        <w:tc>
          <w:tcPr>
            <w:tcW w:w="1327" w:type="dxa"/>
            <w:vAlign w:val="center"/>
          </w:tcPr>
          <w:p>
            <w:pPr>
              <w:rPr>
                <w:rFonts w:hint="eastAsia" w:eastAsia="宋体"/>
                <w:lang w:val="en-US" w:eastAsia="zh-CN"/>
              </w:rPr>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服务满意度</w:t>
            </w:r>
          </w:p>
        </w:tc>
        <w:tc>
          <w:tcPr>
            <w:tcW w:w="2654" w:type="dxa"/>
            <w:vAlign w:val="center"/>
          </w:tcPr>
          <w:p>
            <w:pPr>
              <w:pStyle w:val="13"/>
            </w:pPr>
            <w:r>
              <w:t>服务好每一位人员</w:t>
            </w:r>
          </w:p>
        </w:tc>
        <w:tc>
          <w:tcPr>
            <w:tcW w:w="1327" w:type="dxa"/>
            <w:vAlign w:val="center"/>
          </w:tcPr>
          <w:p>
            <w:pPr>
              <w:pStyle w:val="13"/>
            </w:pPr>
            <w:r>
              <w:t>≥</w:t>
            </w:r>
            <w:r>
              <w:rPr>
                <w:rFonts w:hint="eastAsia"/>
                <w:lang w:val="en-US" w:eastAsia="zh-CN"/>
              </w:rPr>
              <w:t>98%</w:t>
            </w:r>
          </w:p>
        </w:tc>
        <w:tc>
          <w:tcPr>
            <w:tcW w:w="1327" w:type="dxa"/>
            <w:vAlign w:val="center"/>
          </w:tcPr>
          <w:p>
            <w:r>
              <w:rPr>
                <w:rFonts w:hint="eastAsia"/>
                <w:lang w:val="en-US" w:eastAsia="zh-CN"/>
              </w:rPr>
              <w:t>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4.2023年四大联检正常费用绩效目标表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13020923P00016610001L</w:t>
            </w:r>
          </w:p>
        </w:tc>
        <w:tc>
          <w:tcPr>
            <w:tcW w:w="1587" w:type="dxa"/>
            <w:vAlign w:val="center"/>
          </w:tcPr>
          <w:p>
            <w:pPr>
              <w:pStyle w:val="14"/>
            </w:pPr>
            <w:r>
              <w:t>项目名称</w:t>
            </w:r>
          </w:p>
        </w:tc>
        <w:tc>
          <w:tcPr>
            <w:tcW w:w="4422" w:type="dxa"/>
            <w:gridSpan w:val="3"/>
            <w:vAlign w:val="center"/>
          </w:tcPr>
          <w:p>
            <w:pPr>
              <w:pStyle w:val="13"/>
            </w:pPr>
            <w:r>
              <w:t>2023年四大联检正常费用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1479.00</w:t>
            </w:r>
          </w:p>
        </w:tc>
        <w:tc>
          <w:tcPr>
            <w:tcW w:w="1587" w:type="dxa"/>
            <w:vAlign w:val="center"/>
          </w:tcPr>
          <w:p>
            <w:pPr>
              <w:pStyle w:val="14"/>
            </w:pPr>
            <w:r>
              <w:t>其中：财政    资金</w:t>
            </w:r>
          </w:p>
        </w:tc>
        <w:tc>
          <w:tcPr>
            <w:tcW w:w="1304" w:type="dxa"/>
            <w:vAlign w:val="center"/>
          </w:tcPr>
          <w:p>
            <w:pPr>
              <w:pStyle w:val="13"/>
            </w:pPr>
            <w:r>
              <w:t>1479.00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四大联检正常费用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ind w:firstLine="0" w:firstLineChars="0"/>
            </w:pPr>
            <w:r>
              <w:rPr>
                <w:rFonts w:hint="eastAsia"/>
                <w:lang w:val="en-US" w:eastAsia="zh-CN"/>
              </w:rPr>
              <w:t>20%</w:t>
            </w:r>
          </w:p>
        </w:tc>
        <w:tc>
          <w:tcPr>
            <w:tcW w:w="1587" w:type="dxa"/>
            <w:vAlign w:val="center"/>
          </w:tcPr>
          <w:p>
            <w:pPr>
              <w:pStyle w:val="15"/>
              <w:ind w:firstLine="0" w:firstLineChars="0"/>
            </w:pPr>
            <w:r>
              <w:rPr>
                <w:rFonts w:hint="eastAsia"/>
                <w:lang w:val="en-US" w:eastAsia="zh-CN"/>
              </w:rPr>
              <w:t>50%</w:t>
            </w:r>
          </w:p>
        </w:tc>
        <w:tc>
          <w:tcPr>
            <w:tcW w:w="1304" w:type="dxa"/>
            <w:vAlign w:val="center"/>
          </w:tcPr>
          <w:p>
            <w:pPr>
              <w:pStyle w:val="15"/>
              <w:ind w:firstLine="0" w:firstLineChars="0"/>
            </w:pPr>
            <w:r>
              <w:rPr>
                <w:rFonts w:hint="eastAsia"/>
                <w:lang w:val="en-US" w:eastAsia="zh-CN"/>
              </w:rPr>
              <w:t>80%</w:t>
            </w:r>
          </w:p>
        </w:tc>
        <w:tc>
          <w:tcPr>
            <w:tcW w:w="3118" w:type="dxa"/>
            <w:gridSpan w:val="2"/>
            <w:vAlign w:val="center"/>
          </w:tcPr>
          <w:p>
            <w:pPr>
              <w:pStyle w:val="15"/>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公共文化服务设施覆盖率</w:t>
            </w:r>
          </w:p>
        </w:tc>
        <w:tc>
          <w:tcPr>
            <w:tcW w:w="2654" w:type="dxa"/>
            <w:vAlign w:val="center"/>
          </w:tcPr>
          <w:p>
            <w:pPr>
              <w:pStyle w:val="13"/>
            </w:pPr>
            <w:r>
              <w:t>服务设施的完善</w:t>
            </w:r>
          </w:p>
        </w:tc>
        <w:tc>
          <w:tcPr>
            <w:tcW w:w="1327" w:type="dxa"/>
            <w:vAlign w:val="center"/>
          </w:tcPr>
          <w:p>
            <w:pPr>
              <w:pStyle w:val="13"/>
              <w:ind w:firstLine="0" w:firstLineChars="0"/>
            </w:pPr>
            <w:r>
              <w:t>≥</w:t>
            </w:r>
            <w:r>
              <w:rPr>
                <w:rFonts w:hint="eastAsia"/>
                <w:lang w:val="en-US" w:eastAsia="zh-CN"/>
              </w:rPr>
              <w:t>45次</w:t>
            </w:r>
          </w:p>
        </w:tc>
        <w:tc>
          <w:tcPr>
            <w:tcW w:w="1327" w:type="dxa"/>
            <w:vAlign w:val="center"/>
          </w:tcPr>
          <w:p>
            <w:pPr>
              <w:pStyle w:val="13"/>
              <w:ind w:firstLine="0" w:firstLineChars="0"/>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综合业务管理工作完成率</w:t>
            </w:r>
          </w:p>
        </w:tc>
        <w:tc>
          <w:tcPr>
            <w:tcW w:w="2654" w:type="dxa"/>
            <w:vAlign w:val="center"/>
          </w:tcPr>
          <w:p>
            <w:pPr>
              <w:pStyle w:val="13"/>
            </w:pPr>
            <w:r>
              <w:t>各项工作的完成</w:t>
            </w:r>
          </w:p>
        </w:tc>
        <w:tc>
          <w:tcPr>
            <w:tcW w:w="1327" w:type="dxa"/>
            <w:vAlign w:val="center"/>
          </w:tcPr>
          <w:p>
            <w:pPr>
              <w:pStyle w:val="13"/>
              <w:ind w:firstLine="0" w:firstLineChars="0"/>
            </w:pPr>
            <w:r>
              <w:t>≥</w:t>
            </w:r>
            <w:r>
              <w:rPr>
                <w:rFonts w:hint="eastAsia"/>
                <w:lang w:val="en-US" w:eastAsia="zh-CN"/>
              </w:rPr>
              <w:t>90%</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服务的完成度</w:t>
            </w:r>
          </w:p>
        </w:tc>
        <w:tc>
          <w:tcPr>
            <w:tcW w:w="2654" w:type="dxa"/>
            <w:vAlign w:val="center"/>
          </w:tcPr>
          <w:p>
            <w:pPr>
              <w:pStyle w:val="13"/>
            </w:pPr>
            <w:r>
              <w:t>服务的完成度</w:t>
            </w:r>
          </w:p>
        </w:tc>
        <w:tc>
          <w:tcPr>
            <w:tcW w:w="1327" w:type="dxa"/>
            <w:vAlign w:val="center"/>
          </w:tcPr>
          <w:p>
            <w:pPr>
              <w:pStyle w:val="13"/>
              <w:ind w:firstLine="0" w:firstLineChars="0"/>
            </w:pPr>
            <w:r>
              <w:rPr>
                <w:rFonts w:hint="eastAsia"/>
                <w:lang w:val="en-US" w:eastAsia="zh-CN"/>
              </w:rPr>
              <w:t>2023年12月底之前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按总成本控制</w:t>
            </w:r>
          </w:p>
        </w:tc>
        <w:tc>
          <w:tcPr>
            <w:tcW w:w="2654" w:type="dxa"/>
            <w:vAlign w:val="center"/>
          </w:tcPr>
          <w:p>
            <w:pPr>
              <w:pStyle w:val="13"/>
            </w:pPr>
            <w:r>
              <w:t>节约成本</w:t>
            </w:r>
          </w:p>
        </w:tc>
        <w:tc>
          <w:tcPr>
            <w:tcW w:w="1327" w:type="dxa"/>
            <w:vAlign w:val="center"/>
          </w:tcPr>
          <w:p>
            <w:pPr>
              <w:pStyle w:val="13"/>
              <w:ind w:firstLine="0" w:firstLineChars="0"/>
              <w:rPr>
                <w:rFonts w:hint="eastAsia" w:eastAsia="方正书宋_GBK"/>
                <w:lang w:val="en-US" w:eastAsia="zh-CN"/>
              </w:rPr>
            </w:pPr>
            <w:r>
              <w:rPr>
                <w:rFonts w:hint="default" w:ascii="Arial" w:hAnsi="Arial" w:eastAsia="宋体" w:cs="Arial"/>
              </w:rPr>
              <w:t>≤</w:t>
            </w:r>
            <w:r>
              <w:t>1479.00</w:t>
            </w:r>
            <w:r>
              <w:rPr>
                <w:rFonts w:hint="eastAsia"/>
                <w:lang w:val="en-US" w:eastAsia="zh-CN"/>
              </w:rPr>
              <w:t>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rPr>
                <w:rFonts w:hint="eastAsia"/>
                <w:lang w:val="en-US" w:eastAsia="zh-CN"/>
              </w:rPr>
              <w:t>效益</w:t>
            </w:r>
            <w:r>
              <w:t>指标</w:t>
            </w:r>
          </w:p>
        </w:tc>
        <w:tc>
          <w:tcPr>
            <w:tcW w:w="1327" w:type="dxa"/>
            <w:vAlign w:val="center"/>
          </w:tcPr>
          <w:p>
            <w:pPr>
              <w:pStyle w:val="13"/>
              <w:ind w:firstLine="0" w:firstLineChars="0"/>
            </w:pPr>
            <w:r>
              <w:t>可持续影响指标</w:t>
            </w:r>
          </w:p>
        </w:tc>
        <w:tc>
          <w:tcPr>
            <w:tcW w:w="1327" w:type="dxa"/>
            <w:vAlign w:val="center"/>
          </w:tcPr>
          <w:p>
            <w:pPr>
              <w:pStyle w:val="13"/>
              <w:ind w:firstLine="0" w:firstLineChars="0"/>
              <w:rPr>
                <w:rFonts w:hint="default" w:eastAsia="方正书宋_GBK"/>
                <w:lang w:val="en-US" w:eastAsia="zh-CN"/>
              </w:rPr>
            </w:pPr>
            <w:r>
              <w:rPr>
                <w:rFonts w:hint="eastAsia"/>
                <w:lang w:val="en-US" w:eastAsia="zh-CN"/>
              </w:rPr>
              <w:t>确保四大联检正常运行</w:t>
            </w:r>
          </w:p>
        </w:tc>
        <w:tc>
          <w:tcPr>
            <w:tcW w:w="2654" w:type="dxa"/>
            <w:vAlign w:val="center"/>
          </w:tcPr>
          <w:p>
            <w:pPr>
              <w:pStyle w:val="13"/>
              <w:ind w:firstLine="0" w:firstLineChars="0"/>
              <w:rPr>
                <w:rFonts w:hint="default" w:eastAsia="方正书宋_GBK"/>
                <w:lang w:val="en-US" w:eastAsia="zh-CN"/>
              </w:rPr>
            </w:pPr>
            <w:r>
              <w:t>项目完成</w:t>
            </w:r>
            <w:r>
              <w:rPr>
                <w:rFonts w:hint="eastAsia"/>
                <w:lang w:eastAsia="zh-CN"/>
              </w:rPr>
              <w:t>，</w:t>
            </w:r>
            <w:r>
              <w:rPr>
                <w:rFonts w:hint="eastAsia"/>
                <w:lang w:val="en-US" w:eastAsia="zh-CN"/>
              </w:rPr>
              <w:t>提高工作人员对工作的积极性，确保四大联检正常运行</w:t>
            </w:r>
          </w:p>
        </w:tc>
        <w:tc>
          <w:tcPr>
            <w:tcW w:w="1327" w:type="dxa"/>
            <w:vAlign w:val="center"/>
          </w:tcPr>
          <w:p>
            <w:pPr>
              <w:pStyle w:val="13"/>
              <w:ind w:firstLine="0" w:firstLineChars="0"/>
              <w:rPr>
                <w:rFonts w:hint="default"/>
                <w:lang w:val="en-US"/>
              </w:rPr>
            </w:pPr>
            <w:r>
              <w:t>≥</w:t>
            </w:r>
            <w:r>
              <w:rPr>
                <w:rFonts w:hint="eastAsia"/>
                <w:lang w:val="en-US" w:eastAsia="zh-CN"/>
              </w:rPr>
              <w:t>95%</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服务对象满意度</w:t>
            </w:r>
          </w:p>
        </w:tc>
        <w:tc>
          <w:tcPr>
            <w:tcW w:w="1327" w:type="dxa"/>
            <w:vAlign w:val="center"/>
          </w:tcPr>
          <w:p>
            <w:pPr>
              <w:pStyle w:val="13"/>
              <w:ind w:firstLine="0" w:firstLineChars="0"/>
            </w:pPr>
            <w:r>
              <w:t>≥</w:t>
            </w:r>
            <w:r>
              <w:rPr>
                <w:rFonts w:hint="eastAsia"/>
                <w:lang w:val="en-US" w:eastAsia="zh-CN"/>
              </w:rPr>
              <w:t>98%</w:t>
            </w:r>
          </w:p>
        </w:tc>
        <w:tc>
          <w:tcPr>
            <w:tcW w:w="1327" w:type="dxa"/>
            <w:vAlign w:val="center"/>
          </w:tcPr>
          <w:p>
            <w:r>
              <w:rPr>
                <w:rFonts w:hint="eastAsia"/>
                <w:lang w:val="en-US" w:eastAsia="zh-CN"/>
              </w:rPr>
              <w:t>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5.2023年置业大厦正常运转费用绩效目标表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13020923P000164100019</w:t>
            </w:r>
          </w:p>
        </w:tc>
        <w:tc>
          <w:tcPr>
            <w:tcW w:w="1587" w:type="dxa"/>
            <w:vAlign w:val="center"/>
          </w:tcPr>
          <w:p>
            <w:pPr>
              <w:pStyle w:val="14"/>
            </w:pPr>
            <w:r>
              <w:t>项目名称</w:t>
            </w:r>
          </w:p>
        </w:tc>
        <w:tc>
          <w:tcPr>
            <w:tcW w:w="4422" w:type="dxa"/>
            <w:gridSpan w:val="3"/>
            <w:vAlign w:val="center"/>
          </w:tcPr>
          <w:p>
            <w:pPr>
              <w:pStyle w:val="13"/>
            </w:pPr>
            <w:r>
              <w:t>2023年置业大厦正常运转费用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900.90</w:t>
            </w:r>
          </w:p>
        </w:tc>
        <w:tc>
          <w:tcPr>
            <w:tcW w:w="1587" w:type="dxa"/>
            <w:vAlign w:val="center"/>
          </w:tcPr>
          <w:p>
            <w:pPr>
              <w:pStyle w:val="14"/>
            </w:pPr>
            <w:r>
              <w:t>其中：财政    资金</w:t>
            </w:r>
          </w:p>
        </w:tc>
        <w:tc>
          <w:tcPr>
            <w:tcW w:w="1304" w:type="dxa"/>
            <w:vAlign w:val="center"/>
          </w:tcPr>
          <w:p>
            <w:pPr>
              <w:pStyle w:val="13"/>
            </w:pPr>
            <w:r>
              <w:t>900.90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置业大厦正常运转费用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ind w:firstLine="0" w:firstLineChars="0"/>
            </w:pPr>
            <w:r>
              <w:rPr>
                <w:rFonts w:hint="eastAsia"/>
                <w:lang w:val="en-US" w:eastAsia="zh-CN"/>
              </w:rPr>
              <w:t>30%</w:t>
            </w:r>
          </w:p>
        </w:tc>
        <w:tc>
          <w:tcPr>
            <w:tcW w:w="1587" w:type="dxa"/>
            <w:vAlign w:val="center"/>
          </w:tcPr>
          <w:p>
            <w:pPr>
              <w:pStyle w:val="15"/>
              <w:ind w:firstLine="0" w:firstLineChars="0"/>
            </w:pPr>
            <w:r>
              <w:rPr>
                <w:rFonts w:hint="eastAsia"/>
                <w:lang w:val="en-US" w:eastAsia="zh-CN"/>
              </w:rPr>
              <w:t>60%</w:t>
            </w:r>
          </w:p>
        </w:tc>
        <w:tc>
          <w:tcPr>
            <w:tcW w:w="1304" w:type="dxa"/>
            <w:vAlign w:val="center"/>
          </w:tcPr>
          <w:p>
            <w:pPr>
              <w:pStyle w:val="15"/>
              <w:ind w:firstLine="0" w:firstLineChars="0"/>
            </w:pPr>
            <w:r>
              <w:rPr>
                <w:rFonts w:hint="eastAsia"/>
                <w:lang w:val="en-US" w:eastAsia="zh-CN"/>
              </w:rPr>
              <w:t>80%</w:t>
            </w:r>
          </w:p>
        </w:tc>
        <w:tc>
          <w:tcPr>
            <w:tcW w:w="3118" w:type="dxa"/>
            <w:gridSpan w:val="2"/>
            <w:vAlign w:val="center"/>
          </w:tcPr>
          <w:p>
            <w:pPr>
              <w:pStyle w:val="15"/>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执法评估发现问题处置反馈率</w:t>
            </w:r>
          </w:p>
        </w:tc>
        <w:tc>
          <w:tcPr>
            <w:tcW w:w="2654" w:type="dxa"/>
            <w:vAlign w:val="center"/>
          </w:tcPr>
          <w:p>
            <w:pPr>
              <w:pStyle w:val="13"/>
            </w:pPr>
            <w:r>
              <w:t>执法评估发现问题处置反馈率</w:t>
            </w:r>
          </w:p>
        </w:tc>
        <w:tc>
          <w:tcPr>
            <w:tcW w:w="1327" w:type="dxa"/>
            <w:vAlign w:val="center"/>
          </w:tcPr>
          <w:p>
            <w:pPr>
              <w:pStyle w:val="13"/>
              <w:ind w:firstLine="0" w:firstLineChars="0"/>
            </w:pPr>
            <w:r>
              <w:t>≥</w:t>
            </w:r>
            <w:r>
              <w:rPr>
                <w:rFonts w:hint="eastAsia"/>
                <w:lang w:val="en-US" w:eastAsia="zh-CN"/>
              </w:rPr>
              <w:t>45次</w:t>
            </w:r>
          </w:p>
        </w:tc>
        <w:tc>
          <w:tcPr>
            <w:tcW w:w="1327" w:type="dxa"/>
            <w:vAlign w:val="center"/>
          </w:tcPr>
          <w:p>
            <w:pPr>
              <w:pStyle w:val="13"/>
              <w:ind w:firstLine="0" w:firstLineChars="0"/>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报送数据及时性</w:t>
            </w:r>
          </w:p>
        </w:tc>
        <w:tc>
          <w:tcPr>
            <w:tcW w:w="2654" w:type="dxa"/>
            <w:vAlign w:val="center"/>
          </w:tcPr>
          <w:p>
            <w:pPr>
              <w:pStyle w:val="13"/>
            </w:pPr>
            <w:r>
              <w:t>报送数据及时性</w:t>
            </w:r>
          </w:p>
        </w:tc>
        <w:tc>
          <w:tcPr>
            <w:tcW w:w="1327" w:type="dxa"/>
            <w:vAlign w:val="center"/>
          </w:tcPr>
          <w:p>
            <w:pPr>
              <w:pStyle w:val="13"/>
              <w:ind w:firstLine="0" w:firstLineChars="0"/>
            </w:pPr>
            <w:r>
              <w:t>≥</w:t>
            </w:r>
            <w:r>
              <w:rPr>
                <w:rFonts w:hint="eastAsia"/>
                <w:lang w:val="en-US" w:eastAsia="zh-CN"/>
              </w:rPr>
              <w:t>90%</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完成工作时间</w:t>
            </w:r>
          </w:p>
        </w:tc>
        <w:tc>
          <w:tcPr>
            <w:tcW w:w="2654" w:type="dxa"/>
            <w:vAlign w:val="center"/>
          </w:tcPr>
          <w:p>
            <w:pPr>
              <w:pStyle w:val="13"/>
            </w:pPr>
            <w:r>
              <w:t>按时完成各项工作</w:t>
            </w:r>
          </w:p>
        </w:tc>
        <w:tc>
          <w:tcPr>
            <w:tcW w:w="1327" w:type="dxa"/>
            <w:vAlign w:val="center"/>
          </w:tcPr>
          <w:p>
            <w:pPr>
              <w:pStyle w:val="13"/>
              <w:ind w:firstLine="0" w:firstLineChars="0"/>
            </w:pPr>
            <w:r>
              <w:rPr>
                <w:rFonts w:hint="eastAsia"/>
                <w:lang w:val="en-US" w:eastAsia="zh-CN"/>
              </w:rPr>
              <w:t>2023年12月底之前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预算执行率</w:t>
            </w:r>
          </w:p>
        </w:tc>
        <w:tc>
          <w:tcPr>
            <w:tcW w:w="2654" w:type="dxa"/>
            <w:vAlign w:val="center"/>
          </w:tcPr>
          <w:p>
            <w:pPr>
              <w:pStyle w:val="13"/>
            </w:pPr>
            <w:r>
              <w:t>节约成本</w:t>
            </w:r>
          </w:p>
        </w:tc>
        <w:tc>
          <w:tcPr>
            <w:tcW w:w="1327" w:type="dxa"/>
            <w:vAlign w:val="center"/>
          </w:tcPr>
          <w:p>
            <w:pPr>
              <w:pStyle w:val="13"/>
              <w:ind w:firstLine="0" w:firstLineChars="0"/>
            </w:pPr>
            <w:r>
              <w:rPr>
                <w:rFonts w:hint="default" w:ascii="Arial" w:hAnsi="Arial" w:eastAsia="宋体" w:cs="Arial"/>
              </w:rPr>
              <w:t>≤</w:t>
            </w:r>
            <w:r>
              <w:t>900.90</w:t>
            </w:r>
            <w:r>
              <w:rPr>
                <w:rFonts w:hint="eastAsia" w:ascii="Arial" w:hAnsi="Arial" w:eastAsia="宋体" w:cs="Arial"/>
                <w:lang w:val="en-US" w:eastAsia="zh-CN"/>
              </w:rPr>
              <w:t>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ind w:firstLine="0" w:firstLineChars="0"/>
            </w:pPr>
            <w:r>
              <w:t>可持续影响指标</w:t>
            </w:r>
          </w:p>
        </w:tc>
        <w:tc>
          <w:tcPr>
            <w:tcW w:w="1327" w:type="dxa"/>
            <w:vAlign w:val="center"/>
          </w:tcPr>
          <w:p>
            <w:pPr>
              <w:pStyle w:val="13"/>
              <w:ind w:firstLine="0" w:firstLineChars="0"/>
            </w:pPr>
            <w:r>
              <w:rPr>
                <w:rFonts w:hint="eastAsia"/>
                <w:lang w:val="en-US" w:eastAsia="zh-CN"/>
              </w:rPr>
              <w:t>确保</w:t>
            </w:r>
            <w:r>
              <w:t>置业大厦</w:t>
            </w:r>
            <w:r>
              <w:rPr>
                <w:rFonts w:hint="eastAsia"/>
                <w:lang w:val="en-US" w:eastAsia="zh-CN"/>
              </w:rPr>
              <w:t>各项工作</w:t>
            </w:r>
            <w:r>
              <w:t>正常运转</w:t>
            </w:r>
          </w:p>
        </w:tc>
        <w:tc>
          <w:tcPr>
            <w:tcW w:w="2654" w:type="dxa"/>
            <w:vAlign w:val="center"/>
          </w:tcPr>
          <w:p>
            <w:pPr>
              <w:pStyle w:val="13"/>
              <w:ind w:firstLine="0" w:firstLineChars="0"/>
              <w:rPr>
                <w:rFonts w:hint="eastAsia" w:eastAsia="方正书宋_GBK"/>
                <w:lang w:val="en-US" w:eastAsia="zh-CN"/>
              </w:rPr>
            </w:pPr>
            <w:r>
              <w:rPr>
                <w:rFonts w:hint="eastAsia"/>
                <w:lang w:val="en-US" w:eastAsia="zh-CN"/>
              </w:rPr>
              <w:t>项目进行确保工作人员的积极性，确保</w:t>
            </w:r>
            <w:r>
              <w:t>置业大厦</w:t>
            </w:r>
            <w:r>
              <w:rPr>
                <w:rFonts w:hint="eastAsia"/>
                <w:lang w:val="en-US" w:eastAsia="zh-CN"/>
              </w:rPr>
              <w:t>各项工作</w:t>
            </w:r>
            <w:r>
              <w:t>正常运转</w:t>
            </w:r>
            <w:r>
              <w:rPr>
                <w:rFonts w:hint="eastAsia"/>
                <w:lang w:eastAsia="zh-CN"/>
              </w:rPr>
              <w:t>。</w:t>
            </w:r>
          </w:p>
        </w:tc>
        <w:tc>
          <w:tcPr>
            <w:tcW w:w="1327" w:type="dxa"/>
            <w:vAlign w:val="center"/>
          </w:tcPr>
          <w:p>
            <w:pPr>
              <w:pStyle w:val="13"/>
              <w:ind w:firstLine="0" w:firstLineChars="0"/>
            </w:pPr>
            <w:r>
              <w:t>≥</w:t>
            </w:r>
            <w:r>
              <w:rPr>
                <w:rFonts w:hint="eastAsia"/>
                <w:lang w:val="en-US" w:eastAsia="zh-CN"/>
              </w:rPr>
              <w:t>95%</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服务人员的满意</w:t>
            </w:r>
          </w:p>
        </w:tc>
        <w:tc>
          <w:tcPr>
            <w:tcW w:w="1327" w:type="dxa"/>
            <w:vAlign w:val="center"/>
          </w:tcPr>
          <w:p>
            <w:pPr>
              <w:pStyle w:val="13"/>
              <w:ind w:firstLine="0" w:firstLineChars="0"/>
            </w:pPr>
            <w:r>
              <w:t>≥</w:t>
            </w:r>
            <w:r>
              <w:rPr>
                <w:rFonts w:hint="eastAsia"/>
                <w:lang w:val="en-US" w:eastAsia="zh-CN"/>
              </w:rPr>
              <w:t>98%</w:t>
            </w:r>
          </w:p>
        </w:tc>
        <w:tc>
          <w:tcPr>
            <w:tcW w:w="1327" w:type="dxa"/>
            <w:vAlign w:val="center"/>
          </w:tcPr>
          <w:p>
            <w:r>
              <w:rPr>
                <w:rFonts w:hint="eastAsia"/>
                <w:lang w:val="en-US" w:eastAsia="zh-CN"/>
              </w:rPr>
              <w:t>年初计划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6.城区后勤管理运行费绩效目标表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430001唐山市曹妃甸区机关事务中心本级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13020923P00000810002G</w:t>
            </w:r>
          </w:p>
        </w:tc>
        <w:tc>
          <w:tcPr>
            <w:tcW w:w="1587" w:type="dxa"/>
            <w:vAlign w:val="center"/>
          </w:tcPr>
          <w:p>
            <w:pPr>
              <w:pStyle w:val="14"/>
            </w:pPr>
            <w:r>
              <w:t>项目名称</w:t>
            </w:r>
          </w:p>
        </w:tc>
        <w:tc>
          <w:tcPr>
            <w:tcW w:w="4422" w:type="dxa"/>
            <w:gridSpan w:val="3"/>
            <w:vAlign w:val="center"/>
          </w:tcPr>
          <w:p>
            <w:pPr>
              <w:pStyle w:val="13"/>
            </w:pPr>
            <w:r>
              <w:t>城区后勤管理运行费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857.12</w:t>
            </w:r>
          </w:p>
        </w:tc>
        <w:tc>
          <w:tcPr>
            <w:tcW w:w="1587" w:type="dxa"/>
            <w:vAlign w:val="center"/>
          </w:tcPr>
          <w:p>
            <w:pPr>
              <w:pStyle w:val="14"/>
            </w:pPr>
            <w:r>
              <w:t>其中：财政    资金</w:t>
            </w:r>
          </w:p>
        </w:tc>
        <w:tc>
          <w:tcPr>
            <w:tcW w:w="1304" w:type="dxa"/>
            <w:vAlign w:val="center"/>
          </w:tcPr>
          <w:p>
            <w:pPr>
              <w:pStyle w:val="13"/>
            </w:pPr>
            <w:r>
              <w:t>857.12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城区后勤管理运行费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rPr>
                <w:rFonts w:hint="default" w:eastAsia="方正书宋_GBK"/>
                <w:lang w:val="en-US" w:eastAsia="zh-CN"/>
              </w:rPr>
            </w:pPr>
            <w:r>
              <w:rPr>
                <w:rFonts w:hint="eastAsia"/>
                <w:lang w:val="en-US" w:eastAsia="zh-CN"/>
              </w:rPr>
              <w:t>30%</w:t>
            </w:r>
          </w:p>
        </w:tc>
        <w:tc>
          <w:tcPr>
            <w:tcW w:w="1587" w:type="dxa"/>
            <w:vAlign w:val="center"/>
          </w:tcPr>
          <w:p>
            <w:pPr>
              <w:pStyle w:val="15"/>
              <w:rPr>
                <w:rFonts w:hint="default" w:eastAsia="方正书宋_GBK"/>
                <w:lang w:val="en-US" w:eastAsia="zh-CN"/>
              </w:rPr>
            </w:pPr>
            <w:r>
              <w:rPr>
                <w:rFonts w:hint="eastAsia"/>
                <w:lang w:val="en-US" w:eastAsia="zh-CN"/>
              </w:rPr>
              <w:t>50%</w:t>
            </w:r>
          </w:p>
        </w:tc>
        <w:tc>
          <w:tcPr>
            <w:tcW w:w="1304" w:type="dxa"/>
            <w:vAlign w:val="center"/>
          </w:tcPr>
          <w:p>
            <w:pPr>
              <w:pStyle w:val="15"/>
              <w:rPr>
                <w:rFonts w:hint="default" w:eastAsia="方正书宋_GBK"/>
                <w:lang w:val="en-US" w:eastAsia="zh-CN"/>
              </w:rPr>
            </w:pPr>
            <w:r>
              <w:rPr>
                <w:rFonts w:hint="eastAsia"/>
                <w:lang w:val="en-US" w:eastAsia="zh-CN"/>
              </w:rPr>
              <w:t>80%</w:t>
            </w:r>
          </w:p>
        </w:tc>
        <w:tc>
          <w:tcPr>
            <w:tcW w:w="3118" w:type="dxa"/>
            <w:gridSpan w:val="2"/>
            <w:vAlign w:val="center"/>
          </w:tcPr>
          <w:p>
            <w:pPr>
              <w:pStyle w:val="15"/>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w:t>
            </w:r>
            <w:r>
              <w:rPr>
                <w:rFonts w:hint="eastAsia"/>
                <w:lang w:eastAsia="zh-CN"/>
              </w:rPr>
              <w:t>及时足额拨付经费，保障日常工作顺利开展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公共文化服务设施覆盖率</w:t>
            </w:r>
          </w:p>
        </w:tc>
        <w:tc>
          <w:tcPr>
            <w:tcW w:w="2654" w:type="dxa"/>
            <w:vAlign w:val="center"/>
          </w:tcPr>
          <w:p>
            <w:pPr>
              <w:pStyle w:val="13"/>
            </w:pPr>
            <w:r>
              <w:t>文化设施的保养</w:t>
            </w:r>
          </w:p>
        </w:tc>
        <w:tc>
          <w:tcPr>
            <w:tcW w:w="1327" w:type="dxa"/>
            <w:vAlign w:val="center"/>
          </w:tcPr>
          <w:p>
            <w:pPr>
              <w:pStyle w:val="13"/>
              <w:ind w:firstLine="0" w:firstLineChars="0"/>
            </w:pPr>
            <w:r>
              <w:t>≥</w:t>
            </w:r>
            <w:r>
              <w:rPr>
                <w:rFonts w:hint="eastAsia"/>
                <w:lang w:val="en-US" w:eastAsia="zh-CN"/>
              </w:rPr>
              <w:t>45次</w:t>
            </w:r>
          </w:p>
        </w:tc>
        <w:tc>
          <w:tcPr>
            <w:tcW w:w="1327" w:type="dxa"/>
            <w:vAlign w:val="center"/>
          </w:tcPr>
          <w:p>
            <w:pPr>
              <w:pStyle w:val="13"/>
              <w:ind w:firstLine="0" w:firstLineChars="0"/>
            </w:pPr>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其他各项综合实务工作完成率</w:t>
            </w:r>
          </w:p>
        </w:tc>
        <w:tc>
          <w:tcPr>
            <w:tcW w:w="2654" w:type="dxa"/>
            <w:vAlign w:val="center"/>
          </w:tcPr>
          <w:p>
            <w:pPr>
              <w:pStyle w:val="13"/>
            </w:pPr>
            <w:r>
              <w:t>按时完成各项工作</w:t>
            </w:r>
          </w:p>
        </w:tc>
        <w:tc>
          <w:tcPr>
            <w:tcW w:w="1327" w:type="dxa"/>
            <w:vAlign w:val="center"/>
          </w:tcPr>
          <w:p>
            <w:pPr>
              <w:pStyle w:val="13"/>
              <w:ind w:firstLine="0" w:firstLineChars="0"/>
            </w:pPr>
            <w:r>
              <w:t>≥</w:t>
            </w:r>
            <w:r>
              <w:rPr>
                <w:rFonts w:hint="eastAsia"/>
                <w:lang w:val="en-US" w:eastAsia="zh-CN"/>
              </w:rPr>
              <w:t>90%</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完工及时率</w:t>
            </w:r>
          </w:p>
        </w:tc>
        <w:tc>
          <w:tcPr>
            <w:tcW w:w="2654" w:type="dxa"/>
            <w:vAlign w:val="center"/>
          </w:tcPr>
          <w:p>
            <w:pPr>
              <w:pStyle w:val="13"/>
            </w:pPr>
            <w:r>
              <w:t>按时完成工作</w:t>
            </w:r>
          </w:p>
        </w:tc>
        <w:tc>
          <w:tcPr>
            <w:tcW w:w="1327" w:type="dxa"/>
            <w:vAlign w:val="center"/>
          </w:tcPr>
          <w:p>
            <w:pPr>
              <w:pStyle w:val="13"/>
              <w:ind w:firstLine="0" w:firstLineChars="0"/>
            </w:pPr>
            <w:r>
              <w:rPr>
                <w:rFonts w:hint="eastAsia"/>
                <w:lang w:val="en-US" w:eastAsia="zh-CN"/>
              </w:rPr>
              <w:t>2023年12月底之前</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项目实际成本</w:t>
            </w:r>
          </w:p>
        </w:tc>
        <w:tc>
          <w:tcPr>
            <w:tcW w:w="2654" w:type="dxa"/>
            <w:vAlign w:val="center"/>
          </w:tcPr>
          <w:p>
            <w:pPr>
              <w:pStyle w:val="13"/>
            </w:pPr>
            <w:r>
              <w:t>项目实际成本</w:t>
            </w:r>
          </w:p>
        </w:tc>
        <w:tc>
          <w:tcPr>
            <w:tcW w:w="1327" w:type="dxa"/>
            <w:vAlign w:val="center"/>
          </w:tcPr>
          <w:p>
            <w:pPr>
              <w:pStyle w:val="13"/>
              <w:ind w:firstLine="0" w:firstLineChars="0"/>
              <w:rPr>
                <w:rFonts w:hint="eastAsia" w:eastAsia="方正书宋_GBK"/>
                <w:lang w:val="en-US" w:eastAsia="zh-CN"/>
              </w:rPr>
            </w:pPr>
            <w:r>
              <w:rPr>
                <w:rFonts w:hint="default" w:ascii="Arial" w:hAnsi="Arial" w:eastAsia="宋体" w:cs="Arial"/>
              </w:rPr>
              <w:t>≤</w:t>
            </w:r>
            <w:r>
              <w:t>857.12</w:t>
            </w:r>
            <w:r>
              <w:rPr>
                <w:rFonts w:hint="eastAsia"/>
                <w:lang w:val="en-US" w:eastAsia="zh-CN"/>
              </w:rPr>
              <w:t>万元</w:t>
            </w:r>
          </w:p>
        </w:tc>
        <w:tc>
          <w:tcPr>
            <w:tcW w:w="1327" w:type="dxa"/>
            <w:vAlign w:val="center"/>
          </w:tcPr>
          <w:p>
            <w:r>
              <w:rPr>
                <w:rFonts w:hint="eastAsia"/>
                <w:lang w:val="en-US" w:eastAsia="zh-CN"/>
              </w:rPr>
              <w:t>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ind w:firstLine="0" w:firstLineChars="0"/>
            </w:pPr>
            <w:r>
              <w:t>效益指标</w:t>
            </w:r>
          </w:p>
        </w:tc>
        <w:tc>
          <w:tcPr>
            <w:tcW w:w="1327" w:type="dxa"/>
            <w:vAlign w:val="center"/>
          </w:tcPr>
          <w:p>
            <w:pPr>
              <w:pStyle w:val="13"/>
              <w:ind w:firstLine="0" w:firstLineChars="0"/>
            </w:pPr>
            <w:r>
              <w:t>可持续影响指标</w:t>
            </w:r>
          </w:p>
        </w:tc>
        <w:tc>
          <w:tcPr>
            <w:tcW w:w="1327" w:type="dxa"/>
            <w:vAlign w:val="center"/>
          </w:tcPr>
          <w:p>
            <w:pPr>
              <w:pStyle w:val="13"/>
              <w:ind w:firstLine="0" w:firstLineChars="0"/>
              <w:rPr>
                <w:rFonts w:hint="default" w:eastAsia="方正书宋_GBK"/>
                <w:lang w:val="en-US" w:eastAsia="zh-CN"/>
              </w:rPr>
            </w:pPr>
            <w:r>
              <w:rPr>
                <w:rFonts w:hint="eastAsia"/>
                <w:lang w:val="en-US" w:eastAsia="zh-CN"/>
              </w:rPr>
              <w:t>完成</w:t>
            </w:r>
            <w:r>
              <w:t>城区后勤管理</w:t>
            </w:r>
            <w:r>
              <w:rPr>
                <w:rFonts w:hint="eastAsia"/>
                <w:lang w:val="en-US" w:eastAsia="zh-CN"/>
              </w:rPr>
              <w:t>正常</w:t>
            </w:r>
            <w:r>
              <w:t>运行</w:t>
            </w:r>
          </w:p>
        </w:tc>
        <w:tc>
          <w:tcPr>
            <w:tcW w:w="2654" w:type="dxa"/>
            <w:vAlign w:val="center"/>
          </w:tcPr>
          <w:p>
            <w:pPr>
              <w:pStyle w:val="13"/>
              <w:ind w:firstLine="0" w:firstLineChars="0"/>
              <w:rPr>
                <w:rFonts w:hint="default" w:eastAsia="方正书宋_GBK"/>
                <w:lang w:val="en-US" w:eastAsia="zh-CN"/>
              </w:rPr>
            </w:pPr>
            <w:r>
              <w:t>项目</w:t>
            </w:r>
            <w:r>
              <w:rPr>
                <w:rFonts w:hint="eastAsia"/>
                <w:lang w:val="en-US" w:eastAsia="zh-CN"/>
              </w:rPr>
              <w:t>完成提高人员工作完成质量，完成</w:t>
            </w:r>
            <w:r>
              <w:t>城区后勤管理</w:t>
            </w:r>
            <w:r>
              <w:rPr>
                <w:rFonts w:hint="eastAsia"/>
                <w:lang w:val="en-US" w:eastAsia="zh-CN"/>
              </w:rPr>
              <w:t>正常</w:t>
            </w:r>
            <w:r>
              <w:t>运行</w:t>
            </w:r>
          </w:p>
        </w:tc>
        <w:tc>
          <w:tcPr>
            <w:tcW w:w="1327" w:type="dxa"/>
            <w:vAlign w:val="center"/>
          </w:tcPr>
          <w:p>
            <w:pPr>
              <w:pStyle w:val="13"/>
              <w:ind w:firstLine="0" w:firstLineChars="0"/>
            </w:pPr>
            <w:r>
              <w:t>≥</w:t>
            </w:r>
            <w:r>
              <w:rPr>
                <w:rFonts w:hint="eastAsia"/>
                <w:lang w:val="en-US" w:eastAsia="zh-CN"/>
              </w:rPr>
              <w:t>95%</w:t>
            </w:r>
          </w:p>
        </w:tc>
        <w:tc>
          <w:tcPr>
            <w:tcW w:w="1327" w:type="dxa"/>
            <w:vAlign w:val="center"/>
          </w:tcPr>
          <w:p>
            <w:r>
              <w:rPr>
                <w:rFonts w:hint="eastAsia" w:eastAsia="宋体"/>
                <w:lang w:val="en-US" w:eastAsia="zh-C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服务对象满意度</w:t>
            </w:r>
          </w:p>
        </w:tc>
        <w:tc>
          <w:tcPr>
            <w:tcW w:w="2654" w:type="dxa"/>
            <w:vAlign w:val="center"/>
          </w:tcPr>
          <w:p>
            <w:pPr>
              <w:pStyle w:val="13"/>
            </w:pPr>
            <w:r>
              <w:t>服务好每一位人员</w:t>
            </w:r>
          </w:p>
        </w:tc>
        <w:tc>
          <w:tcPr>
            <w:tcW w:w="1327" w:type="dxa"/>
            <w:vAlign w:val="center"/>
          </w:tcPr>
          <w:p>
            <w:pPr>
              <w:pStyle w:val="13"/>
              <w:ind w:firstLine="0" w:firstLineChars="0"/>
            </w:pPr>
            <w:r>
              <w:t>≥</w:t>
            </w:r>
            <w:r>
              <w:rPr>
                <w:rFonts w:hint="eastAsia"/>
                <w:lang w:val="en-US" w:eastAsia="zh-CN"/>
              </w:rPr>
              <w:t>98%</w:t>
            </w:r>
          </w:p>
        </w:tc>
        <w:tc>
          <w:tcPr>
            <w:tcW w:w="1327" w:type="dxa"/>
            <w:vAlign w:val="center"/>
          </w:tcPr>
          <w:p>
            <w:r>
              <w:rPr>
                <w:rFonts w:hint="eastAsia"/>
                <w:lang w:val="en-US" w:eastAsia="zh-CN"/>
              </w:rPr>
              <w:t>年初计划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CE532"/>
    <w:multiLevelType w:val="singleLevel"/>
    <w:tmpl w:val="B78CE5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2UzNjRjNzNhZWFjOGRjMjA1Njc3ZDA0OGRlNDUifQ=="/>
  </w:docVars>
  <w:rsids>
    <w:rsidRoot w:val="00000000"/>
    <w:rsid w:val="00554EF5"/>
    <w:rsid w:val="006911F9"/>
    <w:rsid w:val="030012C2"/>
    <w:rsid w:val="035A0B8B"/>
    <w:rsid w:val="042A2D98"/>
    <w:rsid w:val="042B1E5C"/>
    <w:rsid w:val="066817AD"/>
    <w:rsid w:val="0AD62182"/>
    <w:rsid w:val="0BD82491"/>
    <w:rsid w:val="0C03750F"/>
    <w:rsid w:val="0E3620C1"/>
    <w:rsid w:val="1356669B"/>
    <w:rsid w:val="159264FF"/>
    <w:rsid w:val="19335BF4"/>
    <w:rsid w:val="197945B1"/>
    <w:rsid w:val="1AF60A21"/>
    <w:rsid w:val="1C760509"/>
    <w:rsid w:val="1C891289"/>
    <w:rsid w:val="1CCB0F13"/>
    <w:rsid w:val="22B12860"/>
    <w:rsid w:val="26F0260C"/>
    <w:rsid w:val="298C373E"/>
    <w:rsid w:val="2A405303"/>
    <w:rsid w:val="2B481888"/>
    <w:rsid w:val="2B6B0E27"/>
    <w:rsid w:val="2DF61A6F"/>
    <w:rsid w:val="2F6D50EA"/>
    <w:rsid w:val="30287B27"/>
    <w:rsid w:val="34A22329"/>
    <w:rsid w:val="37060F75"/>
    <w:rsid w:val="396F0B07"/>
    <w:rsid w:val="3A484379"/>
    <w:rsid w:val="3B9D0AFF"/>
    <w:rsid w:val="3F630C8A"/>
    <w:rsid w:val="405F05E8"/>
    <w:rsid w:val="454809AA"/>
    <w:rsid w:val="462D16C5"/>
    <w:rsid w:val="48CB0ECB"/>
    <w:rsid w:val="490C322A"/>
    <w:rsid w:val="4C962698"/>
    <w:rsid w:val="50037037"/>
    <w:rsid w:val="505A30FE"/>
    <w:rsid w:val="51F02538"/>
    <w:rsid w:val="52F03B3E"/>
    <w:rsid w:val="53DD75DD"/>
    <w:rsid w:val="55D32512"/>
    <w:rsid w:val="56C0737C"/>
    <w:rsid w:val="5781337A"/>
    <w:rsid w:val="581B5AAA"/>
    <w:rsid w:val="59584F40"/>
    <w:rsid w:val="5B877842"/>
    <w:rsid w:val="5F416AD5"/>
    <w:rsid w:val="5FBA5715"/>
    <w:rsid w:val="64A32506"/>
    <w:rsid w:val="64EC6953"/>
    <w:rsid w:val="6A222ABC"/>
    <w:rsid w:val="6ACC3C3E"/>
    <w:rsid w:val="6BBC6F66"/>
    <w:rsid w:val="6C8B725A"/>
    <w:rsid w:val="75090455"/>
    <w:rsid w:val="751C1388"/>
    <w:rsid w:val="762E641D"/>
    <w:rsid w:val="79287A1C"/>
    <w:rsid w:val="79F30D7D"/>
    <w:rsid w:val="7C9B155D"/>
    <w:rsid w:val="7E050960"/>
    <w:rsid w:val="7F4A728E"/>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autoRedefine/>
    <w:qFormat/>
    <w:uiPriority w:val="0"/>
    <w:pPr>
      <w:ind w:left="720"/>
    </w:pPr>
  </w:style>
  <w:style w:type="paragraph" w:styleId="4">
    <w:name w:val="toc 2"/>
    <w:basedOn w:val="1"/>
    <w:next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2023-01-29T14:51:35Z</dcterms:created>
  <dcterms:modified xsi:type="dcterms:W3CDTF">2023-01-29T06:51:35Z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2023-01-29T14:51:36Z</dcterms:created>
  <dcterms:modified xsi:type="dcterms:W3CDTF">2023-01-29T06:51:36Z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2023-01-29T14:51:34Z</dcterms:created>
  <dcterms:modified xsi:type="dcterms:W3CDTF">2023-01-29T06:51:34Z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2023-01-29T14:51:34Z</dcterms:created>
  <dcterms:modified xsi:type="dcterms:W3CDTF">2023-01-29T06:51:34Z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2023-01-29T14:51:35Z</dcterms:created>
  <dcterms:modified xsi:type="dcterms:W3CDTF">2023-01-29T06:51:35Z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2023-01-29T14:51:34Z</dcterms:created>
  <dcterms:modified xsi:type="dcterms:W3CDTF">2023-01-29T06:51:34Z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2023-01-29T14:51:35Z</dcterms:created>
  <dcterms:modified xsi:type="dcterms:W3CDTF">2023-01-29T06:51:35Z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2023-01-29T14:51:36Z</dcterms:created>
  <dcterms:modified xsi:type="dcterms:W3CDTF">2023-01-29T06:51:35Z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2ed14fc-f975-406d-8c09-b88c5cd2e237}">
  <ds:schemaRefs/>
</ds:datastoreItem>
</file>

<file path=customXml/itemProps10.xml><?xml version="1.0" encoding="utf-8"?>
<ds:datastoreItem xmlns:ds="http://schemas.openxmlformats.org/officeDocument/2006/customXml" ds:itemID="{c3daef87-92d3-470e-a6df-b3b4a1e877a0}">
  <ds:schemaRefs/>
</ds:datastoreItem>
</file>

<file path=customXml/itemProps11.xml><?xml version="1.0" encoding="utf-8"?>
<ds:datastoreItem xmlns:ds="http://schemas.openxmlformats.org/officeDocument/2006/customXml" ds:itemID="{bbe26ef8-b940-4f27-8e9e-c1e85a133b08}">
  <ds:schemaRefs/>
</ds:datastoreItem>
</file>

<file path=customXml/itemProps12.xml><?xml version="1.0" encoding="utf-8"?>
<ds:datastoreItem xmlns:ds="http://schemas.openxmlformats.org/officeDocument/2006/customXml" ds:itemID="{89a2993e-922a-449d-9194-067c5b1ffa39}">
  <ds:schemaRefs/>
</ds:datastoreItem>
</file>

<file path=customXml/itemProps13.xml><?xml version="1.0" encoding="utf-8"?>
<ds:datastoreItem xmlns:ds="http://schemas.openxmlformats.org/officeDocument/2006/customXml" ds:itemID="{44a48de5-b2a3-4cd7-891e-bb22205f899c}">
  <ds:schemaRefs/>
</ds:datastoreItem>
</file>

<file path=customXml/itemProps14.xml><?xml version="1.0" encoding="utf-8"?>
<ds:datastoreItem xmlns:ds="http://schemas.openxmlformats.org/officeDocument/2006/customXml" ds:itemID="{6bd47ce6-8aff-45ef-937c-28608903d5d3}">
  <ds:schemaRefs/>
</ds:datastoreItem>
</file>

<file path=customXml/itemProps15.xml><?xml version="1.0" encoding="utf-8"?>
<ds:datastoreItem xmlns:ds="http://schemas.openxmlformats.org/officeDocument/2006/customXml" ds:itemID="{d497d8ca-8117-45bd-aef8-95eb8abc7125}">
  <ds:schemaRefs/>
</ds:datastoreItem>
</file>

<file path=customXml/itemProps16.xml><?xml version="1.0" encoding="utf-8"?>
<ds:datastoreItem xmlns:ds="http://schemas.openxmlformats.org/officeDocument/2006/customXml" ds:itemID="{97b0463c-8b33-4624-831c-0e578100d441}">
  <ds:schemaRefs/>
</ds:datastoreItem>
</file>

<file path=customXml/itemProps2.xml><?xml version="1.0" encoding="utf-8"?>
<ds:datastoreItem xmlns:ds="http://schemas.openxmlformats.org/officeDocument/2006/customXml" ds:itemID="{0447fbb9-3be4-4a37-9ae4-6b4932b81e1d}">
  <ds:schemaRefs/>
</ds:datastoreItem>
</file>

<file path=customXml/itemProps3.xml><?xml version="1.0" encoding="utf-8"?>
<ds:datastoreItem xmlns:ds="http://schemas.openxmlformats.org/officeDocument/2006/customXml" ds:itemID="{c1fae1b7-36e7-4dc4-89dd-12f6823bc3a9}">
  <ds:schemaRefs/>
</ds:datastoreItem>
</file>

<file path=customXml/itemProps4.xml><?xml version="1.0" encoding="utf-8"?>
<ds:datastoreItem xmlns:ds="http://schemas.openxmlformats.org/officeDocument/2006/customXml" ds:itemID="{633d9d3f-6fbf-40f0-9153-3e9b4d83d369}">
  <ds:schemaRefs/>
</ds:datastoreItem>
</file>

<file path=customXml/itemProps5.xml><?xml version="1.0" encoding="utf-8"?>
<ds:datastoreItem xmlns:ds="http://schemas.openxmlformats.org/officeDocument/2006/customXml" ds:itemID="{8ae1acd6-d938-48dc-bba2-718d967bd417}">
  <ds:schemaRefs/>
</ds:datastoreItem>
</file>

<file path=customXml/itemProps6.xml><?xml version="1.0" encoding="utf-8"?>
<ds:datastoreItem xmlns:ds="http://schemas.openxmlformats.org/officeDocument/2006/customXml" ds:itemID="{fc870741-a0a8-4814-9791-a439a23ab163}">
  <ds:schemaRefs/>
</ds:datastoreItem>
</file>

<file path=customXml/itemProps7.xml><?xml version="1.0" encoding="utf-8"?>
<ds:datastoreItem xmlns:ds="http://schemas.openxmlformats.org/officeDocument/2006/customXml" ds:itemID="{1f262e0d-c7e2-495f-8f14-7983c67bdc35}">
  <ds:schemaRefs/>
</ds:datastoreItem>
</file>

<file path=customXml/itemProps8.xml><?xml version="1.0" encoding="utf-8"?>
<ds:datastoreItem xmlns:ds="http://schemas.openxmlformats.org/officeDocument/2006/customXml" ds:itemID="{5cf79aea-8132-48cd-9964-70a084a1eb89}">
  <ds:schemaRefs/>
</ds:datastoreItem>
</file>

<file path=customXml/itemProps9.xml><?xml version="1.0" encoding="utf-8"?>
<ds:datastoreItem xmlns:ds="http://schemas.openxmlformats.org/officeDocument/2006/customXml" ds:itemID="{ae2c151f-6834-4bde-9305-323fb2c525ea}">
  <ds:schemaRefs/>
</ds:datastoreItem>
</file>

<file path=docProps/app.xml><?xml version="1.0" encoding="utf-8"?>
<Properties xmlns="http://schemas.openxmlformats.org/officeDocument/2006/extended-properties" xmlns:vt="http://schemas.openxmlformats.org/officeDocument/2006/docPropsVTypes">
  <Pages>18</Pages>
  <Words>5388</Words>
  <Characters>5893</Characters>
  <TotalTime>12</TotalTime>
  <ScaleCrop>false</ScaleCrop>
  <LinksUpToDate>false</LinksUpToDate>
  <CharactersWithSpaces>5985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2023-01-29T14:51:00Z</dcterms:created>
  <dc:creator>Administrator</dc:creator>
  <cp:lastModifiedBy>J@W</cp:lastModifiedBy>
  <dcterms:modified xsi:type="dcterms:W3CDTF">2024-01-16T04:50:13Z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FD3A96B3BDDA4EE89E88D1606E916D1F</vt:lpwstr>
  </property>
</Properties>
</file>