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firstLine="4216" w:firstLineChars="1400"/>
        <w:jc w:val="both"/>
      </w:pPr>
      <w:r>
        <w:rPr>
          <w:rFonts w:hint="eastAsia" w:ascii="黑体" w:hAnsi="黑体" w:eastAsia="黑体" w:cs="黑体"/>
          <w:b/>
          <w:color w:val="000000"/>
          <w:sz w:val="30"/>
          <w:lang w:eastAsia="zh-CN"/>
        </w:rPr>
        <w:t>曹妃甸区机关事务中心</w:t>
      </w:r>
      <w:r>
        <w:rPr>
          <w:rFonts w:ascii="黑体" w:hAnsi="黑体" w:eastAsia="黑体" w:cs="黑体"/>
          <w:b/>
          <w:color w:val="000000"/>
          <w:sz w:val="30"/>
        </w:rPr>
        <w:t>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一、唐山市曹妃甸区机关事务中心本级收支预算</w:t>
      </w:r>
      <w:r>
        <w:tab/>
      </w:r>
      <w:r>
        <w:fldChar w:fldCharType="begin"/>
      </w:r>
      <w:r>
        <w:instrText xml:space="preserve">PAGEREF _Toc_4_4_0000000019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rPr>
          <w:sz w:val="44"/>
          <w:szCs w:val="44"/>
        </w:rPr>
        <w:sectPr>
          <w:footerReference r:id="rId3" w:type="default"/>
          <w:footerReference r:id="rId4" w:type="even"/>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44"/>
          <w:szCs w:val="44"/>
          <w:lang w:eastAsia="zh-CN"/>
        </w:rPr>
        <w:t>曹妃甸区机关事务中心</w:t>
      </w:r>
      <w:r>
        <w:rPr>
          <w:rFonts w:ascii="方正小标宋_GBK" w:hAnsi="方正小标宋_GBK" w:eastAsia="方正小标宋_GBK" w:cs="方正小标宋_GBK"/>
          <w:color w:val="000000"/>
          <w:sz w:val="44"/>
          <w:szCs w:val="44"/>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一、唐山市曹妃甸区机关事务中心本级收支预算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12432.29</w:t>
            </w:r>
          </w:p>
        </w:tc>
        <w:tc>
          <w:tcPr>
            <w:tcW w:w="4535" w:type="dxa"/>
            <w:vAlign w:val="center"/>
          </w:tcPr>
          <w:p>
            <w:pPr>
              <w:pStyle w:val="12"/>
            </w:pPr>
            <w:r>
              <w:t>一、一般公共服务支出</w:t>
            </w:r>
          </w:p>
        </w:tc>
        <w:tc>
          <w:tcPr>
            <w:tcW w:w="2126" w:type="dxa"/>
            <w:vAlign w:val="center"/>
          </w:tcPr>
          <w:p>
            <w:pPr>
              <w:pStyle w:val="11"/>
            </w:pPr>
            <w:r>
              <w:t>12244.74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12432.29</w:t>
            </w:r>
          </w:p>
        </w:tc>
        <w:tc>
          <w:tcPr>
            <w:tcW w:w="4535" w:type="dxa"/>
            <w:vAlign w:val="center"/>
          </w:tcPr>
          <w:p>
            <w:pPr>
              <w:pStyle w:val="14"/>
            </w:pPr>
            <w:r>
              <w:t>本年支出合计</w:t>
            </w:r>
          </w:p>
        </w:tc>
        <w:tc>
          <w:tcPr>
            <w:tcW w:w="2126" w:type="dxa"/>
            <w:vAlign w:val="center"/>
          </w:tcPr>
          <w:p>
            <w:pPr>
              <w:pStyle w:val="15"/>
            </w:pPr>
            <w:r>
              <w:t>12432.29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12432.29</w:t>
            </w:r>
          </w:p>
        </w:tc>
        <w:tc>
          <w:tcPr>
            <w:tcW w:w="4535" w:type="dxa"/>
            <w:vAlign w:val="center"/>
          </w:tcPr>
          <w:p>
            <w:pPr>
              <w:pStyle w:val="14"/>
            </w:pPr>
            <w:r>
              <w:t>支出总计</w:t>
            </w:r>
          </w:p>
        </w:tc>
        <w:tc>
          <w:tcPr>
            <w:tcW w:w="2126" w:type="dxa"/>
            <w:vAlign w:val="center"/>
          </w:tcPr>
          <w:p>
            <w:pPr>
              <w:pStyle w:val="15"/>
            </w:pPr>
            <w:r>
              <w:t>12432.29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12432.29</w:t>
            </w:r>
          </w:p>
        </w:tc>
        <w:tc>
          <w:tcPr>
            <w:tcW w:w="1134" w:type="dxa"/>
            <w:vAlign w:val="center"/>
          </w:tcPr>
          <w:p>
            <w:pPr>
              <w:pStyle w:val="15"/>
            </w:pPr>
            <w:r>
              <w:t>12432.29</w:t>
            </w:r>
          </w:p>
        </w:tc>
        <w:tc>
          <w:tcPr>
            <w:tcW w:w="1134" w:type="dxa"/>
            <w:vAlign w:val="center"/>
          </w:tcPr>
          <w:p>
            <w:pPr>
              <w:pStyle w:val="15"/>
            </w:pPr>
            <w:r>
              <w:t>12432.29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12244.74</w:t>
            </w:r>
          </w:p>
        </w:tc>
        <w:tc>
          <w:tcPr>
            <w:tcW w:w="1134" w:type="dxa"/>
            <w:vAlign w:val="center"/>
          </w:tcPr>
          <w:p>
            <w:pPr>
              <w:pStyle w:val="11"/>
            </w:pPr>
            <w:r>
              <w:t>12244.74</w:t>
            </w:r>
          </w:p>
        </w:tc>
        <w:tc>
          <w:tcPr>
            <w:tcW w:w="1134" w:type="dxa"/>
            <w:vAlign w:val="center"/>
          </w:tcPr>
          <w:p>
            <w:pPr>
              <w:pStyle w:val="11"/>
            </w:pPr>
            <w:r>
              <w:t>12244.74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12244.74</w:t>
            </w:r>
          </w:p>
        </w:tc>
        <w:tc>
          <w:tcPr>
            <w:tcW w:w="1134" w:type="dxa"/>
            <w:vAlign w:val="center"/>
          </w:tcPr>
          <w:p>
            <w:pPr>
              <w:pStyle w:val="11"/>
            </w:pPr>
            <w:r>
              <w:t>12244.74</w:t>
            </w:r>
          </w:p>
        </w:tc>
        <w:tc>
          <w:tcPr>
            <w:tcW w:w="1134" w:type="dxa"/>
            <w:vAlign w:val="center"/>
          </w:tcPr>
          <w:p>
            <w:pPr>
              <w:pStyle w:val="11"/>
            </w:pPr>
            <w:r>
              <w:t>12244.74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1228.87</w:t>
            </w:r>
          </w:p>
        </w:tc>
        <w:tc>
          <w:tcPr>
            <w:tcW w:w="1134" w:type="dxa"/>
            <w:vAlign w:val="center"/>
          </w:tcPr>
          <w:p>
            <w:pPr>
              <w:pStyle w:val="11"/>
            </w:pPr>
            <w:r>
              <w:t>1228.87</w:t>
            </w:r>
          </w:p>
        </w:tc>
        <w:tc>
          <w:tcPr>
            <w:tcW w:w="1134" w:type="dxa"/>
            <w:vAlign w:val="center"/>
          </w:tcPr>
          <w:p>
            <w:pPr>
              <w:pStyle w:val="11"/>
            </w:pPr>
            <w:r>
              <w:t>1228.87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11015.87</w:t>
            </w:r>
          </w:p>
        </w:tc>
        <w:tc>
          <w:tcPr>
            <w:tcW w:w="1134" w:type="dxa"/>
            <w:vAlign w:val="center"/>
          </w:tcPr>
          <w:p>
            <w:pPr>
              <w:pStyle w:val="11"/>
            </w:pPr>
            <w:r>
              <w:t>11015.87</w:t>
            </w:r>
          </w:p>
        </w:tc>
        <w:tc>
          <w:tcPr>
            <w:tcW w:w="1134" w:type="dxa"/>
            <w:vAlign w:val="center"/>
          </w:tcPr>
          <w:p>
            <w:pPr>
              <w:pStyle w:val="11"/>
            </w:pPr>
            <w:r>
              <w:t>11015.87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75.54</w:t>
            </w:r>
          </w:p>
        </w:tc>
        <w:tc>
          <w:tcPr>
            <w:tcW w:w="1134" w:type="dxa"/>
            <w:vAlign w:val="center"/>
          </w:tcPr>
          <w:p>
            <w:pPr>
              <w:pStyle w:val="11"/>
            </w:pPr>
            <w:r>
              <w:t>75.54</w:t>
            </w:r>
          </w:p>
        </w:tc>
        <w:tc>
          <w:tcPr>
            <w:tcW w:w="1134" w:type="dxa"/>
            <w:vAlign w:val="center"/>
          </w:tcPr>
          <w:p>
            <w:pPr>
              <w:pStyle w:val="11"/>
            </w:pPr>
            <w:r>
              <w:t>75.54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75.54</w:t>
            </w:r>
          </w:p>
        </w:tc>
        <w:tc>
          <w:tcPr>
            <w:tcW w:w="1134" w:type="dxa"/>
            <w:vAlign w:val="center"/>
          </w:tcPr>
          <w:p>
            <w:pPr>
              <w:pStyle w:val="11"/>
            </w:pPr>
            <w:r>
              <w:t>75.54</w:t>
            </w:r>
          </w:p>
        </w:tc>
        <w:tc>
          <w:tcPr>
            <w:tcW w:w="1134" w:type="dxa"/>
            <w:vAlign w:val="center"/>
          </w:tcPr>
          <w:p>
            <w:pPr>
              <w:pStyle w:val="11"/>
            </w:pPr>
            <w:r>
              <w:t>75.54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50.36</w:t>
            </w:r>
          </w:p>
        </w:tc>
        <w:tc>
          <w:tcPr>
            <w:tcW w:w="1134" w:type="dxa"/>
            <w:vAlign w:val="center"/>
          </w:tcPr>
          <w:p>
            <w:pPr>
              <w:pStyle w:val="11"/>
            </w:pPr>
            <w:r>
              <w:t>50.36</w:t>
            </w:r>
          </w:p>
        </w:tc>
        <w:tc>
          <w:tcPr>
            <w:tcW w:w="1134" w:type="dxa"/>
            <w:vAlign w:val="center"/>
          </w:tcPr>
          <w:p>
            <w:pPr>
              <w:pStyle w:val="11"/>
            </w:pPr>
            <w:r>
              <w:t>50.36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25.18</w:t>
            </w:r>
          </w:p>
        </w:tc>
        <w:tc>
          <w:tcPr>
            <w:tcW w:w="1134" w:type="dxa"/>
            <w:vAlign w:val="center"/>
          </w:tcPr>
          <w:p>
            <w:pPr>
              <w:pStyle w:val="11"/>
            </w:pPr>
            <w:r>
              <w:t>25.18</w:t>
            </w:r>
          </w:p>
        </w:tc>
        <w:tc>
          <w:tcPr>
            <w:tcW w:w="1134" w:type="dxa"/>
            <w:vAlign w:val="center"/>
          </w:tcPr>
          <w:p>
            <w:pPr>
              <w:pStyle w:val="11"/>
            </w:pPr>
            <w:r>
              <w:t>25.18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74.24</w:t>
            </w:r>
          </w:p>
        </w:tc>
        <w:tc>
          <w:tcPr>
            <w:tcW w:w="1134" w:type="dxa"/>
            <w:vAlign w:val="center"/>
          </w:tcPr>
          <w:p>
            <w:pPr>
              <w:pStyle w:val="11"/>
            </w:pPr>
            <w:r>
              <w:t>74.24</w:t>
            </w:r>
          </w:p>
        </w:tc>
        <w:tc>
          <w:tcPr>
            <w:tcW w:w="1134" w:type="dxa"/>
            <w:vAlign w:val="center"/>
          </w:tcPr>
          <w:p>
            <w:pPr>
              <w:pStyle w:val="11"/>
            </w:pPr>
            <w:r>
              <w:t>74.24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74.24</w:t>
            </w:r>
          </w:p>
        </w:tc>
        <w:tc>
          <w:tcPr>
            <w:tcW w:w="1134" w:type="dxa"/>
            <w:vAlign w:val="center"/>
          </w:tcPr>
          <w:p>
            <w:pPr>
              <w:pStyle w:val="11"/>
            </w:pPr>
            <w:r>
              <w:t>74.24</w:t>
            </w:r>
          </w:p>
        </w:tc>
        <w:tc>
          <w:tcPr>
            <w:tcW w:w="1134" w:type="dxa"/>
            <w:vAlign w:val="center"/>
          </w:tcPr>
          <w:p>
            <w:pPr>
              <w:pStyle w:val="11"/>
            </w:pPr>
            <w:r>
              <w:t>74.24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29.30</w:t>
            </w:r>
          </w:p>
        </w:tc>
        <w:tc>
          <w:tcPr>
            <w:tcW w:w="1134" w:type="dxa"/>
            <w:vAlign w:val="center"/>
          </w:tcPr>
          <w:p>
            <w:pPr>
              <w:pStyle w:val="11"/>
            </w:pPr>
            <w:r>
              <w:t>29.30</w:t>
            </w:r>
          </w:p>
        </w:tc>
        <w:tc>
          <w:tcPr>
            <w:tcW w:w="1134" w:type="dxa"/>
            <w:vAlign w:val="center"/>
          </w:tcPr>
          <w:p>
            <w:pPr>
              <w:pStyle w:val="11"/>
            </w:pPr>
            <w:r>
              <w:t>29.30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44.94</w:t>
            </w:r>
          </w:p>
        </w:tc>
        <w:tc>
          <w:tcPr>
            <w:tcW w:w="1134" w:type="dxa"/>
            <w:vAlign w:val="center"/>
          </w:tcPr>
          <w:p>
            <w:pPr>
              <w:pStyle w:val="11"/>
            </w:pPr>
            <w:r>
              <w:t>44.94</w:t>
            </w:r>
          </w:p>
        </w:tc>
        <w:tc>
          <w:tcPr>
            <w:tcW w:w="1134" w:type="dxa"/>
            <w:vAlign w:val="center"/>
          </w:tcPr>
          <w:p>
            <w:pPr>
              <w:pStyle w:val="11"/>
            </w:pPr>
            <w:r>
              <w:t>44.94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37.77</w:t>
            </w:r>
          </w:p>
        </w:tc>
        <w:tc>
          <w:tcPr>
            <w:tcW w:w="1134" w:type="dxa"/>
            <w:vAlign w:val="center"/>
          </w:tcPr>
          <w:p>
            <w:pPr>
              <w:pStyle w:val="11"/>
            </w:pPr>
            <w:r>
              <w:t>37.77</w:t>
            </w:r>
          </w:p>
        </w:tc>
        <w:tc>
          <w:tcPr>
            <w:tcW w:w="1134" w:type="dxa"/>
            <w:vAlign w:val="center"/>
          </w:tcPr>
          <w:p>
            <w:pPr>
              <w:pStyle w:val="11"/>
            </w:pPr>
            <w:r>
              <w:t>37.77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37.77</w:t>
            </w:r>
          </w:p>
        </w:tc>
        <w:tc>
          <w:tcPr>
            <w:tcW w:w="1134" w:type="dxa"/>
            <w:vAlign w:val="center"/>
          </w:tcPr>
          <w:p>
            <w:pPr>
              <w:pStyle w:val="11"/>
            </w:pPr>
            <w:r>
              <w:t>37.77</w:t>
            </w:r>
          </w:p>
        </w:tc>
        <w:tc>
          <w:tcPr>
            <w:tcW w:w="1134" w:type="dxa"/>
            <w:vAlign w:val="center"/>
          </w:tcPr>
          <w:p>
            <w:pPr>
              <w:pStyle w:val="11"/>
            </w:pPr>
            <w:r>
              <w:t>37.77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37.77</w:t>
            </w:r>
          </w:p>
        </w:tc>
        <w:tc>
          <w:tcPr>
            <w:tcW w:w="1134" w:type="dxa"/>
            <w:vAlign w:val="center"/>
          </w:tcPr>
          <w:p>
            <w:pPr>
              <w:pStyle w:val="11"/>
            </w:pPr>
            <w:r>
              <w:t>37.77</w:t>
            </w:r>
          </w:p>
        </w:tc>
        <w:tc>
          <w:tcPr>
            <w:tcW w:w="1134" w:type="dxa"/>
            <w:vAlign w:val="center"/>
          </w:tcPr>
          <w:p>
            <w:pPr>
              <w:pStyle w:val="11"/>
            </w:pPr>
            <w:r>
              <w:t>37.77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12432.29</w:t>
            </w:r>
          </w:p>
        </w:tc>
        <w:tc>
          <w:tcPr>
            <w:tcW w:w="1361" w:type="dxa"/>
            <w:vAlign w:val="center"/>
          </w:tcPr>
          <w:p>
            <w:pPr>
              <w:pStyle w:val="15"/>
            </w:pPr>
            <w:r>
              <w:t>1416.42</w:t>
            </w:r>
          </w:p>
        </w:tc>
        <w:tc>
          <w:tcPr>
            <w:tcW w:w="1361" w:type="dxa"/>
            <w:vAlign w:val="center"/>
          </w:tcPr>
          <w:p>
            <w:pPr>
              <w:pStyle w:val="15"/>
            </w:pPr>
            <w:r>
              <w:t>11015.87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12244.74</w:t>
            </w:r>
          </w:p>
        </w:tc>
        <w:tc>
          <w:tcPr>
            <w:tcW w:w="1361" w:type="dxa"/>
            <w:vAlign w:val="center"/>
          </w:tcPr>
          <w:p>
            <w:pPr>
              <w:pStyle w:val="11"/>
            </w:pPr>
            <w:r>
              <w:t>1228.87</w:t>
            </w:r>
          </w:p>
        </w:tc>
        <w:tc>
          <w:tcPr>
            <w:tcW w:w="1361" w:type="dxa"/>
            <w:vAlign w:val="center"/>
          </w:tcPr>
          <w:p>
            <w:pPr>
              <w:pStyle w:val="11"/>
            </w:pPr>
            <w:r>
              <w:t>11015.87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12244.74</w:t>
            </w:r>
          </w:p>
        </w:tc>
        <w:tc>
          <w:tcPr>
            <w:tcW w:w="1361" w:type="dxa"/>
            <w:vAlign w:val="center"/>
          </w:tcPr>
          <w:p>
            <w:pPr>
              <w:pStyle w:val="11"/>
            </w:pPr>
            <w:r>
              <w:t>1228.87</w:t>
            </w:r>
          </w:p>
        </w:tc>
        <w:tc>
          <w:tcPr>
            <w:tcW w:w="1361" w:type="dxa"/>
            <w:vAlign w:val="center"/>
          </w:tcPr>
          <w:p>
            <w:pPr>
              <w:pStyle w:val="11"/>
            </w:pPr>
            <w:r>
              <w:t>11015.87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1228.87</w:t>
            </w:r>
          </w:p>
        </w:tc>
        <w:tc>
          <w:tcPr>
            <w:tcW w:w="1361" w:type="dxa"/>
            <w:vAlign w:val="center"/>
          </w:tcPr>
          <w:p>
            <w:pPr>
              <w:pStyle w:val="11"/>
            </w:pPr>
            <w:r>
              <w:t>1228.87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11015.87</w:t>
            </w:r>
          </w:p>
        </w:tc>
        <w:tc>
          <w:tcPr>
            <w:tcW w:w="1361" w:type="dxa"/>
            <w:vAlign w:val="center"/>
          </w:tcPr>
          <w:p>
            <w:pPr>
              <w:pStyle w:val="11"/>
            </w:pPr>
          </w:p>
        </w:tc>
        <w:tc>
          <w:tcPr>
            <w:tcW w:w="1361" w:type="dxa"/>
            <w:vAlign w:val="center"/>
          </w:tcPr>
          <w:p>
            <w:pPr>
              <w:pStyle w:val="11"/>
            </w:pPr>
            <w:r>
              <w:t>11015.87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75.54</w:t>
            </w:r>
          </w:p>
        </w:tc>
        <w:tc>
          <w:tcPr>
            <w:tcW w:w="1361" w:type="dxa"/>
            <w:vAlign w:val="center"/>
          </w:tcPr>
          <w:p>
            <w:pPr>
              <w:pStyle w:val="11"/>
            </w:pPr>
            <w:r>
              <w:t>75.54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75.54</w:t>
            </w:r>
          </w:p>
        </w:tc>
        <w:tc>
          <w:tcPr>
            <w:tcW w:w="1361" w:type="dxa"/>
            <w:vAlign w:val="center"/>
          </w:tcPr>
          <w:p>
            <w:pPr>
              <w:pStyle w:val="11"/>
            </w:pPr>
            <w:r>
              <w:t>75.54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50.36</w:t>
            </w:r>
          </w:p>
        </w:tc>
        <w:tc>
          <w:tcPr>
            <w:tcW w:w="1361" w:type="dxa"/>
            <w:vAlign w:val="center"/>
          </w:tcPr>
          <w:p>
            <w:pPr>
              <w:pStyle w:val="11"/>
            </w:pPr>
            <w:r>
              <w:t>50.36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25.18</w:t>
            </w:r>
          </w:p>
        </w:tc>
        <w:tc>
          <w:tcPr>
            <w:tcW w:w="1361" w:type="dxa"/>
            <w:vAlign w:val="center"/>
          </w:tcPr>
          <w:p>
            <w:pPr>
              <w:pStyle w:val="11"/>
            </w:pPr>
            <w:r>
              <w:t>25.18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74.24</w:t>
            </w:r>
          </w:p>
        </w:tc>
        <w:tc>
          <w:tcPr>
            <w:tcW w:w="1361" w:type="dxa"/>
            <w:vAlign w:val="center"/>
          </w:tcPr>
          <w:p>
            <w:pPr>
              <w:pStyle w:val="11"/>
            </w:pPr>
            <w:r>
              <w:t>74.24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74.24</w:t>
            </w:r>
          </w:p>
        </w:tc>
        <w:tc>
          <w:tcPr>
            <w:tcW w:w="1361" w:type="dxa"/>
            <w:vAlign w:val="center"/>
          </w:tcPr>
          <w:p>
            <w:pPr>
              <w:pStyle w:val="11"/>
            </w:pPr>
            <w:r>
              <w:t>74.24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29.30</w:t>
            </w:r>
          </w:p>
        </w:tc>
        <w:tc>
          <w:tcPr>
            <w:tcW w:w="1361" w:type="dxa"/>
            <w:vAlign w:val="center"/>
          </w:tcPr>
          <w:p>
            <w:pPr>
              <w:pStyle w:val="11"/>
            </w:pPr>
            <w:r>
              <w:t>29.30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44.94</w:t>
            </w:r>
          </w:p>
        </w:tc>
        <w:tc>
          <w:tcPr>
            <w:tcW w:w="1361" w:type="dxa"/>
            <w:vAlign w:val="center"/>
          </w:tcPr>
          <w:p>
            <w:pPr>
              <w:pStyle w:val="11"/>
            </w:pPr>
            <w:r>
              <w:t>44.94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37.77</w:t>
            </w:r>
          </w:p>
        </w:tc>
        <w:tc>
          <w:tcPr>
            <w:tcW w:w="1361" w:type="dxa"/>
            <w:vAlign w:val="center"/>
          </w:tcPr>
          <w:p>
            <w:pPr>
              <w:pStyle w:val="11"/>
            </w:pPr>
            <w:r>
              <w:t>37.77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37.77</w:t>
            </w:r>
          </w:p>
        </w:tc>
        <w:tc>
          <w:tcPr>
            <w:tcW w:w="1361" w:type="dxa"/>
            <w:vAlign w:val="center"/>
          </w:tcPr>
          <w:p>
            <w:pPr>
              <w:pStyle w:val="11"/>
            </w:pPr>
            <w:r>
              <w:t>37.77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37.77</w:t>
            </w:r>
          </w:p>
        </w:tc>
        <w:tc>
          <w:tcPr>
            <w:tcW w:w="1361" w:type="dxa"/>
            <w:vAlign w:val="center"/>
          </w:tcPr>
          <w:p>
            <w:pPr>
              <w:pStyle w:val="11"/>
            </w:pPr>
            <w:r>
              <w:t>37.77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12432.29</w:t>
            </w:r>
          </w:p>
        </w:tc>
        <w:tc>
          <w:tcPr>
            <w:tcW w:w="3402" w:type="dxa"/>
            <w:vAlign w:val="center"/>
          </w:tcPr>
          <w:p>
            <w:pPr>
              <w:pStyle w:val="12"/>
            </w:pPr>
            <w:r>
              <w:t>一、一般公共服务支出</w:t>
            </w:r>
          </w:p>
        </w:tc>
        <w:tc>
          <w:tcPr>
            <w:tcW w:w="1474" w:type="dxa"/>
            <w:vAlign w:val="center"/>
          </w:tcPr>
          <w:p>
            <w:pPr>
              <w:pStyle w:val="11"/>
            </w:pPr>
            <w:r>
              <w:t>12244.74</w:t>
            </w:r>
          </w:p>
        </w:tc>
        <w:tc>
          <w:tcPr>
            <w:tcW w:w="1474" w:type="dxa"/>
            <w:vAlign w:val="center"/>
          </w:tcPr>
          <w:p>
            <w:pPr>
              <w:pStyle w:val="11"/>
            </w:pPr>
            <w:r>
              <w:t>12244.74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75.54</w:t>
            </w:r>
          </w:p>
        </w:tc>
        <w:tc>
          <w:tcPr>
            <w:tcW w:w="1474" w:type="dxa"/>
            <w:vAlign w:val="center"/>
          </w:tcPr>
          <w:p>
            <w:pPr>
              <w:pStyle w:val="11"/>
            </w:pPr>
            <w:r>
              <w:t>75.54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74.24</w:t>
            </w:r>
          </w:p>
        </w:tc>
        <w:tc>
          <w:tcPr>
            <w:tcW w:w="1474" w:type="dxa"/>
            <w:vAlign w:val="center"/>
          </w:tcPr>
          <w:p>
            <w:pPr>
              <w:pStyle w:val="11"/>
            </w:pPr>
            <w:r>
              <w:t>74.24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37.77</w:t>
            </w:r>
          </w:p>
        </w:tc>
        <w:tc>
          <w:tcPr>
            <w:tcW w:w="1474" w:type="dxa"/>
            <w:vAlign w:val="center"/>
          </w:tcPr>
          <w:p>
            <w:pPr>
              <w:pStyle w:val="11"/>
            </w:pPr>
            <w:r>
              <w:t>37.77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12432.29</w:t>
            </w:r>
          </w:p>
        </w:tc>
        <w:tc>
          <w:tcPr>
            <w:tcW w:w="3402" w:type="dxa"/>
            <w:vAlign w:val="center"/>
          </w:tcPr>
          <w:p>
            <w:pPr>
              <w:pStyle w:val="14"/>
            </w:pPr>
            <w:r>
              <w:t>本年支出合计</w:t>
            </w:r>
          </w:p>
        </w:tc>
        <w:tc>
          <w:tcPr>
            <w:tcW w:w="1474" w:type="dxa"/>
            <w:vAlign w:val="center"/>
          </w:tcPr>
          <w:p>
            <w:pPr>
              <w:pStyle w:val="15"/>
            </w:pPr>
            <w:r>
              <w:t>12432.29</w:t>
            </w:r>
          </w:p>
        </w:tc>
        <w:tc>
          <w:tcPr>
            <w:tcW w:w="1474" w:type="dxa"/>
            <w:vAlign w:val="center"/>
          </w:tcPr>
          <w:p>
            <w:pPr>
              <w:pStyle w:val="15"/>
            </w:pPr>
            <w:r>
              <w:t>12432.29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12432.29</w:t>
            </w:r>
          </w:p>
        </w:tc>
        <w:tc>
          <w:tcPr>
            <w:tcW w:w="3402" w:type="dxa"/>
            <w:vAlign w:val="center"/>
          </w:tcPr>
          <w:p>
            <w:pPr>
              <w:pStyle w:val="14"/>
            </w:pPr>
            <w:r>
              <w:t>支出总计</w:t>
            </w:r>
          </w:p>
        </w:tc>
        <w:tc>
          <w:tcPr>
            <w:tcW w:w="1474" w:type="dxa"/>
            <w:vAlign w:val="center"/>
          </w:tcPr>
          <w:p>
            <w:pPr>
              <w:pStyle w:val="15"/>
            </w:pPr>
            <w:r>
              <w:t>12432.29</w:t>
            </w:r>
          </w:p>
        </w:tc>
        <w:tc>
          <w:tcPr>
            <w:tcW w:w="1474" w:type="dxa"/>
            <w:vAlign w:val="center"/>
          </w:tcPr>
          <w:p>
            <w:pPr>
              <w:pStyle w:val="15"/>
            </w:pPr>
            <w:r>
              <w:t>12432.29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12432.29</w:t>
            </w:r>
          </w:p>
        </w:tc>
        <w:tc>
          <w:tcPr>
            <w:tcW w:w="2551" w:type="dxa"/>
            <w:vAlign w:val="center"/>
          </w:tcPr>
          <w:p>
            <w:pPr>
              <w:pStyle w:val="15"/>
            </w:pPr>
            <w:r>
              <w:t>1416.42</w:t>
            </w:r>
          </w:p>
        </w:tc>
        <w:tc>
          <w:tcPr>
            <w:tcW w:w="2551" w:type="dxa"/>
            <w:vAlign w:val="center"/>
          </w:tcPr>
          <w:p>
            <w:pPr>
              <w:pStyle w:val="15"/>
            </w:pPr>
            <w:r>
              <w:t>11015.87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12244.74</w:t>
            </w:r>
          </w:p>
        </w:tc>
        <w:tc>
          <w:tcPr>
            <w:tcW w:w="2551" w:type="dxa"/>
            <w:vAlign w:val="center"/>
          </w:tcPr>
          <w:p>
            <w:pPr>
              <w:pStyle w:val="11"/>
            </w:pPr>
            <w:r>
              <w:t>1228.87</w:t>
            </w:r>
          </w:p>
        </w:tc>
        <w:tc>
          <w:tcPr>
            <w:tcW w:w="2551" w:type="dxa"/>
            <w:vAlign w:val="center"/>
          </w:tcPr>
          <w:p>
            <w:pPr>
              <w:pStyle w:val="11"/>
            </w:pPr>
            <w:r>
              <w:t>11015.87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12244.74</w:t>
            </w:r>
          </w:p>
        </w:tc>
        <w:tc>
          <w:tcPr>
            <w:tcW w:w="2551" w:type="dxa"/>
            <w:vAlign w:val="center"/>
          </w:tcPr>
          <w:p>
            <w:pPr>
              <w:pStyle w:val="11"/>
            </w:pPr>
            <w:r>
              <w:t>1228.87</w:t>
            </w:r>
          </w:p>
        </w:tc>
        <w:tc>
          <w:tcPr>
            <w:tcW w:w="2551" w:type="dxa"/>
            <w:vAlign w:val="center"/>
          </w:tcPr>
          <w:p>
            <w:pPr>
              <w:pStyle w:val="11"/>
            </w:pPr>
            <w:r>
              <w:t>11015.87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1228.87</w:t>
            </w:r>
          </w:p>
        </w:tc>
        <w:tc>
          <w:tcPr>
            <w:tcW w:w="2551" w:type="dxa"/>
            <w:vAlign w:val="center"/>
          </w:tcPr>
          <w:p>
            <w:pPr>
              <w:pStyle w:val="11"/>
            </w:pPr>
            <w:r>
              <w:t>1228.87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11015.87</w:t>
            </w:r>
          </w:p>
        </w:tc>
        <w:tc>
          <w:tcPr>
            <w:tcW w:w="2551" w:type="dxa"/>
            <w:vAlign w:val="center"/>
          </w:tcPr>
          <w:p>
            <w:pPr>
              <w:pStyle w:val="11"/>
            </w:pPr>
          </w:p>
        </w:tc>
        <w:tc>
          <w:tcPr>
            <w:tcW w:w="2551" w:type="dxa"/>
            <w:vAlign w:val="center"/>
          </w:tcPr>
          <w:p>
            <w:pPr>
              <w:pStyle w:val="11"/>
            </w:pPr>
            <w:r>
              <w:t>11015.87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75.54</w:t>
            </w:r>
          </w:p>
        </w:tc>
        <w:tc>
          <w:tcPr>
            <w:tcW w:w="2551" w:type="dxa"/>
            <w:vAlign w:val="center"/>
          </w:tcPr>
          <w:p>
            <w:pPr>
              <w:pStyle w:val="11"/>
            </w:pPr>
            <w:r>
              <w:t>75.54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75.54</w:t>
            </w:r>
          </w:p>
        </w:tc>
        <w:tc>
          <w:tcPr>
            <w:tcW w:w="2551" w:type="dxa"/>
            <w:vAlign w:val="center"/>
          </w:tcPr>
          <w:p>
            <w:pPr>
              <w:pStyle w:val="11"/>
            </w:pPr>
            <w:r>
              <w:t>75.54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50.36</w:t>
            </w:r>
          </w:p>
        </w:tc>
        <w:tc>
          <w:tcPr>
            <w:tcW w:w="2551" w:type="dxa"/>
            <w:vAlign w:val="center"/>
          </w:tcPr>
          <w:p>
            <w:pPr>
              <w:pStyle w:val="11"/>
            </w:pPr>
            <w:r>
              <w:t>50.36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25.18</w:t>
            </w:r>
          </w:p>
        </w:tc>
        <w:tc>
          <w:tcPr>
            <w:tcW w:w="2551" w:type="dxa"/>
            <w:vAlign w:val="center"/>
          </w:tcPr>
          <w:p>
            <w:pPr>
              <w:pStyle w:val="11"/>
            </w:pPr>
            <w:r>
              <w:t>25.18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74.24</w:t>
            </w:r>
          </w:p>
        </w:tc>
        <w:tc>
          <w:tcPr>
            <w:tcW w:w="2551" w:type="dxa"/>
            <w:vAlign w:val="center"/>
          </w:tcPr>
          <w:p>
            <w:pPr>
              <w:pStyle w:val="11"/>
            </w:pPr>
            <w:r>
              <w:t>74.24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74.24</w:t>
            </w:r>
          </w:p>
        </w:tc>
        <w:tc>
          <w:tcPr>
            <w:tcW w:w="2551" w:type="dxa"/>
            <w:vAlign w:val="center"/>
          </w:tcPr>
          <w:p>
            <w:pPr>
              <w:pStyle w:val="11"/>
            </w:pPr>
            <w:r>
              <w:t>74.24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29.30</w:t>
            </w:r>
          </w:p>
        </w:tc>
        <w:tc>
          <w:tcPr>
            <w:tcW w:w="2551" w:type="dxa"/>
            <w:vAlign w:val="center"/>
          </w:tcPr>
          <w:p>
            <w:pPr>
              <w:pStyle w:val="11"/>
            </w:pPr>
            <w:r>
              <w:t>29.30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44.94</w:t>
            </w:r>
          </w:p>
        </w:tc>
        <w:tc>
          <w:tcPr>
            <w:tcW w:w="2551" w:type="dxa"/>
            <w:vAlign w:val="center"/>
          </w:tcPr>
          <w:p>
            <w:pPr>
              <w:pStyle w:val="11"/>
            </w:pPr>
            <w:r>
              <w:t>44.94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37.77</w:t>
            </w:r>
          </w:p>
        </w:tc>
        <w:tc>
          <w:tcPr>
            <w:tcW w:w="2551" w:type="dxa"/>
            <w:vAlign w:val="center"/>
          </w:tcPr>
          <w:p>
            <w:pPr>
              <w:pStyle w:val="11"/>
            </w:pPr>
            <w:r>
              <w:t>37.77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37.77</w:t>
            </w:r>
          </w:p>
        </w:tc>
        <w:tc>
          <w:tcPr>
            <w:tcW w:w="2551" w:type="dxa"/>
            <w:vAlign w:val="center"/>
          </w:tcPr>
          <w:p>
            <w:pPr>
              <w:pStyle w:val="11"/>
            </w:pPr>
            <w:r>
              <w:t>37.77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37.77</w:t>
            </w:r>
          </w:p>
        </w:tc>
        <w:tc>
          <w:tcPr>
            <w:tcW w:w="2551" w:type="dxa"/>
            <w:vAlign w:val="center"/>
          </w:tcPr>
          <w:p>
            <w:pPr>
              <w:pStyle w:val="11"/>
            </w:pPr>
            <w:r>
              <w:t>37.77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1416.42</w:t>
            </w:r>
          </w:p>
        </w:tc>
        <w:tc>
          <w:tcPr>
            <w:tcW w:w="2551" w:type="dxa"/>
            <w:vAlign w:val="center"/>
          </w:tcPr>
          <w:p>
            <w:pPr>
              <w:pStyle w:val="15"/>
            </w:pPr>
            <w:r>
              <w:t>1310.85</w:t>
            </w:r>
          </w:p>
        </w:tc>
        <w:tc>
          <w:tcPr>
            <w:tcW w:w="2551" w:type="dxa"/>
            <w:vAlign w:val="center"/>
          </w:tcPr>
          <w:p>
            <w:pPr>
              <w:pStyle w:val="15"/>
            </w:pPr>
            <w:r>
              <w:t>105.57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1302.62</w:t>
            </w:r>
          </w:p>
        </w:tc>
        <w:tc>
          <w:tcPr>
            <w:tcW w:w="2551" w:type="dxa"/>
            <w:vAlign w:val="center"/>
          </w:tcPr>
          <w:p>
            <w:pPr>
              <w:pStyle w:val="11"/>
            </w:pPr>
            <w:r>
              <w:t>1302.62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148.04</w:t>
            </w:r>
          </w:p>
        </w:tc>
        <w:tc>
          <w:tcPr>
            <w:tcW w:w="2551" w:type="dxa"/>
            <w:vAlign w:val="center"/>
          </w:tcPr>
          <w:p>
            <w:pPr>
              <w:pStyle w:val="11"/>
            </w:pPr>
            <w:r>
              <w:t>148.04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97.25</w:t>
            </w:r>
          </w:p>
        </w:tc>
        <w:tc>
          <w:tcPr>
            <w:tcW w:w="2551" w:type="dxa"/>
            <w:vAlign w:val="center"/>
          </w:tcPr>
          <w:p>
            <w:pPr>
              <w:pStyle w:val="11"/>
            </w:pPr>
            <w:r>
              <w:t>97.25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6.78</w:t>
            </w:r>
          </w:p>
        </w:tc>
        <w:tc>
          <w:tcPr>
            <w:tcW w:w="2551" w:type="dxa"/>
            <w:vAlign w:val="center"/>
          </w:tcPr>
          <w:p>
            <w:pPr>
              <w:pStyle w:val="11"/>
            </w:pPr>
            <w:r>
              <w:t>6.78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71.83</w:t>
            </w:r>
          </w:p>
        </w:tc>
        <w:tc>
          <w:tcPr>
            <w:tcW w:w="2551" w:type="dxa"/>
            <w:vAlign w:val="center"/>
          </w:tcPr>
          <w:p>
            <w:pPr>
              <w:pStyle w:val="11"/>
            </w:pPr>
            <w:r>
              <w:t>71.83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50.36</w:t>
            </w:r>
          </w:p>
        </w:tc>
        <w:tc>
          <w:tcPr>
            <w:tcW w:w="2551" w:type="dxa"/>
            <w:vAlign w:val="center"/>
          </w:tcPr>
          <w:p>
            <w:pPr>
              <w:pStyle w:val="11"/>
            </w:pPr>
            <w:r>
              <w:t>50.36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25.18</w:t>
            </w:r>
          </w:p>
        </w:tc>
        <w:tc>
          <w:tcPr>
            <w:tcW w:w="2551" w:type="dxa"/>
            <w:vAlign w:val="center"/>
          </w:tcPr>
          <w:p>
            <w:pPr>
              <w:pStyle w:val="11"/>
            </w:pPr>
            <w:r>
              <w:t>25.18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29.30</w:t>
            </w:r>
          </w:p>
        </w:tc>
        <w:tc>
          <w:tcPr>
            <w:tcW w:w="2551" w:type="dxa"/>
            <w:vAlign w:val="center"/>
          </w:tcPr>
          <w:p>
            <w:pPr>
              <w:pStyle w:val="11"/>
            </w:pPr>
            <w:r>
              <w:t>29.30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44.94</w:t>
            </w:r>
          </w:p>
        </w:tc>
        <w:tc>
          <w:tcPr>
            <w:tcW w:w="2551" w:type="dxa"/>
            <w:vAlign w:val="center"/>
          </w:tcPr>
          <w:p>
            <w:pPr>
              <w:pStyle w:val="11"/>
            </w:pPr>
            <w:r>
              <w:t>44.94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3.17</w:t>
            </w:r>
          </w:p>
        </w:tc>
        <w:tc>
          <w:tcPr>
            <w:tcW w:w="2551" w:type="dxa"/>
            <w:vAlign w:val="center"/>
          </w:tcPr>
          <w:p>
            <w:pPr>
              <w:pStyle w:val="11"/>
            </w:pPr>
            <w:r>
              <w:t>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37.77</w:t>
            </w:r>
          </w:p>
        </w:tc>
        <w:tc>
          <w:tcPr>
            <w:tcW w:w="2551" w:type="dxa"/>
            <w:vAlign w:val="center"/>
          </w:tcPr>
          <w:p>
            <w:pPr>
              <w:pStyle w:val="11"/>
            </w:pPr>
            <w:r>
              <w:t>37.77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788.00</w:t>
            </w:r>
          </w:p>
        </w:tc>
        <w:tc>
          <w:tcPr>
            <w:tcW w:w="2551" w:type="dxa"/>
            <w:vAlign w:val="center"/>
          </w:tcPr>
          <w:p>
            <w:pPr>
              <w:pStyle w:val="11"/>
            </w:pPr>
            <w:r>
              <w:t>788.00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103.07</w:t>
            </w:r>
          </w:p>
        </w:tc>
        <w:tc>
          <w:tcPr>
            <w:tcW w:w="2551" w:type="dxa"/>
            <w:vAlign w:val="center"/>
          </w:tcPr>
          <w:p>
            <w:pPr>
              <w:pStyle w:val="11"/>
            </w:pPr>
          </w:p>
        </w:tc>
        <w:tc>
          <w:tcPr>
            <w:tcW w:w="2551" w:type="dxa"/>
            <w:vAlign w:val="center"/>
          </w:tcPr>
          <w:p>
            <w:pPr>
              <w:pStyle w:val="11"/>
            </w:pPr>
            <w:r>
              <w:t>103.07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8.39</w:t>
            </w:r>
          </w:p>
        </w:tc>
        <w:tc>
          <w:tcPr>
            <w:tcW w:w="2551" w:type="dxa"/>
            <w:vAlign w:val="center"/>
          </w:tcPr>
          <w:p>
            <w:pPr>
              <w:pStyle w:val="11"/>
            </w:pPr>
          </w:p>
        </w:tc>
        <w:tc>
          <w:tcPr>
            <w:tcW w:w="2551" w:type="dxa"/>
            <w:vAlign w:val="center"/>
          </w:tcPr>
          <w:p>
            <w:pPr>
              <w:pStyle w:val="11"/>
            </w:pPr>
            <w:r>
              <w:t>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14.59</w:t>
            </w:r>
          </w:p>
        </w:tc>
        <w:tc>
          <w:tcPr>
            <w:tcW w:w="2551" w:type="dxa"/>
            <w:vAlign w:val="center"/>
          </w:tcPr>
          <w:p>
            <w:pPr>
              <w:pStyle w:val="11"/>
            </w:pPr>
          </w:p>
        </w:tc>
        <w:tc>
          <w:tcPr>
            <w:tcW w:w="2551" w:type="dxa"/>
            <w:vAlign w:val="center"/>
          </w:tcPr>
          <w:p>
            <w:pPr>
              <w:pStyle w:val="11"/>
            </w:pPr>
            <w:r>
              <w:t>14.59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8.24</w:t>
            </w:r>
          </w:p>
        </w:tc>
        <w:tc>
          <w:tcPr>
            <w:tcW w:w="2551" w:type="dxa"/>
            <w:vAlign w:val="center"/>
          </w:tcPr>
          <w:p>
            <w:pPr>
              <w:pStyle w:val="11"/>
            </w:pPr>
          </w:p>
        </w:tc>
        <w:tc>
          <w:tcPr>
            <w:tcW w:w="2551" w:type="dxa"/>
            <w:vAlign w:val="center"/>
          </w:tcPr>
          <w:p>
            <w:pPr>
              <w:pStyle w:val="11"/>
            </w:pPr>
            <w:r>
              <w:t>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3.53</w:t>
            </w:r>
          </w:p>
        </w:tc>
        <w:tc>
          <w:tcPr>
            <w:tcW w:w="2551" w:type="dxa"/>
            <w:vAlign w:val="center"/>
          </w:tcPr>
          <w:p>
            <w:pPr>
              <w:pStyle w:val="11"/>
            </w:pPr>
          </w:p>
        </w:tc>
        <w:tc>
          <w:tcPr>
            <w:tcW w:w="2551" w:type="dxa"/>
            <w:vAlign w:val="center"/>
          </w:tcPr>
          <w:p>
            <w:pPr>
              <w:pStyle w:val="11"/>
            </w:pPr>
            <w:r>
              <w:t>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51.00</w:t>
            </w:r>
          </w:p>
        </w:tc>
        <w:tc>
          <w:tcPr>
            <w:tcW w:w="2551" w:type="dxa"/>
            <w:vAlign w:val="center"/>
          </w:tcPr>
          <w:p>
            <w:pPr>
              <w:pStyle w:val="11"/>
            </w:pPr>
          </w:p>
        </w:tc>
        <w:tc>
          <w:tcPr>
            <w:tcW w:w="2551" w:type="dxa"/>
            <w:vAlign w:val="center"/>
          </w:tcPr>
          <w:p>
            <w:pPr>
              <w:pStyle w:val="11"/>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12.72</w:t>
            </w:r>
          </w:p>
        </w:tc>
        <w:tc>
          <w:tcPr>
            <w:tcW w:w="2551" w:type="dxa"/>
            <w:vAlign w:val="center"/>
          </w:tcPr>
          <w:p>
            <w:pPr>
              <w:pStyle w:val="11"/>
            </w:pPr>
          </w:p>
        </w:tc>
        <w:tc>
          <w:tcPr>
            <w:tcW w:w="2551" w:type="dxa"/>
            <w:vAlign w:val="center"/>
          </w:tcPr>
          <w:p>
            <w:pPr>
              <w:pStyle w:val="11"/>
            </w:pPr>
            <w:r>
              <w:t>12.72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8.23</w:t>
            </w:r>
          </w:p>
        </w:tc>
        <w:tc>
          <w:tcPr>
            <w:tcW w:w="2551" w:type="dxa"/>
            <w:vAlign w:val="center"/>
          </w:tcPr>
          <w:p>
            <w:pPr>
              <w:pStyle w:val="11"/>
            </w:pPr>
            <w:r>
              <w:t>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8.18</w:t>
            </w:r>
          </w:p>
        </w:tc>
        <w:tc>
          <w:tcPr>
            <w:tcW w:w="2551" w:type="dxa"/>
            <w:vAlign w:val="center"/>
          </w:tcPr>
          <w:p>
            <w:pPr>
              <w:pStyle w:val="11"/>
            </w:pPr>
            <w:r>
              <w:t>8.18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59.00</w:t>
            </w:r>
          </w:p>
        </w:tc>
        <w:tc>
          <w:tcPr>
            <w:tcW w:w="2381" w:type="dxa"/>
            <w:vAlign w:val="center"/>
          </w:tcPr>
          <w:p>
            <w:pPr>
              <w:pStyle w:val="15"/>
            </w:pPr>
            <w:r>
              <w:t>59.00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51.00</w:t>
            </w:r>
          </w:p>
        </w:tc>
        <w:tc>
          <w:tcPr>
            <w:tcW w:w="2381" w:type="dxa"/>
            <w:vAlign w:val="center"/>
          </w:tcPr>
          <w:p>
            <w:pPr>
              <w:pStyle w:val="11"/>
            </w:pPr>
            <w:r>
              <w:t>51.00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51.00</w:t>
            </w:r>
          </w:p>
        </w:tc>
        <w:tc>
          <w:tcPr>
            <w:tcW w:w="2381" w:type="dxa"/>
            <w:vAlign w:val="center"/>
          </w:tcPr>
          <w:p>
            <w:pPr>
              <w:pStyle w:val="11"/>
            </w:pPr>
            <w:r>
              <w:t>51.00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51.00</w:t>
            </w:r>
          </w:p>
        </w:tc>
        <w:tc>
          <w:tcPr>
            <w:tcW w:w="2381" w:type="dxa"/>
            <w:vAlign w:val="center"/>
          </w:tcPr>
          <w:p>
            <w:pPr>
              <w:pStyle w:val="11"/>
            </w:pPr>
            <w:r>
              <w:t>51.00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唐山市曹妃甸区机关事务中心本级2022年单位预算信息公开情况说明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按照《预算法》、《地方预决算公开操作规程》和《关于进一步推进预算公开工作的实施意见》规定，现将唐山市曹妃甸区机关事务中心本级2022年单位预算公开如下：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500" w:lineRule="exact"/>
        <w:ind w:firstLine="560" w:firstLineChars="200"/>
        <w:jc w:val="left"/>
        <w:rPr>
          <w:rFonts w:eastAsia="方正仿宋_GBK"/>
          <w:sz w:val="28"/>
        </w:rPr>
      </w:pPr>
      <w:r>
        <w:rPr>
          <w:rFonts w:eastAsia="方正仿宋_GBK"/>
          <w:sz w:val="28"/>
        </w:rPr>
        <w:t>贯彻落实机关事务工作的有关要求；负责区直机关事务的服务保障工作；负责区级重要会议和重大活动的相关后勤保障工作；负责区委、人大、政府、政协机关、群团组织机关及部分行政事业单位办公用的建设、改造、维护、修缮等项目的组织实施；负责党政机关办公用房信息管理系统的管理工作；负责机关食堂的服务工作，委机关办公和干部职工生活提供各项服务保障；负责区领导周转房、员工宿舍的保障管理和相关服务保障工作；负责区公务用车平台及机关公务用车调配、管理、维护等工作；负责全区机关事业单位公务活动租赁车辆的保障工作；负责区委、人大、政府、政协机关、群团组织机关及部分行政事业单位办公区域的水电暖讯卫生绿化安全保卫消防和办公秩序的维护工作；承办区委、区政府交办的其它工作任务。</w:t>
      </w:r>
    </w:p>
    <w:p>
      <w:pPr>
        <w:ind w:firstLine="640"/>
        <w:rPr>
          <w:rFonts w:ascii="方正楷体_GBK" w:hAnsi="方正楷体_GBK" w:eastAsia="方正楷体_GBK" w:cs="方正楷体_GBK"/>
          <w:b/>
          <w:color w:val="000000"/>
          <w:sz w:val="32"/>
        </w:rPr>
      </w:pP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唐山市曹妃甸区机关事务中心本级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6"/>
        <w:rPr>
          <w:rFonts w:eastAsiaTheme="minorEastAsia"/>
          <w:lang w:eastAsia="zh-CN"/>
        </w:rPr>
      </w:pPr>
      <w:r>
        <w:rPr>
          <w:rFonts w:eastAsiaTheme="minorEastAsia"/>
          <w:lang w:eastAsia="zh-CN"/>
        </w:rPr>
        <w:t>1.</w:t>
      </w:r>
      <w:r>
        <w:rPr>
          <w:rFonts w:hint="eastAsia" w:eastAsiaTheme="minorEastAsia"/>
          <w:lang w:eastAsia="zh-CN"/>
        </w:rPr>
        <w:t>收入说明</w:t>
      </w:r>
    </w:p>
    <w:p>
      <w:pPr>
        <w:pStyle w:val="26"/>
        <w:ind w:left="1080" w:leftChars="450" w:firstLine="280" w:firstLineChars="100"/>
        <w:rPr>
          <w:rFonts w:eastAsiaTheme="minorEastAsia"/>
          <w:lang w:eastAsia="zh-CN"/>
        </w:rPr>
      </w:pPr>
      <w:r>
        <w:rPr>
          <w:rFonts w:hint="eastAsia" w:eastAsiaTheme="minorEastAsia"/>
          <w:lang w:eastAsia="zh-CN"/>
        </w:rPr>
        <w:t>反应本单位当年全部收入，</w:t>
      </w:r>
      <w:r>
        <w:rPr>
          <w:rFonts w:eastAsiaTheme="minorEastAsia"/>
          <w:lang w:eastAsia="zh-CN"/>
        </w:rPr>
        <w:t>202</w:t>
      </w:r>
      <w:r>
        <w:rPr>
          <w:rFonts w:hint="eastAsia" w:eastAsiaTheme="minorEastAsia"/>
          <w:lang w:val="en-US" w:eastAsia="zh-CN"/>
        </w:rPr>
        <w:t>2</w:t>
      </w:r>
      <w:r>
        <w:rPr>
          <w:rFonts w:hint="eastAsia" w:eastAsiaTheme="minorEastAsia"/>
          <w:lang w:eastAsia="zh-CN"/>
        </w:rPr>
        <w:t>年预算收入</w:t>
      </w:r>
      <w:r>
        <w:rPr>
          <w:rFonts w:hint="eastAsia" w:eastAsiaTheme="minorEastAsia"/>
          <w:lang w:val="en-US" w:eastAsia="zh-CN"/>
        </w:rPr>
        <w:t>12432.29</w:t>
      </w:r>
      <w:r>
        <w:rPr>
          <w:rFonts w:hint="eastAsia" w:eastAsiaTheme="minorEastAsia"/>
          <w:lang w:eastAsia="zh-CN"/>
        </w:rPr>
        <w:t>万元，其中：一般公共预算收</w:t>
      </w:r>
      <w:r>
        <w:rPr>
          <w:rFonts w:hint="eastAsia" w:eastAsiaTheme="minorEastAsia"/>
          <w:lang w:val="en-US" w:eastAsia="zh-CN"/>
        </w:rPr>
        <w:t>12432.29</w:t>
      </w:r>
      <w:r>
        <w:rPr>
          <w:rFonts w:hint="eastAsia" w:eastAsiaTheme="minorEastAsia"/>
          <w:lang w:eastAsia="zh-CN"/>
        </w:rPr>
        <w:t>万元，基金收入</w:t>
      </w:r>
      <w:r>
        <w:rPr>
          <w:rFonts w:eastAsiaTheme="minorEastAsia"/>
          <w:lang w:eastAsia="zh-CN"/>
        </w:rPr>
        <w:t>0</w:t>
      </w:r>
      <w:r>
        <w:rPr>
          <w:rFonts w:hint="eastAsia" w:eastAsiaTheme="minorEastAsia"/>
          <w:lang w:eastAsia="zh-CN"/>
        </w:rPr>
        <w:t>万元，财政专户收入</w:t>
      </w:r>
      <w:r>
        <w:rPr>
          <w:rFonts w:eastAsiaTheme="minorEastAsia"/>
          <w:lang w:eastAsia="zh-CN"/>
        </w:rPr>
        <w:t>0</w:t>
      </w:r>
      <w:r>
        <w:rPr>
          <w:rFonts w:hint="eastAsia" w:eastAsiaTheme="minorEastAsia"/>
          <w:lang w:eastAsia="zh-CN"/>
        </w:rPr>
        <w:t>万元，其他来源收入</w:t>
      </w:r>
      <w:r>
        <w:rPr>
          <w:rFonts w:eastAsiaTheme="minorEastAsia"/>
          <w:lang w:eastAsia="zh-CN"/>
        </w:rPr>
        <w:t>0</w:t>
      </w:r>
      <w:r>
        <w:rPr>
          <w:rFonts w:hint="eastAsia" w:eastAsiaTheme="minorEastAsia"/>
          <w:lang w:eastAsia="zh-CN"/>
        </w:rPr>
        <w:t>万元。</w:t>
      </w:r>
    </w:p>
    <w:p>
      <w:pPr>
        <w:pStyle w:val="26"/>
        <w:rPr>
          <w:rFonts w:eastAsiaTheme="minorEastAsia"/>
          <w:lang w:eastAsia="zh-CN"/>
        </w:rPr>
      </w:pPr>
      <w:r>
        <w:rPr>
          <w:rFonts w:eastAsiaTheme="minorEastAsia"/>
          <w:lang w:eastAsia="zh-CN"/>
        </w:rPr>
        <w:t>2</w:t>
      </w:r>
      <w:r>
        <w:rPr>
          <w:rFonts w:hint="eastAsia" w:eastAsiaTheme="minorEastAsia"/>
          <w:lang w:eastAsia="zh-CN"/>
        </w:rPr>
        <w:t>．支出说明</w:t>
      </w:r>
    </w:p>
    <w:p>
      <w:pPr>
        <w:pStyle w:val="26"/>
        <w:ind w:left="1080" w:leftChars="450" w:firstLine="280" w:firstLineChars="100"/>
        <w:rPr>
          <w:rFonts w:eastAsiaTheme="minorEastAsia"/>
          <w:lang w:eastAsia="zh-CN"/>
        </w:rPr>
      </w:pPr>
      <w:r>
        <w:rPr>
          <w:rFonts w:hint="eastAsia" w:eastAsiaTheme="minorEastAsia"/>
          <w:lang w:eastAsia="zh-CN"/>
        </w:rPr>
        <w:t>收支预算总表支出栏、基本支出表、项目支出表按经济分类和支出功能分类科目编制，反应曹妃甸区机关事务中心年度预算中支出预算的总体情况。</w:t>
      </w:r>
      <w:r>
        <w:rPr>
          <w:rFonts w:eastAsiaTheme="minorEastAsia"/>
          <w:lang w:eastAsia="zh-CN"/>
        </w:rPr>
        <w:t>202</w:t>
      </w:r>
      <w:r>
        <w:rPr>
          <w:rFonts w:hint="eastAsia" w:eastAsiaTheme="minorEastAsia"/>
          <w:lang w:val="en-US" w:eastAsia="zh-CN"/>
        </w:rPr>
        <w:t>2</w:t>
      </w:r>
      <w:r>
        <w:rPr>
          <w:rFonts w:hint="eastAsia" w:eastAsiaTheme="minorEastAsia"/>
          <w:lang w:eastAsia="zh-CN"/>
        </w:rPr>
        <w:t>年支出预算为</w:t>
      </w:r>
      <w:r>
        <w:rPr>
          <w:rFonts w:hint="eastAsia" w:eastAsiaTheme="minorEastAsia"/>
          <w:lang w:val="en-US" w:eastAsia="zh-CN"/>
        </w:rPr>
        <w:t>12432.29</w:t>
      </w:r>
      <w:r>
        <w:rPr>
          <w:rFonts w:hint="eastAsia" w:eastAsiaTheme="minorEastAsia"/>
          <w:lang w:eastAsia="zh-CN"/>
        </w:rPr>
        <w:t>万元，其中基本支出</w:t>
      </w:r>
      <w:r>
        <w:rPr>
          <w:rFonts w:hint="eastAsia" w:eastAsiaTheme="minorEastAsia"/>
          <w:lang w:val="en-US" w:eastAsia="zh-CN"/>
        </w:rPr>
        <w:t>1416.42</w:t>
      </w:r>
      <w:r>
        <w:rPr>
          <w:rFonts w:hint="eastAsia" w:eastAsiaTheme="minorEastAsia"/>
          <w:lang w:eastAsia="zh-CN"/>
        </w:rPr>
        <w:t>万元，包扣人员经费</w:t>
      </w:r>
      <w:r>
        <w:rPr>
          <w:rFonts w:hint="eastAsia" w:eastAsiaTheme="minorEastAsia"/>
          <w:lang w:val="en-US" w:eastAsia="zh-CN"/>
        </w:rPr>
        <w:t>1310.85</w:t>
      </w:r>
      <w:r>
        <w:rPr>
          <w:rFonts w:hint="eastAsia" w:eastAsiaTheme="minorEastAsia"/>
          <w:lang w:eastAsia="zh-CN"/>
        </w:rPr>
        <w:t>万元和公用经费</w:t>
      </w:r>
      <w:r>
        <w:rPr>
          <w:rFonts w:hint="eastAsia" w:eastAsiaTheme="minorEastAsia"/>
          <w:lang w:val="en-US" w:eastAsia="zh-CN"/>
        </w:rPr>
        <w:t>105.57</w:t>
      </w:r>
      <w:r>
        <w:rPr>
          <w:rFonts w:hint="eastAsia" w:eastAsiaTheme="minorEastAsia"/>
          <w:lang w:eastAsia="zh-CN"/>
        </w:rPr>
        <w:t>万元，项目支出</w:t>
      </w:r>
      <w:r>
        <w:rPr>
          <w:rFonts w:hint="eastAsia" w:eastAsiaTheme="minorEastAsia"/>
          <w:lang w:val="en-US" w:eastAsia="zh-CN"/>
        </w:rPr>
        <w:t>11015.87</w:t>
      </w:r>
      <w:r>
        <w:rPr>
          <w:rFonts w:hint="eastAsia" w:eastAsiaTheme="minorEastAsia"/>
          <w:lang w:eastAsia="zh-CN"/>
        </w:rPr>
        <w:t>万元。</w:t>
      </w:r>
    </w:p>
    <w:p>
      <w:pPr>
        <w:pStyle w:val="26"/>
        <w:rPr>
          <w:rFonts w:eastAsiaTheme="minorEastAsia"/>
          <w:lang w:eastAsia="zh-CN"/>
        </w:rPr>
      </w:pPr>
      <w:r>
        <w:rPr>
          <w:rFonts w:eastAsiaTheme="minorEastAsia"/>
          <w:lang w:eastAsia="zh-CN"/>
        </w:rPr>
        <w:t>3.</w:t>
      </w:r>
      <w:r>
        <w:rPr>
          <w:rFonts w:hint="eastAsia" w:eastAsiaTheme="minorEastAsia"/>
          <w:lang w:eastAsia="zh-CN"/>
        </w:rPr>
        <w:t>比上年增减情况</w:t>
      </w:r>
    </w:p>
    <w:p>
      <w:pPr>
        <w:pStyle w:val="26"/>
        <w:ind w:left="720" w:leftChars="300" w:firstLine="280" w:firstLineChars="100"/>
        <w:rPr>
          <w:rFonts w:eastAsiaTheme="minorEastAsia"/>
          <w:lang w:eastAsia="zh-CN"/>
        </w:rPr>
      </w:pPr>
      <w:r>
        <w:rPr>
          <w:rFonts w:eastAsiaTheme="minorEastAsia"/>
          <w:lang w:eastAsia="zh-CN"/>
        </w:rPr>
        <w:t>202</w:t>
      </w:r>
      <w:r>
        <w:rPr>
          <w:rFonts w:hint="eastAsia" w:eastAsiaTheme="minorEastAsia"/>
          <w:lang w:val="en-US" w:eastAsia="zh-CN"/>
        </w:rPr>
        <w:t>2</w:t>
      </w:r>
      <w:r>
        <w:rPr>
          <w:rFonts w:hint="eastAsia" w:eastAsiaTheme="minorEastAsia"/>
          <w:lang w:eastAsia="zh-CN"/>
        </w:rPr>
        <w:t>年预算较</w:t>
      </w:r>
      <w:r>
        <w:rPr>
          <w:rFonts w:eastAsiaTheme="minorEastAsia"/>
          <w:lang w:eastAsia="zh-CN"/>
        </w:rPr>
        <w:t>202</w:t>
      </w:r>
      <w:r>
        <w:rPr>
          <w:rFonts w:hint="eastAsia" w:eastAsiaTheme="minorEastAsia"/>
          <w:lang w:val="en-US" w:eastAsia="zh-CN"/>
        </w:rPr>
        <w:t>1</w:t>
      </w:r>
      <w:r>
        <w:rPr>
          <w:rFonts w:hint="eastAsia" w:eastAsiaTheme="minorEastAsia"/>
          <w:lang w:eastAsia="zh-CN"/>
        </w:rPr>
        <w:t>年增加</w:t>
      </w:r>
      <w:r>
        <w:rPr>
          <w:rFonts w:hint="eastAsia" w:eastAsiaTheme="minorEastAsia"/>
          <w:lang w:val="en-US" w:eastAsia="zh-CN"/>
        </w:rPr>
        <w:t>671.44</w:t>
      </w:r>
      <w:r>
        <w:rPr>
          <w:rFonts w:hint="eastAsia" w:eastAsiaTheme="minorEastAsia"/>
          <w:lang w:eastAsia="zh-CN"/>
        </w:rPr>
        <w:t>万元，其中：基本支出减少</w:t>
      </w:r>
      <w:r>
        <w:rPr>
          <w:rFonts w:hint="eastAsia" w:eastAsiaTheme="minorEastAsia"/>
          <w:lang w:val="en-US" w:eastAsia="zh-CN"/>
        </w:rPr>
        <w:t>1.49</w:t>
      </w:r>
      <w:r>
        <w:rPr>
          <w:rFonts w:hint="eastAsia" w:eastAsiaTheme="minorEastAsia"/>
          <w:lang w:eastAsia="zh-CN"/>
        </w:rPr>
        <w:t>万元，主要是增加人员经费</w:t>
      </w:r>
      <w:r>
        <w:rPr>
          <w:rFonts w:hint="eastAsia" w:eastAsiaTheme="minorEastAsia"/>
          <w:lang w:val="en-US" w:eastAsia="zh-CN"/>
        </w:rPr>
        <w:t>15.86</w:t>
      </w:r>
      <w:r>
        <w:rPr>
          <w:rFonts w:hint="eastAsia" w:eastAsiaTheme="minorEastAsia"/>
          <w:lang w:eastAsia="zh-CN"/>
        </w:rPr>
        <w:t>万元，减少公用经费</w:t>
      </w:r>
      <w:r>
        <w:rPr>
          <w:rFonts w:hint="eastAsia" w:eastAsiaTheme="minorEastAsia"/>
          <w:lang w:val="en-US" w:eastAsia="zh-CN"/>
        </w:rPr>
        <w:t>17.35</w:t>
      </w:r>
      <w:r>
        <w:rPr>
          <w:rFonts w:hint="eastAsia" w:eastAsiaTheme="minorEastAsia"/>
          <w:lang w:eastAsia="zh-CN"/>
        </w:rPr>
        <w:t>万元，项目增加</w:t>
      </w:r>
      <w:r>
        <w:rPr>
          <w:rFonts w:hint="eastAsia" w:eastAsiaTheme="minorEastAsia"/>
          <w:lang w:val="en-US" w:eastAsia="zh-CN"/>
        </w:rPr>
        <w:t>672.93</w:t>
      </w:r>
      <w:r>
        <w:rPr>
          <w:rFonts w:hint="eastAsia" w:eastAsiaTheme="minorEastAsia"/>
          <w:lang w:eastAsia="zh-CN"/>
        </w:rPr>
        <w:t>万元。</w:t>
      </w:r>
    </w:p>
    <w:p>
      <w:pPr>
        <w:pStyle w:val="26"/>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机关运行经费共计安排</w:t>
      </w:r>
      <w:r>
        <w:rPr>
          <w:rFonts w:hint="eastAsia" w:ascii="宋体" w:hAnsi="宋体" w:eastAsia="宋体" w:cs="宋体"/>
          <w:sz w:val="30"/>
          <w:szCs w:val="30"/>
          <w:lang w:val="en-US" w:eastAsia="zh-CN"/>
        </w:rPr>
        <w:t>105.57</w:t>
      </w:r>
      <w:r>
        <w:rPr>
          <w:rFonts w:hint="eastAsia" w:ascii="宋体" w:hAnsi="宋体" w:eastAsia="宋体" w:cs="宋体"/>
          <w:sz w:val="30"/>
          <w:szCs w:val="30"/>
        </w:rPr>
        <w:t>万元，主要用于保证机关正常运转的办公及印刷费、邮电费、差旅费、培训费、会议费、福利费、一般设备购置费、日常维修费、公务车运行维护费等支出。</w:t>
      </w:r>
    </w:p>
    <w:p>
      <w:pPr>
        <w:numPr>
          <w:ilvl w:val="0"/>
          <w:numId w:val="0"/>
        </w:numPr>
        <w:spacing w:before="10" w:after="10"/>
        <w:outlineLvl w:val="5"/>
        <w:rPr>
          <w:rFonts w:ascii="黑体" w:hAnsi="黑体" w:eastAsia="黑体" w:cs="黑体"/>
          <w:color w:val="000000"/>
          <w:sz w:val="32"/>
        </w:rPr>
      </w:pPr>
    </w:p>
    <w:p>
      <w:pPr>
        <w:pStyle w:val="27"/>
      </w:pPr>
    </w:p>
    <w:p>
      <w:pPr>
        <w:numPr>
          <w:ilvl w:val="0"/>
          <w:numId w:val="1"/>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autoSpaceDE w:val="0"/>
        <w:autoSpaceDN w:val="0"/>
        <w:adjustRightInd w:val="0"/>
        <w:spacing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20</w:t>
      </w:r>
      <w:r>
        <w:rPr>
          <w:rFonts w:hint="eastAsia" w:ascii="宋体" w:hAnsi="宋体" w:eastAsia="宋体" w:cs="宋体"/>
          <w:sz w:val="30"/>
          <w:szCs w:val="30"/>
          <w:lang w:val="en-US" w:eastAsia="zh-CN"/>
        </w:rPr>
        <w:t>22</w:t>
      </w:r>
      <w:r>
        <w:rPr>
          <w:rFonts w:hint="eastAsia" w:ascii="宋体" w:hAnsi="宋体" w:eastAsia="宋体" w:cs="宋体"/>
          <w:sz w:val="30"/>
          <w:szCs w:val="30"/>
        </w:rPr>
        <w:t>年我部门”三公”经费安排</w:t>
      </w:r>
      <w:r>
        <w:rPr>
          <w:rFonts w:hint="eastAsia" w:ascii="宋体" w:hAnsi="宋体" w:eastAsia="宋体" w:cs="宋体"/>
          <w:sz w:val="30"/>
          <w:szCs w:val="30"/>
          <w:lang w:val="en-US" w:eastAsia="zh-CN"/>
        </w:rPr>
        <w:t>59</w:t>
      </w:r>
      <w:r>
        <w:rPr>
          <w:rFonts w:hint="eastAsia" w:ascii="宋体" w:hAnsi="宋体" w:eastAsia="宋体" w:cs="宋体"/>
          <w:sz w:val="30"/>
          <w:szCs w:val="30"/>
        </w:rPr>
        <w:t>万元，</w:t>
      </w:r>
      <w:r>
        <w:rPr>
          <w:rFonts w:hint="eastAsia" w:ascii="宋体" w:hAnsi="宋体" w:eastAsia="宋体" w:cs="宋体"/>
          <w:sz w:val="30"/>
          <w:szCs w:val="30"/>
          <w:lang w:val="en-US" w:eastAsia="zh-CN"/>
        </w:rPr>
        <w:t>2021年为77万元</w:t>
      </w:r>
      <w:r>
        <w:rPr>
          <w:rFonts w:hint="eastAsia" w:ascii="宋体" w:hAnsi="宋体" w:eastAsia="宋体" w:cs="宋体"/>
          <w:sz w:val="30"/>
          <w:szCs w:val="30"/>
        </w:rPr>
        <w:t>。具体安排情况为：</w:t>
      </w:r>
    </w:p>
    <w:p>
      <w:pPr>
        <w:autoSpaceDE w:val="0"/>
        <w:autoSpaceDN w:val="0"/>
        <w:adjustRightInd w:val="0"/>
        <w:spacing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（一）公务用车购置及运维费共计安排</w:t>
      </w:r>
      <w:r>
        <w:rPr>
          <w:rFonts w:hint="eastAsia" w:ascii="宋体" w:hAnsi="宋体" w:eastAsia="宋体" w:cs="宋体"/>
          <w:sz w:val="30"/>
          <w:szCs w:val="30"/>
          <w:lang w:val="en-US" w:eastAsia="zh-CN"/>
        </w:rPr>
        <w:t>51</w:t>
      </w:r>
      <w:r>
        <w:rPr>
          <w:rFonts w:hint="eastAsia" w:ascii="宋体" w:hAnsi="宋体" w:eastAsia="宋体" w:cs="宋体"/>
          <w:sz w:val="30"/>
          <w:szCs w:val="30"/>
        </w:rPr>
        <w:t>万元，公务用车购置安排0万元，公车运行维护费安排</w:t>
      </w:r>
      <w:r>
        <w:rPr>
          <w:rFonts w:hint="eastAsia" w:ascii="宋体" w:hAnsi="宋体" w:eastAsia="宋体" w:cs="宋体"/>
          <w:sz w:val="30"/>
          <w:szCs w:val="30"/>
          <w:lang w:val="en-US" w:eastAsia="zh-CN"/>
        </w:rPr>
        <w:t>51</w:t>
      </w:r>
      <w:r>
        <w:rPr>
          <w:rFonts w:hint="eastAsia" w:ascii="宋体" w:hAnsi="宋体" w:eastAsia="宋体" w:cs="宋体"/>
          <w:sz w:val="30"/>
          <w:szCs w:val="30"/>
        </w:rPr>
        <w:t>万元，</w:t>
      </w:r>
      <w:bookmarkStart w:id="1" w:name="_GoBack"/>
      <w:bookmarkEnd w:id="1"/>
      <w:r>
        <w:rPr>
          <w:rFonts w:hint="eastAsia" w:ascii="宋体" w:hAnsi="宋体" w:eastAsia="宋体" w:cs="宋体"/>
          <w:sz w:val="30"/>
          <w:szCs w:val="30"/>
          <w:lang w:val="en-US" w:eastAsia="zh-CN"/>
        </w:rPr>
        <w:t>2021年公务运行维护费安排72万2022年比上年减少21万元</w:t>
      </w:r>
      <w:r>
        <w:rPr>
          <w:rFonts w:hint="eastAsia" w:ascii="宋体" w:hAnsi="宋体" w:eastAsia="宋体" w:cs="宋体"/>
          <w:sz w:val="30"/>
          <w:szCs w:val="30"/>
        </w:rPr>
        <w:t>。我单位严格按照《预算法》精神规定编制预算，严控公务用车购置及运维费，故</w:t>
      </w:r>
      <w:r>
        <w:rPr>
          <w:rFonts w:hint="eastAsia" w:ascii="宋体" w:hAnsi="宋体" w:eastAsia="宋体" w:cs="宋体"/>
          <w:sz w:val="30"/>
          <w:szCs w:val="30"/>
          <w:lang w:val="en-US" w:eastAsia="zh-CN"/>
        </w:rPr>
        <w:t>2022年</w:t>
      </w:r>
      <w:r>
        <w:rPr>
          <w:rFonts w:hint="eastAsia" w:ascii="宋体" w:hAnsi="宋体" w:eastAsia="宋体" w:cs="宋体"/>
          <w:sz w:val="30"/>
          <w:szCs w:val="30"/>
          <w:lang w:eastAsia="zh-CN"/>
        </w:rPr>
        <w:t>比</w:t>
      </w:r>
      <w:r>
        <w:rPr>
          <w:rFonts w:hint="eastAsia" w:ascii="宋体" w:hAnsi="宋体" w:eastAsia="宋体" w:cs="宋体"/>
          <w:sz w:val="30"/>
          <w:szCs w:val="30"/>
          <w:lang w:val="en-US" w:eastAsia="zh-CN"/>
        </w:rPr>
        <w:t>2021年减少21万元</w:t>
      </w:r>
      <w:r>
        <w:rPr>
          <w:rFonts w:hint="eastAsia" w:ascii="宋体" w:hAnsi="宋体" w:eastAsia="宋体" w:cs="宋体"/>
          <w:sz w:val="30"/>
          <w:szCs w:val="30"/>
        </w:rPr>
        <w:t>。</w:t>
      </w:r>
    </w:p>
    <w:p>
      <w:pPr>
        <w:autoSpaceDE w:val="0"/>
        <w:autoSpaceDN w:val="0"/>
        <w:adjustRightInd w:val="0"/>
        <w:spacing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（二）公务接待费，安排0万元。</w:t>
      </w:r>
    </w:p>
    <w:p>
      <w:pPr>
        <w:autoSpaceDE w:val="0"/>
        <w:autoSpaceDN w:val="0"/>
        <w:adjustRightInd w:val="0"/>
        <w:spacing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（三) 因公出国（境）费，安排0万元。</w:t>
      </w:r>
    </w:p>
    <w:p>
      <w:pPr>
        <w:autoSpaceDE w:val="0"/>
        <w:autoSpaceDN w:val="0"/>
        <w:adjustRightInd w:val="0"/>
        <w:spacing w:line="560" w:lineRule="exact"/>
        <w:ind w:firstLine="600" w:firstLineChars="200"/>
        <w:rPr>
          <w:rFonts w:ascii="黑体" w:hAnsi="黑体" w:eastAsia="黑体" w:cs="黑体"/>
          <w:color w:val="000000"/>
          <w:sz w:val="32"/>
        </w:rPr>
      </w:pPr>
      <w:r>
        <w:rPr>
          <w:rFonts w:hint="eastAsia" w:ascii="宋体" w:hAnsi="宋体" w:eastAsia="宋体" w:cs="宋体"/>
          <w:sz w:val="30"/>
          <w:szCs w:val="30"/>
          <w:lang w:val="en-US" w:eastAsia="zh-CN"/>
        </w:rPr>
        <w:t xml:space="preserve"> 五、</w:t>
      </w:r>
      <w:r>
        <w:rPr>
          <w:rFonts w:ascii="黑体" w:hAnsi="黑体" w:eastAsia="黑体" w:cs="黑体"/>
          <w:color w:val="000000"/>
          <w:sz w:val="32"/>
        </w:rPr>
        <w:t>预算绩效信息</w:t>
      </w:r>
    </w:p>
    <w:p>
      <w:pPr>
        <w:numPr>
          <w:ilvl w:val="0"/>
          <w:numId w:val="0"/>
        </w:numPr>
        <w:spacing w:before="10" w:after="10"/>
        <w:outlineLvl w:val="5"/>
        <w:rPr>
          <w:rFonts w:ascii="黑体" w:hAnsi="黑体" w:eastAsia="黑体" w:cs="黑体"/>
          <w:color w:val="000000"/>
          <w:sz w:val="32"/>
        </w:rPr>
      </w:pPr>
    </w:p>
    <w:p>
      <w:pPr>
        <w:autoSpaceDE w:val="0"/>
        <w:autoSpaceDN w:val="0"/>
        <w:adjustRightInd w:val="0"/>
        <w:spacing w:line="560" w:lineRule="exact"/>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总体绩效目标：</w:t>
      </w:r>
    </w:p>
    <w:p>
      <w:pPr>
        <w:pStyle w:val="21"/>
        <w:rPr>
          <w:rFonts w:hint="eastAsia" w:ascii="宋体" w:hAnsi="宋体" w:eastAsia="宋体" w:cs="宋体"/>
          <w:sz w:val="30"/>
          <w:szCs w:val="30"/>
        </w:rPr>
      </w:pPr>
    </w:p>
    <w:p>
      <w:pPr>
        <w:pStyle w:val="21"/>
        <w:rPr>
          <w:rFonts w:hint="eastAsia" w:ascii="宋体" w:hAnsi="宋体" w:eastAsia="宋体" w:cs="宋体"/>
          <w:sz w:val="30"/>
          <w:szCs w:val="30"/>
        </w:rPr>
      </w:pPr>
      <w:r>
        <w:rPr>
          <w:rFonts w:hint="eastAsia" w:ascii="宋体" w:hAnsi="宋体" w:eastAsia="宋体" w:cs="宋体"/>
          <w:sz w:val="30"/>
          <w:szCs w:val="30"/>
        </w:rPr>
        <w:t>为加强项目绩效目标管理工作，作为保障机关正常运转的综合枢纽和后勤事务管理部门，始终坚持以服务为先导，牢固树立“机关事务无小事”的工作理念，不断提升服务水平和保障能力，各项工作目标取得显著成效。现将我中心202</w:t>
      </w:r>
      <w:r>
        <w:rPr>
          <w:rFonts w:hint="eastAsia" w:ascii="宋体" w:hAnsi="宋体" w:eastAsia="宋体" w:cs="宋体"/>
          <w:sz w:val="30"/>
          <w:szCs w:val="30"/>
          <w:lang w:val="en-US" w:eastAsia="zh-CN"/>
        </w:rPr>
        <w:t>2</w:t>
      </w:r>
      <w:r>
        <w:rPr>
          <w:rFonts w:hint="eastAsia" w:ascii="宋体" w:hAnsi="宋体" w:eastAsia="宋体" w:cs="宋体"/>
          <w:sz w:val="30"/>
          <w:szCs w:val="30"/>
        </w:rPr>
        <w:t>年项目绩效目标完成情况说明如下：</w:t>
      </w:r>
    </w:p>
    <w:p>
      <w:pPr>
        <w:pStyle w:val="21"/>
        <w:rPr>
          <w:rFonts w:hint="eastAsia" w:ascii="宋体" w:hAnsi="宋体" w:eastAsia="宋体" w:cs="宋体"/>
          <w:sz w:val="30"/>
          <w:szCs w:val="30"/>
        </w:rPr>
      </w:pPr>
      <w:r>
        <w:rPr>
          <w:rFonts w:hint="eastAsia" w:ascii="宋体" w:hAnsi="宋体" w:eastAsia="宋体" w:cs="宋体"/>
          <w:sz w:val="30"/>
          <w:szCs w:val="30"/>
        </w:rPr>
        <w:t>一是强化资产管理，严格房产设备使用维护。组织实施党政机关办公用房专项自查检查，并严格按照《党政机关办公用房管理办法》，对12家行政事业单位的办公地点进行了调整，研究制定涉改部门(单位)办公用房调配方案，积极协调涉改单位，按照单位实际在编人员数量，严格执行办公用房使用标准，合理分配办公用房，实现资源的优化配和集中统一办公，加强和规范了我区行政事业单位办公用房管理，推进办公用房资源合理配置和节约使用；较好的完成了我区59家党政机关办公用房信息统计上报工作；对我中心管理并对外出租的5家房屋进行评估、出租，保障了国有资产的增值收益。在房产设备维护方面，严格审核、规范操作，定期对管辖区域高低压配电房、水泵房、电网管道、下水管道、安防监控等系统设备运行管理和维修保养工作，以及应对大风和暴雨灾害天气基础设施的巡检排查。先后就政府机关大院和原水务局外墙体进行防水修缮作业、信访局大院路面硬化、政府主楼及人大政协楼供暖设备改造、政协及纪委楼顶防水作业、置业大厦9050会议室灯光音响改造、置业大厦各楼层局部装修装饰、协调曹发展对置业大厦楼内外监控设备及消防设施进行更换等，不断改善机关后勤条件。</w:t>
      </w:r>
    </w:p>
    <w:p>
      <w:pPr>
        <w:pStyle w:val="21"/>
        <w:rPr>
          <w:rFonts w:hint="eastAsia" w:ascii="宋体" w:hAnsi="宋体" w:eastAsia="宋体" w:cs="宋体"/>
          <w:sz w:val="30"/>
          <w:szCs w:val="30"/>
        </w:rPr>
      </w:pPr>
      <w:r>
        <w:rPr>
          <w:rFonts w:hint="eastAsia" w:ascii="宋体" w:hAnsi="宋体" w:eastAsia="宋体" w:cs="宋体"/>
          <w:sz w:val="30"/>
          <w:szCs w:val="30"/>
        </w:rPr>
        <w:t>二是强化车辆保障，高效推进公务用车管理工作。严格做好全区企事业单位车改后续工作，对全区52家事业单位16家企业、74辆公务用车，严格落实“三化管理”（管理平台化、平台信息化、车辆标识化），并做好档案信息的收集整理工作。为确保公务用车管理工作有序推进，取得实效，在原制订的各项规章制度的基础上进一步补充和完善车辆制度及流程，并完善跨部门行政执法平台22台车辆划转工作，进一步规范程序，做到按规章办事，按工作程序办事，按职责要求办事，为用车单位提供了优质的用车服务，全年累计派车近700。同时，按区纪委、区财政局规定要求，为规范全区行政事业单位公务活动用车使用管理，实行公务用车按照市场化经营模式运营，认真做好公务活动租赁社会车辆的审批、协调及相关租赁事项，全年共服务保障行政事业单位公务集体活动400余场次，租赁使用社会车辆807辆次。</w:t>
      </w:r>
    </w:p>
    <w:p>
      <w:pPr>
        <w:pStyle w:val="21"/>
        <w:rPr>
          <w:rFonts w:hint="eastAsia" w:ascii="宋体" w:hAnsi="宋体" w:eastAsia="宋体" w:cs="宋体"/>
          <w:sz w:val="30"/>
          <w:szCs w:val="30"/>
        </w:rPr>
      </w:pPr>
      <w:r>
        <w:rPr>
          <w:rFonts w:hint="eastAsia" w:ascii="宋体" w:hAnsi="宋体" w:eastAsia="宋体" w:cs="宋体"/>
          <w:sz w:val="30"/>
          <w:szCs w:val="30"/>
        </w:rPr>
        <w:t>三是强化创新意识，循序推进公共机构节能工作。制定本区域年度节能工作实施方案，并根据全市统一安排，制定《唐山市曹妃甸区节约型机关创建行动实施方案》，参与创建的50家单位分2020年、2021年、2022年三个批次完成创建。制定《唐山市曹妃甸区节水型机关建设实施方案》，参与创建的22家单位在2021年底完成创建任务。对全区公共机构开展能源资源消费统计工作。同时，在我区开展节能宣传周工作，通过制作节能宣传横幅，张贴节能宣传画，发放节能宣传手册，进一步增强了全区机关工作人员节能降耗的意识，全年累计发放各类节能宣传册500余份、悬挂条幅10余张、更换节能型灯具1000余个，节能型水龙头200余，投入500万元，重点启动冀东俱乐部活动中心项目，安装影音设备，目前即将投入使用，为全区文化建设提供优质场地、提高机关食堂服务水平，装修改造了工业区机关食堂，添置空调桌椅等厨房设备。同时，对厨师进行技术培训，通过学习，提高了厨技，菜肴口味和品种花样均有较大改善，机关干部的满意率不断提升、提高物业管理水平。我们把工作重点放在设施线路的日常维护和保养工作上，确保了各类设备设施的高效运转。针对部分设施陈旧老化的现状，对政府大院供暖设施全面更新，对置业大厦进行了维修维护，确保维修响应率、成功率和满意率达到百分之百。</w:t>
      </w:r>
    </w:p>
    <w:p>
      <w:pPr>
        <w:pStyle w:val="21"/>
        <w:rPr>
          <w:rFonts w:hint="eastAsia" w:ascii="宋体" w:hAnsi="宋体" w:eastAsia="宋体" w:cs="宋体"/>
          <w:sz w:val="30"/>
          <w:szCs w:val="30"/>
        </w:rPr>
      </w:pPr>
      <w:r>
        <w:rPr>
          <w:rFonts w:hint="eastAsia" w:ascii="宋体" w:hAnsi="宋体" w:eastAsia="宋体" w:cs="宋体"/>
          <w:sz w:val="30"/>
          <w:szCs w:val="30"/>
        </w:rPr>
        <w:t>四是提高机关大院的环境卫生和绿化美化管理水平。积极响应垃圾分类的号召，辖区范围内，摆放了分类垃圾箱。同时配合疫情防控要求，每天对重点区域消杀两次，对进出人员进行体温监控和车辆登记，确保了办公环境的整洁优美。</w:t>
      </w:r>
    </w:p>
    <w:p>
      <w:pPr>
        <w:pStyle w:val="21"/>
        <w:rPr>
          <w:rFonts w:hint="eastAsia" w:ascii="宋体" w:hAnsi="宋体" w:eastAsia="宋体" w:cs="宋体"/>
          <w:sz w:val="30"/>
          <w:szCs w:val="30"/>
        </w:rPr>
      </w:pPr>
      <w:r>
        <w:rPr>
          <w:rFonts w:hint="eastAsia" w:ascii="宋体" w:hAnsi="宋体" w:eastAsia="宋体" w:cs="宋体"/>
          <w:sz w:val="30"/>
          <w:szCs w:val="30"/>
        </w:rPr>
        <w:t>五是强化服务意识，大力推进优质高效后勤服务工作。在会务服务工作中，坚持高标准服务，每场会议都做到了会前准备充分、会中现场服务到位、会后清整有序，全力打造零差错、零失误的服务保障机制。截止目前，共保障各类大小会议2000余场次。加强食堂管理，明确职责分工，形成有效监管和合理监督，并健全完善库存管理台账和存货计价方式，加强库存管理。加强食堂存量资金管理，在预算总量不增加的基础上，提高食堂菜样品种和营养搭配。坚持高标准，严要求，切实抓好领导和员工宿舍小区的服务保障和日常管理工作，确保为入住人员提供优质高效的服务。</w:t>
      </w:r>
    </w:p>
    <w:p>
      <w:pPr>
        <w:numPr>
          <w:ilvl w:val="0"/>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1、1城区后勤管理运行费绩效目标表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1.完成城区后勤管理运行费的支出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公共文化服务设施达标率</w:t>
            </w:r>
          </w:p>
        </w:tc>
        <w:tc>
          <w:tcPr>
            <w:tcW w:w="2835" w:type="dxa"/>
            <w:vAlign w:val="center"/>
          </w:tcPr>
          <w:p>
            <w:pPr>
              <w:pStyle w:val="12"/>
            </w:pPr>
            <w:r>
              <w:t>按时完成本年度工作</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2835" w:type="dxa"/>
            <w:vAlign w:val="center"/>
          </w:tcPr>
          <w:p>
            <w:pPr>
              <w:pStyle w:val="12"/>
            </w:pPr>
            <w:r>
              <w:t>按规章制度保证单位工作正常运行</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完成单位正常运转</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控制好每一项支出</w:t>
            </w:r>
          </w:p>
        </w:tc>
        <w:tc>
          <w:tcPr>
            <w:tcW w:w="2551" w:type="dxa"/>
            <w:vAlign w:val="center"/>
          </w:tcPr>
          <w:p>
            <w:pPr>
              <w:pStyle w:val="12"/>
            </w:pPr>
            <w:r>
              <w:t>95完成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2835" w:type="dxa"/>
            <w:vAlign w:val="center"/>
          </w:tcPr>
          <w:p>
            <w:pPr>
              <w:pStyle w:val="12"/>
            </w:pPr>
            <w:r>
              <w:t>降低单位能耗</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专业技术人才总量</w:t>
            </w:r>
          </w:p>
        </w:tc>
        <w:tc>
          <w:tcPr>
            <w:tcW w:w="2835" w:type="dxa"/>
            <w:vAlign w:val="center"/>
          </w:tcPr>
          <w:p>
            <w:pPr>
              <w:pStyle w:val="12"/>
            </w:pPr>
            <w:r>
              <w:t>提高单位办事效率</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节水效果</w:t>
            </w:r>
          </w:p>
        </w:tc>
        <w:tc>
          <w:tcPr>
            <w:tcW w:w="2835" w:type="dxa"/>
            <w:vAlign w:val="center"/>
          </w:tcPr>
          <w:p>
            <w:pPr>
              <w:pStyle w:val="12"/>
            </w:pPr>
            <w:r>
              <w:t>节约本单位用水</w:t>
            </w:r>
          </w:p>
        </w:tc>
        <w:tc>
          <w:tcPr>
            <w:tcW w:w="2551" w:type="dxa"/>
            <w:vAlign w:val="center"/>
          </w:tcPr>
          <w:p>
            <w:pPr>
              <w:pStyle w:val="12"/>
            </w:pPr>
            <w:r>
              <w:t>95完成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做好后勤保障工作</w:t>
            </w:r>
          </w:p>
        </w:tc>
        <w:tc>
          <w:tcPr>
            <w:tcW w:w="2551" w:type="dxa"/>
            <w:vAlign w:val="center"/>
          </w:tcPr>
          <w:p>
            <w:pPr>
              <w:pStyle w:val="12"/>
            </w:pPr>
            <w:r>
              <w:t>95完成</w:t>
            </w:r>
          </w:p>
        </w:tc>
        <w:tc>
          <w:tcPr>
            <w:tcW w:w="2268" w:type="dxa"/>
            <w:vAlign w:val="center"/>
          </w:tcPr>
          <w:p>
            <w:pPr>
              <w:pStyle w:val="12"/>
            </w:pPr>
            <w:r>
              <w:t>按照年初预算安排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2、1临港商务机关食堂补助绩效目标表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1.完成临港商务机关食堂补助发放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公共文化服务设施达标率</w:t>
            </w:r>
          </w:p>
        </w:tc>
        <w:tc>
          <w:tcPr>
            <w:tcW w:w="2835" w:type="dxa"/>
            <w:vAlign w:val="center"/>
          </w:tcPr>
          <w:p>
            <w:pPr>
              <w:pStyle w:val="12"/>
            </w:pPr>
            <w:r>
              <w:t>按时完成本年度工作</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综合业务管理工作完成率</w:t>
            </w:r>
          </w:p>
        </w:tc>
        <w:tc>
          <w:tcPr>
            <w:tcW w:w="2835" w:type="dxa"/>
            <w:vAlign w:val="center"/>
          </w:tcPr>
          <w:p>
            <w:pPr>
              <w:pStyle w:val="12"/>
            </w:pPr>
            <w:r>
              <w:t>按规章制度保证单位工作正常运行</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完成单位正常运转</w:t>
            </w:r>
          </w:p>
        </w:tc>
        <w:tc>
          <w:tcPr>
            <w:tcW w:w="2551" w:type="dxa"/>
            <w:vAlign w:val="center"/>
          </w:tcPr>
          <w:p>
            <w:pPr>
              <w:pStyle w:val="12"/>
            </w:pPr>
            <w:r>
              <w:t>95完成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控制好每一项支出</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2835" w:type="dxa"/>
            <w:vAlign w:val="center"/>
          </w:tcPr>
          <w:p>
            <w:pPr>
              <w:pStyle w:val="12"/>
            </w:pPr>
            <w:r>
              <w:t>降低单位能耗</w:t>
            </w:r>
          </w:p>
        </w:tc>
        <w:tc>
          <w:tcPr>
            <w:tcW w:w="2551" w:type="dxa"/>
            <w:vAlign w:val="center"/>
          </w:tcPr>
          <w:p>
            <w:pPr>
              <w:pStyle w:val="12"/>
            </w:pPr>
            <w:r>
              <w:t>95完成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创新工作完成率</w:t>
            </w:r>
          </w:p>
        </w:tc>
        <w:tc>
          <w:tcPr>
            <w:tcW w:w="2835" w:type="dxa"/>
            <w:vAlign w:val="center"/>
          </w:tcPr>
          <w:p>
            <w:pPr>
              <w:pStyle w:val="12"/>
            </w:pPr>
            <w:r>
              <w:t>提高单位办事效率</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节水效果</w:t>
            </w:r>
          </w:p>
        </w:tc>
        <w:tc>
          <w:tcPr>
            <w:tcW w:w="2835" w:type="dxa"/>
            <w:vAlign w:val="center"/>
          </w:tcPr>
          <w:p>
            <w:pPr>
              <w:pStyle w:val="12"/>
            </w:pPr>
            <w:r>
              <w:t>节约本单位用水</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做好后勤保障工作</w:t>
            </w:r>
          </w:p>
        </w:tc>
        <w:tc>
          <w:tcPr>
            <w:tcW w:w="2551" w:type="dxa"/>
            <w:vAlign w:val="center"/>
          </w:tcPr>
          <w:p>
            <w:pPr>
              <w:pStyle w:val="12"/>
            </w:pPr>
            <w:r>
              <w:t>95完成</w:t>
            </w:r>
          </w:p>
        </w:tc>
        <w:tc>
          <w:tcPr>
            <w:tcW w:w="2268" w:type="dxa"/>
            <w:vAlign w:val="center"/>
          </w:tcPr>
          <w:p>
            <w:pPr>
              <w:pStyle w:val="12"/>
            </w:pPr>
            <w:r>
              <w:t>按照年初预算安排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3、1企业编人员冬季取暖补贴绩效目标表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1.完成取暖补贴发放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服务人数</w:t>
            </w:r>
          </w:p>
        </w:tc>
        <w:tc>
          <w:tcPr>
            <w:tcW w:w="2835" w:type="dxa"/>
            <w:vAlign w:val="center"/>
          </w:tcPr>
          <w:p>
            <w:pPr>
              <w:pStyle w:val="12"/>
            </w:pPr>
            <w:r>
              <w:t>服务人数</w:t>
            </w:r>
          </w:p>
        </w:tc>
        <w:tc>
          <w:tcPr>
            <w:tcW w:w="2551" w:type="dxa"/>
            <w:vAlign w:val="center"/>
          </w:tcPr>
          <w:p>
            <w:pPr>
              <w:pStyle w:val="12"/>
            </w:pPr>
            <w:r>
              <w:t>100完成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其他各项综合实务工作完成率</w:t>
            </w:r>
          </w:p>
        </w:tc>
        <w:tc>
          <w:tcPr>
            <w:tcW w:w="2835" w:type="dxa"/>
            <w:vAlign w:val="center"/>
          </w:tcPr>
          <w:p>
            <w:pPr>
              <w:pStyle w:val="12"/>
            </w:pPr>
            <w:r>
              <w:t>完成本单位正常运转</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项目执行效率</w:t>
            </w:r>
          </w:p>
        </w:tc>
        <w:tc>
          <w:tcPr>
            <w:tcW w:w="2835" w:type="dxa"/>
            <w:vAlign w:val="center"/>
          </w:tcPr>
          <w:p>
            <w:pPr>
              <w:pStyle w:val="12"/>
            </w:pPr>
            <w:r>
              <w:t>项目执行效率</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2835" w:type="dxa"/>
            <w:vAlign w:val="center"/>
          </w:tcPr>
          <w:p>
            <w:pPr>
              <w:pStyle w:val="12"/>
            </w:pPr>
            <w:r>
              <w:t>认真控制每一项支出</w:t>
            </w:r>
          </w:p>
        </w:tc>
        <w:tc>
          <w:tcPr>
            <w:tcW w:w="2551" w:type="dxa"/>
            <w:vAlign w:val="center"/>
          </w:tcPr>
          <w:p>
            <w:pPr>
              <w:pStyle w:val="12"/>
            </w:pPr>
            <w:r>
              <w:t>95完成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选拔专业人才</w:t>
            </w:r>
          </w:p>
        </w:tc>
        <w:tc>
          <w:tcPr>
            <w:tcW w:w="2835" w:type="dxa"/>
            <w:vAlign w:val="center"/>
          </w:tcPr>
          <w:p>
            <w:pPr>
              <w:pStyle w:val="12"/>
            </w:pPr>
            <w:r>
              <w:t>提高单位办事效率</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节水效果</w:t>
            </w:r>
          </w:p>
        </w:tc>
        <w:tc>
          <w:tcPr>
            <w:tcW w:w="2835" w:type="dxa"/>
            <w:vAlign w:val="center"/>
          </w:tcPr>
          <w:p>
            <w:pPr>
              <w:pStyle w:val="12"/>
            </w:pPr>
            <w:r>
              <w:t>节约本单位用水</w:t>
            </w:r>
          </w:p>
        </w:tc>
        <w:tc>
          <w:tcPr>
            <w:tcW w:w="2551" w:type="dxa"/>
            <w:vAlign w:val="center"/>
          </w:tcPr>
          <w:p>
            <w:pPr>
              <w:pStyle w:val="12"/>
            </w:pPr>
            <w:r>
              <w:t>95完成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做好后勤保障工作</w:t>
            </w:r>
          </w:p>
        </w:tc>
        <w:tc>
          <w:tcPr>
            <w:tcW w:w="2551" w:type="dxa"/>
            <w:vAlign w:val="center"/>
          </w:tcPr>
          <w:p>
            <w:pPr>
              <w:pStyle w:val="12"/>
            </w:pPr>
            <w:r>
              <w:t>90完成</w:t>
            </w:r>
          </w:p>
        </w:tc>
        <w:tc>
          <w:tcPr>
            <w:tcW w:w="2268" w:type="dxa"/>
            <w:vAlign w:val="center"/>
          </w:tcPr>
          <w:p>
            <w:pPr>
              <w:pStyle w:val="12"/>
            </w:pPr>
            <w:r>
              <w:t>按照年初预算安排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4、1置业大厦正常运转费用绩效目标表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1.完成置业大厦运转费用支出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公共文化服务设施达标率</w:t>
            </w:r>
          </w:p>
        </w:tc>
        <w:tc>
          <w:tcPr>
            <w:tcW w:w="2835" w:type="dxa"/>
            <w:vAlign w:val="center"/>
          </w:tcPr>
          <w:p>
            <w:pPr>
              <w:pStyle w:val="12"/>
            </w:pPr>
            <w:r>
              <w:t>按规章制度保证单位正常运行</w:t>
            </w:r>
          </w:p>
        </w:tc>
        <w:tc>
          <w:tcPr>
            <w:tcW w:w="2551" w:type="dxa"/>
            <w:vAlign w:val="center"/>
          </w:tcPr>
          <w:p>
            <w:pPr>
              <w:pStyle w:val="12"/>
            </w:pPr>
            <w:r>
              <w:t>85完成</w:t>
            </w:r>
          </w:p>
        </w:tc>
        <w:tc>
          <w:tcPr>
            <w:tcW w:w="2268" w:type="dxa"/>
            <w:vAlign w:val="center"/>
          </w:tcPr>
          <w:p>
            <w:pPr>
              <w:pStyle w:val="12"/>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其他各项综合实务工作完成率</w:t>
            </w:r>
          </w:p>
        </w:tc>
        <w:tc>
          <w:tcPr>
            <w:tcW w:w="2835" w:type="dxa"/>
            <w:vAlign w:val="center"/>
          </w:tcPr>
          <w:p>
            <w:pPr>
              <w:pStyle w:val="12"/>
            </w:pPr>
            <w:r>
              <w:t>完成单位正常运转</w:t>
            </w:r>
          </w:p>
        </w:tc>
        <w:tc>
          <w:tcPr>
            <w:tcW w:w="2551" w:type="dxa"/>
            <w:vAlign w:val="center"/>
          </w:tcPr>
          <w:p>
            <w:pPr>
              <w:pStyle w:val="12"/>
            </w:pPr>
            <w:r>
              <w:t>85完成</w:t>
            </w:r>
          </w:p>
        </w:tc>
        <w:tc>
          <w:tcPr>
            <w:tcW w:w="2268" w:type="dxa"/>
            <w:vAlign w:val="center"/>
          </w:tcPr>
          <w:p>
            <w:pPr>
              <w:pStyle w:val="12"/>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按时完成本年度工作</w:t>
            </w:r>
          </w:p>
        </w:tc>
        <w:tc>
          <w:tcPr>
            <w:tcW w:w="2551" w:type="dxa"/>
            <w:vAlign w:val="center"/>
          </w:tcPr>
          <w:p>
            <w:pPr>
              <w:pStyle w:val="12"/>
            </w:pPr>
            <w:r>
              <w:t>90完成</w:t>
            </w:r>
          </w:p>
        </w:tc>
        <w:tc>
          <w:tcPr>
            <w:tcW w:w="2268" w:type="dxa"/>
            <w:vAlign w:val="center"/>
          </w:tcPr>
          <w:p>
            <w:pPr>
              <w:pStyle w:val="12"/>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按总成本控制</w:t>
            </w:r>
          </w:p>
        </w:tc>
        <w:tc>
          <w:tcPr>
            <w:tcW w:w="2835" w:type="dxa"/>
            <w:vAlign w:val="center"/>
          </w:tcPr>
          <w:p>
            <w:pPr>
              <w:pStyle w:val="12"/>
            </w:pPr>
            <w:r>
              <w:t>节约控制每一项支出</w:t>
            </w:r>
          </w:p>
        </w:tc>
        <w:tc>
          <w:tcPr>
            <w:tcW w:w="2551" w:type="dxa"/>
            <w:vAlign w:val="center"/>
          </w:tcPr>
          <w:p>
            <w:pPr>
              <w:pStyle w:val="12"/>
            </w:pPr>
            <w:r>
              <w:t>95完成</w:t>
            </w:r>
          </w:p>
        </w:tc>
        <w:tc>
          <w:tcPr>
            <w:tcW w:w="2268" w:type="dxa"/>
            <w:vAlign w:val="center"/>
          </w:tcPr>
          <w:p>
            <w:pPr>
              <w:pStyle w:val="12"/>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2835" w:type="dxa"/>
            <w:vAlign w:val="center"/>
          </w:tcPr>
          <w:p>
            <w:pPr>
              <w:pStyle w:val="12"/>
            </w:pPr>
            <w:r>
              <w:t>提高单位办事效率</w:t>
            </w:r>
          </w:p>
        </w:tc>
        <w:tc>
          <w:tcPr>
            <w:tcW w:w="2551" w:type="dxa"/>
            <w:vAlign w:val="center"/>
          </w:tcPr>
          <w:p>
            <w:pPr>
              <w:pStyle w:val="12"/>
            </w:pPr>
            <w:r>
              <w:t>85完成</w:t>
            </w:r>
          </w:p>
        </w:tc>
        <w:tc>
          <w:tcPr>
            <w:tcW w:w="2268" w:type="dxa"/>
            <w:vAlign w:val="center"/>
          </w:tcPr>
          <w:p>
            <w:pPr>
              <w:pStyle w:val="12"/>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岗位配置率</w:t>
            </w:r>
          </w:p>
          <w:p>
            <w:pPr>
              <w:pStyle w:val="12"/>
            </w:pPr>
          </w:p>
          <w:p>
            <w:pPr>
              <w:pStyle w:val="12"/>
            </w:pPr>
          </w:p>
        </w:tc>
        <w:tc>
          <w:tcPr>
            <w:tcW w:w="2835" w:type="dxa"/>
            <w:vAlign w:val="center"/>
          </w:tcPr>
          <w:p>
            <w:pPr>
              <w:pStyle w:val="12"/>
            </w:pPr>
            <w:r>
              <w:t>岗位配置率</w:t>
            </w:r>
          </w:p>
          <w:p>
            <w:pPr>
              <w:pStyle w:val="12"/>
            </w:pPr>
          </w:p>
          <w:p>
            <w:pPr>
              <w:pStyle w:val="12"/>
            </w:pPr>
          </w:p>
        </w:tc>
        <w:tc>
          <w:tcPr>
            <w:tcW w:w="2551" w:type="dxa"/>
            <w:vAlign w:val="center"/>
          </w:tcPr>
          <w:p>
            <w:pPr>
              <w:pStyle w:val="12"/>
            </w:pPr>
            <w:r>
              <w:t>95完成</w:t>
            </w:r>
          </w:p>
        </w:tc>
        <w:tc>
          <w:tcPr>
            <w:tcW w:w="2268" w:type="dxa"/>
            <w:vAlign w:val="center"/>
          </w:tcPr>
          <w:p>
            <w:pPr>
              <w:pStyle w:val="12"/>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节水效果</w:t>
            </w:r>
          </w:p>
        </w:tc>
        <w:tc>
          <w:tcPr>
            <w:tcW w:w="2835" w:type="dxa"/>
            <w:vAlign w:val="center"/>
          </w:tcPr>
          <w:p>
            <w:pPr>
              <w:pStyle w:val="12"/>
            </w:pPr>
            <w:r>
              <w:t>节约办单位用水</w:t>
            </w:r>
          </w:p>
        </w:tc>
        <w:tc>
          <w:tcPr>
            <w:tcW w:w="2551" w:type="dxa"/>
            <w:vAlign w:val="center"/>
          </w:tcPr>
          <w:p>
            <w:pPr>
              <w:pStyle w:val="12"/>
            </w:pPr>
            <w:r>
              <w:t>95完成</w:t>
            </w:r>
          </w:p>
        </w:tc>
        <w:tc>
          <w:tcPr>
            <w:tcW w:w="2268" w:type="dxa"/>
            <w:vAlign w:val="center"/>
          </w:tcPr>
          <w:p>
            <w:pPr>
              <w:pStyle w:val="12"/>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做好后勤保障工作</w:t>
            </w:r>
          </w:p>
        </w:tc>
        <w:tc>
          <w:tcPr>
            <w:tcW w:w="2551" w:type="dxa"/>
            <w:vAlign w:val="center"/>
          </w:tcPr>
          <w:p>
            <w:pPr>
              <w:pStyle w:val="12"/>
            </w:pPr>
            <w:r>
              <w:t>90完成</w:t>
            </w:r>
          </w:p>
        </w:tc>
        <w:tc>
          <w:tcPr>
            <w:tcW w:w="2268" w:type="dxa"/>
            <w:vAlign w:val="center"/>
          </w:tcPr>
          <w:p>
            <w:pPr>
              <w:pStyle w:val="12"/>
            </w:pPr>
            <w:r>
              <w:t>按照年初预算安排安排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5、城区机关食堂补助绩效目标表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1.完成机关食堂补助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服务人数</w:t>
            </w:r>
          </w:p>
        </w:tc>
        <w:tc>
          <w:tcPr>
            <w:tcW w:w="2835" w:type="dxa"/>
            <w:vAlign w:val="center"/>
          </w:tcPr>
          <w:p>
            <w:pPr>
              <w:pStyle w:val="12"/>
            </w:pPr>
            <w:r>
              <w:t>服务人数</w:t>
            </w:r>
          </w:p>
        </w:tc>
        <w:tc>
          <w:tcPr>
            <w:tcW w:w="2551" w:type="dxa"/>
            <w:vAlign w:val="center"/>
          </w:tcPr>
          <w:p>
            <w:pPr>
              <w:pStyle w:val="12"/>
            </w:pPr>
            <w:r>
              <w:t>100完成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综合业务管理工作完成率</w:t>
            </w:r>
          </w:p>
        </w:tc>
        <w:tc>
          <w:tcPr>
            <w:tcW w:w="2835" w:type="dxa"/>
            <w:vAlign w:val="center"/>
          </w:tcPr>
          <w:p>
            <w:pPr>
              <w:pStyle w:val="12"/>
            </w:pPr>
            <w:r>
              <w:t>完成单位正常运转</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按时完成本年度工作</w:t>
            </w:r>
          </w:p>
        </w:tc>
        <w:tc>
          <w:tcPr>
            <w:tcW w:w="2551" w:type="dxa"/>
            <w:vAlign w:val="center"/>
          </w:tcPr>
          <w:p>
            <w:pPr>
              <w:pStyle w:val="12"/>
            </w:pPr>
            <w:r>
              <w:t>95完成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按时完成本年度工作</w:t>
            </w:r>
          </w:p>
        </w:tc>
        <w:tc>
          <w:tcPr>
            <w:tcW w:w="2551" w:type="dxa"/>
            <w:vAlign w:val="center"/>
          </w:tcPr>
          <w:p>
            <w:pPr>
              <w:pStyle w:val="12"/>
            </w:pPr>
            <w:r>
              <w:t>100完成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降低成本</w:t>
            </w:r>
          </w:p>
        </w:tc>
        <w:tc>
          <w:tcPr>
            <w:tcW w:w="2835" w:type="dxa"/>
            <w:vAlign w:val="center"/>
          </w:tcPr>
          <w:p>
            <w:pPr>
              <w:pStyle w:val="12"/>
            </w:pPr>
            <w:r>
              <w:t>降低成本</w:t>
            </w:r>
          </w:p>
        </w:tc>
        <w:tc>
          <w:tcPr>
            <w:tcW w:w="2551" w:type="dxa"/>
            <w:vAlign w:val="center"/>
          </w:tcPr>
          <w:p>
            <w:pPr>
              <w:pStyle w:val="12"/>
            </w:pPr>
            <w:r>
              <w:t>80完成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专业技术人才总量</w:t>
            </w:r>
          </w:p>
        </w:tc>
        <w:tc>
          <w:tcPr>
            <w:tcW w:w="2835" w:type="dxa"/>
            <w:vAlign w:val="center"/>
          </w:tcPr>
          <w:p>
            <w:pPr>
              <w:pStyle w:val="12"/>
            </w:pPr>
            <w:r>
              <w:t>降低单位能耗</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节水效果</w:t>
            </w:r>
          </w:p>
        </w:tc>
        <w:tc>
          <w:tcPr>
            <w:tcW w:w="2835" w:type="dxa"/>
            <w:vAlign w:val="center"/>
          </w:tcPr>
          <w:p>
            <w:pPr>
              <w:pStyle w:val="12"/>
            </w:pPr>
            <w:r>
              <w:t>节约本单位用水</w:t>
            </w:r>
          </w:p>
        </w:tc>
        <w:tc>
          <w:tcPr>
            <w:tcW w:w="2551" w:type="dxa"/>
            <w:vAlign w:val="center"/>
          </w:tcPr>
          <w:p>
            <w:pPr>
              <w:pStyle w:val="12"/>
            </w:pPr>
            <w:r>
              <w:t>100完成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做好后勤保障工作</w:t>
            </w:r>
          </w:p>
        </w:tc>
        <w:tc>
          <w:tcPr>
            <w:tcW w:w="2551" w:type="dxa"/>
            <w:vAlign w:val="center"/>
          </w:tcPr>
          <w:p>
            <w:pPr>
              <w:pStyle w:val="12"/>
            </w:pPr>
            <w:r>
              <w:t>100完成</w:t>
            </w:r>
          </w:p>
        </w:tc>
        <w:tc>
          <w:tcPr>
            <w:tcW w:w="2268" w:type="dxa"/>
            <w:vAlign w:val="center"/>
          </w:tcPr>
          <w:p>
            <w:pPr>
              <w:pStyle w:val="12"/>
            </w:pPr>
            <w:r>
              <w:t>按照年初预算安排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6、房屋租赁及相关费用绩效目标表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1.完成房屋租赁及相关费用的支出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公共文化服务设施达标率</w:t>
            </w:r>
          </w:p>
        </w:tc>
        <w:tc>
          <w:tcPr>
            <w:tcW w:w="2835" w:type="dxa"/>
            <w:vAlign w:val="center"/>
          </w:tcPr>
          <w:p>
            <w:pPr>
              <w:pStyle w:val="12"/>
            </w:pPr>
            <w:r>
              <w:t>按时完成本年度单位工作</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其他各项综合实务工作完成率</w:t>
            </w:r>
          </w:p>
        </w:tc>
        <w:tc>
          <w:tcPr>
            <w:tcW w:w="2835" w:type="dxa"/>
            <w:vAlign w:val="center"/>
          </w:tcPr>
          <w:p>
            <w:pPr>
              <w:pStyle w:val="12"/>
            </w:pPr>
            <w:r>
              <w:t>按规章制度保证本单位工作正常运行</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2835" w:type="dxa"/>
            <w:vAlign w:val="center"/>
          </w:tcPr>
          <w:p>
            <w:pPr>
              <w:pStyle w:val="12"/>
            </w:pPr>
            <w:r>
              <w:t>完成单位正常运转</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控制好每一项支出</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为专业技术人员提供继续教育服务</w:t>
            </w:r>
          </w:p>
        </w:tc>
        <w:tc>
          <w:tcPr>
            <w:tcW w:w="2835" w:type="dxa"/>
            <w:vAlign w:val="center"/>
          </w:tcPr>
          <w:p>
            <w:pPr>
              <w:pStyle w:val="12"/>
            </w:pPr>
            <w:r>
              <w:t>降低单位能耗</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节水效果</w:t>
            </w:r>
          </w:p>
        </w:tc>
        <w:tc>
          <w:tcPr>
            <w:tcW w:w="2835" w:type="dxa"/>
            <w:vAlign w:val="center"/>
          </w:tcPr>
          <w:p>
            <w:pPr>
              <w:pStyle w:val="12"/>
            </w:pPr>
            <w:r>
              <w:t>节约本单位用水</w:t>
            </w:r>
          </w:p>
        </w:tc>
        <w:tc>
          <w:tcPr>
            <w:tcW w:w="2551" w:type="dxa"/>
            <w:vAlign w:val="center"/>
          </w:tcPr>
          <w:p>
            <w:pPr>
              <w:pStyle w:val="12"/>
            </w:pPr>
            <w:r>
              <w:t>95完成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做好后勤保障工作</w:t>
            </w:r>
          </w:p>
        </w:tc>
        <w:tc>
          <w:tcPr>
            <w:tcW w:w="2551" w:type="dxa"/>
            <w:vAlign w:val="center"/>
          </w:tcPr>
          <w:p>
            <w:pPr>
              <w:pStyle w:val="12"/>
            </w:pPr>
            <w:r>
              <w:t>95完成</w:t>
            </w:r>
          </w:p>
        </w:tc>
        <w:tc>
          <w:tcPr>
            <w:tcW w:w="2268" w:type="dxa"/>
            <w:vAlign w:val="center"/>
          </w:tcPr>
          <w:p>
            <w:pPr>
              <w:pStyle w:val="12"/>
            </w:pPr>
            <w:r>
              <w:t>按照年初预算安排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7、四大联检正常运转费用绩效目标表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1.完成支出四大联检正常运转费用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公共文化服务设施达标率</w:t>
            </w:r>
          </w:p>
        </w:tc>
        <w:tc>
          <w:tcPr>
            <w:tcW w:w="2835" w:type="dxa"/>
            <w:vAlign w:val="center"/>
          </w:tcPr>
          <w:p>
            <w:pPr>
              <w:pStyle w:val="12"/>
            </w:pPr>
            <w:r>
              <w:t>按规章制度保证单位工作正常运转</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其他各项综合实务工作完成率</w:t>
            </w:r>
          </w:p>
        </w:tc>
        <w:tc>
          <w:tcPr>
            <w:tcW w:w="2835" w:type="dxa"/>
            <w:vAlign w:val="center"/>
          </w:tcPr>
          <w:p>
            <w:pPr>
              <w:pStyle w:val="12"/>
            </w:pPr>
            <w:r>
              <w:t>单位正常运转</w:t>
            </w:r>
          </w:p>
        </w:tc>
        <w:tc>
          <w:tcPr>
            <w:tcW w:w="2551" w:type="dxa"/>
            <w:vAlign w:val="center"/>
          </w:tcPr>
          <w:p>
            <w:pPr>
              <w:pStyle w:val="12"/>
            </w:pPr>
            <w:r>
              <w:t>≥95完成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2835" w:type="dxa"/>
            <w:vAlign w:val="center"/>
          </w:tcPr>
          <w:p>
            <w:pPr>
              <w:pStyle w:val="12"/>
            </w:pPr>
            <w:r>
              <w:t>按时完成本年度工作</w:t>
            </w:r>
          </w:p>
        </w:tc>
        <w:tc>
          <w:tcPr>
            <w:tcW w:w="2551" w:type="dxa"/>
            <w:vAlign w:val="center"/>
          </w:tcPr>
          <w:p>
            <w:pPr>
              <w:pStyle w:val="12"/>
            </w:pPr>
            <w:r>
              <w:t>≥95完成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控制好每一项支出</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2835" w:type="dxa"/>
            <w:vAlign w:val="center"/>
          </w:tcPr>
          <w:p>
            <w:pPr>
              <w:pStyle w:val="12"/>
            </w:pPr>
            <w:r>
              <w:t>提高单位办事效率</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选拔专业人才</w:t>
            </w:r>
          </w:p>
        </w:tc>
        <w:tc>
          <w:tcPr>
            <w:tcW w:w="2835" w:type="dxa"/>
            <w:vAlign w:val="center"/>
          </w:tcPr>
          <w:p>
            <w:pPr>
              <w:pStyle w:val="12"/>
            </w:pPr>
            <w:r>
              <w:t>降低单位能耗</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节水效果</w:t>
            </w:r>
          </w:p>
        </w:tc>
        <w:tc>
          <w:tcPr>
            <w:tcW w:w="2835" w:type="dxa"/>
            <w:vAlign w:val="center"/>
          </w:tcPr>
          <w:p>
            <w:pPr>
              <w:pStyle w:val="12"/>
            </w:pPr>
            <w:r>
              <w:t>节约本单位用水</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做好后勤保障工作</w:t>
            </w:r>
          </w:p>
        </w:tc>
        <w:tc>
          <w:tcPr>
            <w:tcW w:w="2551" w:type="dxa"/>
            <w:vAlign w:val="center"/>
          </w:tcPr>
          <w:p>
            <w:pPr>
              <w:pStyle w:val="12"/>
            </w:pPr>
            <w:r>
              <w:t>≥90完成</w:t>
            </w:r>
          </w:p>
        </w:tc>
        <w:tc>
          <w:tcPr>
            <w:tcW w:w="2268" w:type="dxa"/>
            <w:vAlign w:val="center"/>
          </w:tcPr>
          <w:p>
            <w:pPr>
              <w:pStyle w:val="12"/>
            </w:pPr>
            <w:r>
              <w:t>按照年初预算安排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2022年，唐山市曹妃甸区机关事务中心本级安排政府采购预算0.00万元。具体内容见下表。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default" w:eastAsia="方正仿宋_GBK"/>
          <w:lang w:val="en-US" w:eastAsia="zh-CN"/>
        </w:rPr>
      </w:pPr>
      <w:r>
        <w:rPr>
          <w:rFonts w:eastAsia="方正仿宋_GBK"/>
          <w:color w:val="000000"/>
          <w:sz w:val="28"/>
        </w:rPr>
        <w:t>唐山市曹妃甸区机关事务中心本级上年末固定资产金额为0.00万元（详见下表）。本年度拟购置固定资产总额为0.00万元，已按要求列入政府采购预算，详见政府采购预算表</w:t>
      </w:r>
      <w:r>
        <w:rPr>
          <w:rFonts w:hint="eastAsia" w:eastAsia="方正仿宋_GBK"/>
          <w:color w:val="000000"/>
          <w:sz w:val="28"/>
          <w:lang w:eastAsia="zh-CN"/>
        </w:rPr>
        <w:t>均为</w:t>
      </w:r>
      <w:r>
        <w:rPr>
          <w:rFonts w:hint="eastAsia" w:eastAsia="方正仿宋_GBK"/>
          <w:color w:val="000000"/>
          <w:sz w:val="28"/>
          <w:lang w:val="en-US" w:eastAsia="zh-CN"/>
        </w:rPr>
        <w:t>20万元以下设备。</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9DD81"/>
    <w:multiLevelType w:val="singleLevel"/>
    <w:tmpl w:val="CCD9DD8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NhM2UzNjRjNzNhZWFjOGRjMjA1Njc3ZDA0OGRlNDUifQ=="/>
  </w:docVars>
  <w:rsids>
    <w:rsidRoot w:val="004F059D"/>
    <w:rsid w:val="00476151"/>
    <w:rsid w:val="004F059D"/>
    <w:rsid w:val="00883433"/>
    <w:rsid w:val="008F245C"/>
    <w:rsid w:val="23EC5A66"/>
    <w:rsid w:val="33821C20"/>
    <w:rsid w:val="41796567"/>
    <w:rsid w:val="41EE7AB9"/>
    <w:rsid w:val="55A1145F"/>
    <w:rsid w:val="6FD06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2022-06-27T17:10:29Z</dcterms:created>
  <dcterms:modified xsi:type="dcterms:W3CDTF">2022-06-27T09:10:29Z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2022-06-27T17:11:25Z</dcterms:created>
  <dcterms:modified xsi:type="dcterms:W3CDTF">2022-06-27T09:11:25Z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2022-06-27T17:11:27Z</dcterms:created>
  <dcterms:modified xsi:type="dcterms:W3CDTF">2022-06-27T09:11:27Z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2022-06-27T17:10:40Z</dcterms:created>
  <dcterms:modified xsi:type="dcterms:W3CDTF">2022-06-27T09:10:40Z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2022-06-27T17:10:25Z</dcterms:created>
  <dcterms:modified xsi:type="dcterms:W3CDTF">2022-06-27T09:10:25Z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2022-06-27T17:11:23Z</dcterms:created>
  <dcterms:modified xsi:type="dcterms:W3CDTF">2022-06-27T09:11:23Z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2022-06-27T17:10:29Z</dcterms:created>
  <dcterms:modified xsi:type="dcterms:W3CDTF">2022-06-27T09:10:29Z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2022-06-27T17:11:37Z</dcterms:created>
  <dcterms:modified xsi:type="dcterms:W3CDTF">2022-06-27T09:11:37Z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2022-06-27T17:10:27Z</dcterms:created>
  <dcterms:modified xsi:type="dcterms:W3CDTF">2022-06-27T09:10:27Z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2022-06-27T17:10:15Z</dcterms:created>
  <dcterms:modified xsi:type="dcterms:W3CDTF">2022-06-27T09:10:15Z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2022-06-27T17:11:25Z</dcterms:created>
  <dcterms:modified xsi:type="dcterms:W3CDTF">2022-06-27T09:11:25Z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2022-06-27T17:10:26Z</dcterms:created>
  <dcterms:modified xsi:type="dcterms:W3CDTF">2022-06-27T09:10:26Z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2022-06-27T17:11:28Z</dcterms:created>
  <dcterms:modified xsi:type="dcterms:W3CDTF">2022-06-27T09:11:28Z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2022-06-27T17:11:24Z</dcterms:created>
  <dcterms:modified xsi:type="dcterms:W3CDTF">2022-06-27T09:11:24Z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2022-06-27T17:10:28Z</dcterms:created>
  <dcterms:modified xsi:type="dcterms:W3CDTF">2022-06-27T09:10:28Z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2022-06-27T17:10:24Z</dcterms:created>
  <dcterms:modified xsi:type="dcterms:W3CDTF">2022-06-27T09:10:24Z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2022-06-27T17:11:16Z</dcterms:created>
  <dcterms:modified xsi:type="dcterms:W3CDTF">2022-06-27T09:11:16Z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2022-06-27T17:10:27Z</dcterms:created>
  <dcterms:modified xsi:type="dcterms:W3CDTF">2022-06-27T09:10:27Z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2022-06-27T17:11:29Z</dcterms:created>
  <dcterms:modified xsi:type="dcterms:W3CDTF">2022-06-27T09:11:29Z</dcterms:modified>
</cp:coreProperties>
</file>

<file path=customXml/itemProps1.xml><?xml version="1.0" encoding="utf-8"?>
<ds:datastoreItem xmlns:ds="http://schemas.openxmlformats.org/officeDocument/2006/customXml" ds:itemID="{1D06E9B1-917C-416A-823E-1AB5F716E9F0}">
  <ds:schemaRefs/>
</ds:datastoreItem>
</file>

<file path=customXml/itemProps10.xml><?xml version="1.0" encoding="utf-8"?>
<ds:datastoreItem xmlns:ds="http://schemas.openxmlformats.org/officeDocument/2006/customXml" ds:itemID="{7F7E7529-9BF0-45E4-BCC0-3A06FCF9475A}">
  <ds:schemaRefs/>
</ds:datastoreItem>
</file>

<file path=customXml/itemProps11.xml><?xml version="1.0" encoding="utf-8"?>
<ds:datastoreItem xmlns:ds="http://schemas.openxmlformats.org/officeDocument/2006/customXml" ds:itemID="{2B764730-A6EE-40B1-9EE9-06A7C4754135}">
  <ds:schemaRefs/>
</ds:datastoreItem>
</file>

<file path=customXml/itemProps12.xml><?xml version="1.0" encoding="utf-8"?>
<ds:datastoreItem xmlns:ds="http://schemas.openxmlformats.org/officeDocument/2006/customXml" ds:itemID="{8C927DF6-BBF8-471A-B71C-E6E9348FC1A8}">
  <ds:schemaRefs/>
</ds:datastoreItem>
</file>

<file path=customXml/itemProps13.xml><?xml version="1.0" encoding="utf-8"?>
<ds:datastoreItem xmlns:ds="http://schemas.openxmlformats.org/officeDocument/2006/customXml" ds:itemID="{EA855DE4-D351-43A4-8900-7C14B789FB2C}">
  <ds:schemaRefs/>
</ds:datastoreItem>
</file>

<file path=customXml/itemProps14.xml><?xml version="1.0" encoding="utf-8"?>
<ds:datastoreItem xmlns:ds="http://schemas.openxmlformats.org/officeDocument/2006/customXml" ds:itemID="{FEE1EF39-75DA-4FCF-B5A7-7C1B0E51033D}">
  <ds:schemaRefs/>
</ds:datastoreItem>
</file>

<file path=customXml/itemProps15.xml><?xml version="1.0" encoding="utf-8"?>
<ds:datastoreItem xmlns:ds="http://schemas.openxmlformats.org/officeDocument/2006/customXml" ds:itemID="{C7C37C1F-8B2B-48B8-BE08-4BAF5A62AD65}">
  <ds:schemaRefs/>
</ds:datastoreItem>
</file>

<file path=customXml/itemProps16.xml><?xml version="1.0" encoding="utf-8"?>
<ds:datastoreItem xmlns:ds="http://schemas.openxmlformats.org/officeDocument/2006/customXml" ds:itemID="{8669257D-B196-4DDF-82D3-F4638ACBE171}">
  <ds:schemaRefs/>
</ds:datastoreItem>
</file>

<file path=customXml/itemProps17.xml><?xml version="1.0" encoding="utf-8"?>
<ds:datastoreItem xmlns:ds="http://schemas.openxmlformats.org/officeDocument/2006/customXml" ds:itemID="{2AC6C9E7-2585-4A22-B1D7-148D5231D11B}">
  <ds:schemaRefs/>
</ds:datastoreItem>
</file>

<file path=customXml/itemProps18.xml><?xml version="1.0" encoding="utf-8"?>
<ds:datastoreItem xmlns:ds="http://schemas.openxmlformats.org/officeDocument/2006/customXml" ds:itemID="{C3245DA6-2499-4E86-85E7-95F27215FB1B}">
  <ds:schemaRefs/>
</ds:datastoreItem>
</file>

<file path=customXml/itemProps19.xml><?xml version="1.0" encoding="utf-8"?>
<ds:datastoreItem xmlns:ds="http://schemas.openxmlformats.org/officeDocument/2006/customXml" ds:itemID="{944F33D4-DED1-41A1-A1AB-E43C2BEE2CF9}">
  <ds:schemaRefs/>
</ds:datastoreItem>
</file>

<file path=customXml/itemProps2.xml><?xml version="1.0" encoding="utf-8"?>
<ds:datastoreItem xmlns:ds="http://schemas.openxmlformats.org/officeDocument/2006/customXml" ds:itemID="{FC17B610-E743-4650-B5E4-FEAC732789FE}">
  <ds:schemaRefs/>
</ds:datastoreItem>
</file>

<file path=customXml/itemProps20.xml><?xml version="1.0" encoding="utf-8"?>
<ds:datastoreItem xmlns:ds="http://schemas.openxmlformats.org/officeDocument/2006/customXml" ds:itemID="{EA891126-A826-434F-B960-BFEA0C2ACFF8}">
  <ds:schemaRefs/>
</ds:datastoreItem>
</file>

<file path=customXml/itemProps21.xml><?xml version="1.0" encoding="utf-8"?>
<ds:datastoreItem xmlns:ds="http://schemas.openxmlformats.org/officeDocument/2006/customXml" ds:itemID="{06206950-EFC6-414D-89B6-861D57ACDE2B}">
  <ds:schemaRefs/>
</ds:datastoreItem>
</file>

<file path=customXml/itemProps22.xml><?xml version="1.0" encoding="utf-8"?>
<ds:datastoreItem xmlns:ds="http://schemas.openxmlformats.org/officeDocument/2006/customXml" ds:itemID="{98EEBA4C-39BE-4BF7-8245-5FA855F9C820}">
  <ds:schemaRefs/>
</ds:datastoreItem>
</file>

<file path=customXml/itemProps23.xml><?xml version="1.0" encoding="utf-8"?>
<ds:datastoreItem xmlns:ds="http://schemas.openxmlformats.org/officeDocument/2006/customXml" ds:itemID="{C779CE90-80C6-4C2C-B0CB-69E1B8D49B1E}">
  <ds:schemaRefs/>
</ds:datastoreItem>
</file>

<file path=customXml/itemProps24.xml><?xml version="1.0" encoding="utf-8"?>
<ds:datastoreItem xmlns:ds="http://schemas.openxmlformats.org/officeDocument/2006/customXml" ds:itemID="{69D84BF3-2648-4686-8266-ADB2FED085A5}">
  <ds:schemaRefs/>
</ds:datastoreItem>
</file>

<file path=customXml/itemProps25.xml><?xml version="1.0" encoding="utf-8"?>
<ds:datastoreItem xmlns:ds="http://schemas.openxmlformats.org/officeDocument/2006/customXml" ds:itemID="{5F44EEE8-AF8E-4A28-B0F7-E10FD436290C}">
  <ds:schemaRefs/>
</ds:datastoreItem>
</file>

<file path=customXml/itemProps26.xml><?xml version="1.0" encoding="utf-8"?>
<ds:datastoreItem xmlns:ds="http://schemas.openxmlformats.org/officeDocument/2006/customXml" ds:itemID="{28A25534-4193-4ED3-AAF5-58548C988B95}">
  <ds:schemaRefs/>
</ds:datastoreItem>
</file>

<file path=customXml/itemProps27.xml><?xml version="1.0" encoding="utf-8"?>
<ds:datastoreItem xmlns:ds="http://schemas.openxmlformats.org/officeDocument/2006/customXml" ds:itemID="{BB6B6714-6D20-4770-88B2-782AF387CCCD}">
  <ds:schemaRefs/>
</ds:datastoreItem>
</file>

<file path=customXml/itemProps28.xml><?xml version="1.0" encoding="utf-8"?>
<ds:datastoreItem xmlns:ds="http://schemas.openxmlformats.org/officeDocument/2006/customXml" ds:itemID="{EED8D530-3FC4-42EB-AD78-88BC2B8870A8}">
  <ds:schemaRefs/>
</ds:datastoreItem>
</file>

<file path=customXml/itemProps29.xml><?xml version="1.0" encoding="utf-8"?>
<ds:datastoreItem xmlns:ds="http://schemas.openxmlformats.org/officeDocument/2006/customXml" ds:itemID="{ACC1C5FD-A7D6-4A69-9CDF-FF16C2F2B9FC}">
  <ds:schemaRefs/>
</ds:datastoreItem>
</file>

<file path=customXml/itemProps3.xml><?xml version="1.0" encoding="utf-8"?>
<ds:datastoreItem xmlns:ds="http://schemas.openxmlformats.org/officeDocument/2006/customXml" ds:itemID="{0CFE1574-56FB-47E7-89A6-6CE2A73C8637}">
  <ds:schemaRefs/>
</ds:datastoreItem>
</file>

<file path=customXml/itemProps30.xml><?xml version="1.0" encoding="utf-8"?>
<ds:datastoreItem xmlns:ds="http://schemas.openxmlformats.org/officeDocument/2006/customXml" ds:itemID="{F5F425B5-55A2-4F93-9EF2-F513548238EE}">
  <ds:schemaRefs/>
</ds:datastoreItem>
</file>

<file path=customXml/itemProps31.xml><?xml version="1.0" encoding="utf-8"?>
<ds:datastoreItem xmlns:ds="http://schemas.openxmlformats.org/officeDocument/2006/customXml" ds:itemID="{E4EF4DEC-8244-4364-99AC-903293AEDDF5}">
  <ds:schemaRefs/>
</ds:datastoreItem>
</file>

<file path=customXml/itemProps32.xml><?xml version="1.0" encoding="utf-8"?>
<ds:datastoreItem xmlns:ds="http://schemas.openxmlformats.org/officeDocument/2006/customXml" ds:itemID="{B9A52C44-7CF4-4E21-B997-6D709025094E}">
  <ds:schemaRefs/>
</ds:datastoreItem>
</file>

<file path=customXml/itemProps33.xml><?xml version="1.0" encoding="utf-8"?>
<ds:datastoreItem xmlns:ds="http://schemas.openxmlformats.org/officeDocument/2006/customXml" ds:itemID="{B0D63AC8-E8D9-4E91-8BBE-AECD68B1BCFB}">
  <ds:schemaRefs/>
</ds:datastoreItem>
</file>

<file path=customXml/itemProps34.xml><?xml version="1.0" encoding="utf-8"?>
<ds:datastoreItem xmlns:ds="http://schemas.openxmlformats.org/officeDocument/2006/customXml" ds:itemID="{AAFB72AA-6E06-4D72-8FA5-96537C4DCDF4}">
  <ds:schemaRefs/>
</ds:datastoreItem>
</file>

<file path=customXml/itemProps35.xml><?xml version="1.0" encoding="utf-8"?>
<ds:datastoreItem xmlns:ds="http://schemas.openxmlformats.org/officeDocument/2006/customXml" ds:itemID="{359F3F99-37C6-4D84-AEF3-E4C2CFFE4B84}">
  <ds:schemaRefs/>
</ds:datastoreItem>
</file>

<file path=customXml/itemProps36.xml><?xml version="1.0" encoding="utf-8"?>
<ds:datastoreItem xmlns:ds="http://schemas.openxmlformats.org/officeDocument/2006/customXml" ds:itemID="{F3208A11-EB8A-438A-A5AB-032AE7315C29}">
  <ds:schemaRefs/>
</ds:datastoreItem>
</file>

<file path=customXml/itemProps37.xml><?xml version="1.0" encoding="utf-8"?>
<ds:datastoreItem xmlns:ds="http://schemas.openxmlformats.org/officeDocument/2006/customXml" ds:itemID="{01D3772D-7E6B-4E82-B345-FABDC6EE0034}">
  <ds:schemaRefs/>
</ds:datastoreItem>
</file>

<file path=customXml/itemProps38.xml><?xml version="1.0" encoding="utf-8"?>
<ds:datastoreItem xmlns:ds="http://schemas.openxmlformats.org/officeDocument/2006/customXml" ds:itemID="{11456D0D-465E-46C3-9152-6C127104EEC2}">
  <ds:schemaRefs/>
</ds:datastoreItem>
</file>

<file path=customXml/itemProps4.xml><?xml version="1.0" encoding="utf-8"?>
<ds:datastoreItem xmlns:ds="http://schemas.openxmlformats.org/officeDocument/2006/customXml" ds:itemID="{B01F772E-4788-4151-B3C7-ECFB6670C71F}">
  <ds:schemaRefs/>
</ds:datastoreItem>
</file>

<file path=customXml/itemProps5.xml><?xml version="1.0" encoding="utf-8"?>
<ds:datastoreItem xmlns:ds="http://schemas.openxmlformats.org/officeDocument/2006/customXml" ds:itemID="{E4BED6A1-750F-4160-9F3B-5451C56F3D92}">
  <ds:schemaRefs/>
</ds:datastoreItem>
</file>

<file path=customXml/itemProps6.xml><?xml version="1.0" encoding="utf-8"?>
<ds:datastoreItem xmlns:ds="http://schemas.openxmlformats.org/officeDocument/2006/customXml" ds:itemID="{740B98F9-04F6-40C1-9F78-71A625464E01}">
  <ds:schemaRefs/>
</ds:datastoreItem>
</file>

<file path=customXml/itemProps7.xml><?xml version="1.0" encoding="utf-8"?>
<ds:datastoreItem xmlns:ds="http://schemas.openxmlformats.org/officeDocument/2006/customXml" ds:itemID="{C64CFFCE-9905-4DCF-A774-19A7FB305F1F}">
  <ds:schemaRefs/>
</ds:datastoreItem>
</file>

<file path=customXml/itemProps8.xml><?xml version="1.0" encoding="utf-8"?>
<ds:datastoreItem xmlns:ds="http://schemas.openxmlformats.org/officeDocument/2006/customXml" ds:itemID="{5DC0F026-DAF2-425F-AA43-5C1B40A865A9}">
  <ds:schemaRefs/>
</ds:datastoreItem>
</file>

<file path=customXml/itemProps9.xml><?xml version="1.0" encoding="utf-8"?>
<ds:datastoreItem xmlns:ds="http://schemas.openxmlformats.org/officeDocument/2006/customXml" ds:itemID="{1176BBD0-BD22-444F-B7AB-3BF6176323EA}">
  <ds:schemaRefs/>
</ds:datastoreItem>
</file>

<file path=docProps/app.xml><?xml version="1.0" encoding="utf-8"?>
<Properties xmlns="http://schemas.openxmlformats.org/officeDocument/2006/extended-properties" xmlns:vt="http://schemas.openxmlformats.org/officeDocument/2006/docPropsVTypes">
  <Template>Normal</Template>
  <Pages>30</Pages>
  <Words>9160</Words>
  <Characters>10880</Characters>
  <Lines>196</Lines>
  <Paragraphs>55</Paragraphs>
  <TotalTime>8</TotalTime>
  <ScaleCrop>false</ScaleCrop>
  <LinksUpToDate>false</LinksUpToDate>
  <CharactersWithSpaces>11022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2022-06-27T09:17:00Z</dcterms:created>
  <dc:creator>Administrator</dc:creator>
  <cp:lastModifiedBy>J@W</cp:lastModifiedBy>
  <dcterms:modified xsi:type="dcterms:W3CDTF">2022-09-22T03:36:29Z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F65EBF2A533E4976A11792D119D081A1</vt:lpwstr>
  </property>
</Properties>
</file>