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一、曹妃甸区市场中心本级收支预算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一、曹妃甸区市场中心本级收支预算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630001曹妃甸区市场中心本级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1685.88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1685.88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1685.88</w:t>
            </w:r>
          </w:p>
        </w:tc>
        <w:tc>
          <w:tcPr>
            <w:tcW w:w="4535" w:type="dxa"/>
            <w:vAlign w:val="center"/>
          </w:tcPr>
          <w:p>
            <w:pPr>
              <w:pStyle w:val="14"/>
            </w:pPr>
            <w:r>
              <w:t>本年支出合计</w:t>
            </w:r>
          </w:p>
        </w:tc>
        <w:tc>
          <w:tcPr>
            <w:tcW w:w="2126" w:type="dxa"/>
            <w:vAlign w:val="center"/>
          </w:tcPr>
          <w:p>
            <w:pPr>
              <w:pStyle w:val="15"/>
            </w:pPr>
            <w:r>
              <w:t>1685.88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1685.88</w:t>
            </w:r>
          </w:p>
        </w:tc>
        <w:tc>
          <w:tcPr>
            <w:tcW w:w="4535" w:type="dxa"/>
            <w:vAlign w:val="center"/>
          </w:tcPr>
          <w:p>
            <w:pPr>
              <w:pStyle w:val="14"/>
            </w:pPr>
            <w:r>
              <w:t>支出总计</w:t>
            </w:r>
          </w:p>
        </w:tc>
        <w:tc>
          <w:tcPr>
            <w:tcW w:w="2126" w:type="dxa"/>
            <w:vAlign w:val="center"/>
          </w:tcPr>
          <w:p>
            <w:pPr>
              <w:pStyle w:val="15"/>
            </w:pPr>
            <w:r>
              <w:t>1685.88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630001曹妃甸区市场中心本级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1685.88</w:t>
            </w:r>
          </w:p>
        </w:tc>
        <w:tc>
          <w:tcPr>
            <w:tcW w:w="1134" w:type="dxa"/>
            <w:vAlign w:val="center"/>
          </w:tcPr>
          <w:p>
            <w:pPr>
              <w:pStyle w:val="15"/>
            </w:pPr>
            <w:r>
              <w:t>1685.88</w:t>
            </w:r>
          </w:p>
        </w:tc>
        <w:tc>
          <w:tcPr>
            <w:tcW w:w="1134" w:type="dxa"/>
            <w:vAlign w:val="center"/>
          </w:tcPr>
          <w:p>
            <w:pPr>
              <w:pStyle w:val="15"/>
            </w:pPr>
            <w:r>
              <w:t>1685.88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1685.88</w:t>
            </w:r>
          </w:p>
        </w:tc>
        <w:tc>
          <w:tcPr>
            <w:tcW w:w="1134" w:type="dxa"/>
            <w:vAlign w:val="center"/>
          </w:tcPr>
          <w:p>
            <w:pPr>
              <w:pStyle w:val="11"/>
            </w:pPr>
            <w:r>
              <w:t>1685.88</w:t>
            </w:r>
          </w:p>
        </w:tc>
        <w:tc>
          <w:tcPr>
            <w:tcW w:w="1134" w:type="dxa"/>
            <w:vAlign w:val="center"/>
          </w:tcPr>
          <w:p>
            <w:pPr>
              <w:pStyle w:val="11"/>
            </w:pPr>
            <w:r>
              <w:t>1685.88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1685.88</w:t>
            </w:r>
          </w:p>
        </w:tc>
        <w:tc>
          <w:tcPr>
            <w:tcW w:w="1134" w:type="dxa"/>
            <w:vAlign w:val="center"/>
          </w:tcPr>
          <w:p>
            <w:pPr>
              <w:pStyle w:val="11"/>
            </w:pPr>
            <w:r>
              <w:t>1685.88</w:t>
            </w:r>
          </w:p>
        </w:tc>
        <w:tc>
          <w:tcPr>
            <w:tcW w:w="1134" w:type="dxa"/>
            <w:vAlign w:val="center"/>
          </w:tcPr>
          <w:p>
            <w:pPr>
              <w:pStyle w:val="11"/>
            </w:pPr>
            <w:r>
              <w:t>1685.88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2160299</w:t>
            </w:r>
          </w:p>
        </w:tc>
        <w:tc>
          <w:tcPr>
            <w:tcW w:w="1559" w:type="dxa"/>
            <w:vAlign w:val="center"/>
          </w:tcPr>
          <w:p>
            <w:pPr>
              <w:pStyle w:val="12"/>
            </w:pPr>
            <w:r>
              <w:t>其他商业流通事务支出</w:t>
            </w:r>
          </w:p>
        </w:tc>
        <w:tc>
          <w:tcPr>
            <w:tcW w:w="1134" w:type="dxa"/>
            <w:vAlign w:val="center"/>
          </w:tcPr>
          <w:p>
            <w:pPr>
              <w:pStyle w:val="11"/>
            </w:pPr>
            <w:r>
              <w:t>1685.88</w:t>
            </w:r>
          </w:p>
        </w:tc>
        <w:tc>
          <w:tcPr>
            <w:tcW w:w="1134" w:type="dxa"/>
            <w:vAlign w:val="center"/>
          </w:tcPr>
          <w:p>
            <w:pPr>
              <w:pStyle w:val="11"/>
            </w:pPr>
            <w:r>
              <w:t>1685.88</w:t>
            </w:r>
          </w:p>
        </w:tc>
        <w:tc>
          <w:tcPr>
            <w:tcW w:w="1134" w:type="dxa"/>
            <w:vAlign w:val="center"/>
          </w:tcPr>
          <w:p>
            <w:pPr>
              <w:pStyle w:val="11"/>
            </w:pPr>
            <w:r>
              <w:t>1685.88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630001曹妃甸区市场中心本级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1685.88</w:t>
            </w:r>
          </w:p>
        </w:tc>
        <w:tc>
          <w:tcPr>
            <w:tcW w:w="1361" w:type="dxa"/>
            <w:vAlign w:val="center"/>
          </w:tcPr>
          <w:p>
            <w:pPr>
              <w:pStyle w:val="15"/>
            </w:pPr>
          </w:p>
        </w:tc>
        <w:tc>
          <w:tcPr>
            <w:tcW w:w="1361" w:type="dxa"/>
            <w:vAlign w:val="center"/>
          </w:tcPr>
          <w:p>
            <w:pPr>
              <w:pStyle w:val="15"/>
            </w:pPr>
            <w:r>
              <w:t>1685.88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1685.88</w:t>
            </w:r>
          </w:p>
        </w:tc>
        <w:tc>
          <w:tcPr>
            <w:tcW w:w="1361" w:type="dxa"/>
            <w:vAlign w:val="center"/>
          </w:tcPr>
          <w:p>
            <w:pPr>
              <w:pStyle w:val="11"/>
            </w:pPr>
          </w:p>
        </w:tc>
        <w:tc>
          <w:tcPr>
            <w:tcW w:w="1361" w:type="dxa"/>
            <w:vAlign w:val="center"/>
          </w:tcPr>
          <w:p>
            <w:pPr>
              <w:pStyle w:val="11"/>
            </w:pPr>
            <w:r>
              <w:t>1685.88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21602</w:t>
            </w:r>
          </w:p>
        </w:tc>
        <w:tc>
          <w:tcPr>
            <w:tcW w:w="4535" w:type="dxa"/>
            <w:vAlign w:val="center"/>
          </w:tcPr>
          <w:p>
            <w:pPr>
              <w:pStyle w:val="12"/>
            </w:pPr>
            <w:r>
              <w:t>商业流通事务</w:t>
            </w:r>
          </w:p>
        </w:tc>
        <w:tc>
          <w:tcPr>
            <w:tcW w:w="1361" w:type="dxa"/>
            <w:vAlign w:val="center"/>
          </w:tcPr>
          <w:p>
            <w:pPr>
              <w:pStyle w:val="11"/>
            </w:pPr>
            <w:r>
              <w:t>1685.88</w:t>
            </w:r>
          </w:p>
        </w:tc>
        <w:tc>
          <w:tcPr>
            <w:tcW w:w="1361" w:type="dxa"/>
            <w:vAlign w:val="center"/>
          </w:tcPr>
          <w:p>
            <w:pPr>
              <w:pStyle w:val="11"/>
            </w:pPr>
          </w:p>
        </w:tc>
        <w:tc>
          <w:tcPr>
            <w:tcW w:w="1361" w:type="dxa"/>
            <w:vAlign w:val="center"/>
          </w:tcPr>
          <w:p>
            <w:pPr>
              <w:pStyle w:val="11"/>
            </w:pPr>
            <w:r>
              <w:t>1685.88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2160299</w:t>
            </w:r>
          </w:p>
        </w:tc>
        <w:tc>
          <w:tcPr>
            <w:tcW w:w="4535" w:type="dxa"/>
            <w:vAlign w:val="center"/>
          </w:tcPr>
          <w:p>
            <w:pPr>
              <w:pStyle w:val="12"/>
            </w:pPr>
            <w:r>
              <w:t>其他商业流通事务支出</w:t>
            </w:r>
          </w:p>
        </w:tc>
        <w:tc>
          <w:tcPr>
            <w:tcW w:w="1361" w:type="dxa"/>
            <w:vAlign w:val="center"/>
          </w:tcPr>
          <w:p>
            <w:pPr>
              <w:pStyle w:val="11"/>
            </w:pPr>
            <w:r>
              <w:t>1685.88</w:t>
            </w:r>
          </w:p>
        </w:tc>
        <w:tc>
          <w:tcPr>
            <w:tcW w:w="1361" w:type="dxa"/>
            <w:vAlign w:val="center"/>
          </w:tcPr>
          <w:p>
            <w:pPr>
              <w:pStyle w:val="11"/>
            </w:pPr>
          </w:p>
        </w:tc>
        <w:tc>
          <w:tcPr>
            <w:tcW w:w="1361" w:type="dxa"/>
            <w:vAlign w:val="center"/>
          </w:tcPr>
          <w:p>
            <w:pPr>
              <w:pStyle w:val="11"/>
            </w:pPr>
            <w:r>
              <w:t>1685.88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630001曹妃甸区市场中心本级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1685.88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1685.88</w:t>
            </w:r>
          </w:p>
        </w:tc>
        <w:tc>
          <w:tcPr>
            <w:tcW w:w="1474" w:type="dxa"/>
            <w:vAlign w:val="center"/>
          </w:tcPr>
          <w:p>
            <w:pPr>
              <w:pStyle w:val="11"/>
            </w:pPr>
            <w:r>
              <w:t>1685.88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1685.88</w:t>
            </w:r>
          </w:p>
        </w:tc>
        <w:tc>
          <w:tcPr>
            <w:tcW w:w="3402" w:type="dxa"/>
            <w:vAlign w:val="center"/>
          </w:tcPr>
          <w:p>
            <w:pPr>
              <w:pStyle w:val="14"/>
            </w:pPr>
            <w:r>
              <w:t>本年支出合计</w:t>
            </w:r>
          </w:p>
        </w:tc>
        <w:tc>
          <w:tcPr>
            <w:tcW w:w="1474" w:type="dxa"/>
            <w:vAlign w:val="center"/>
          </w:tcPr>
          <w:p>
            <w:pPr>
              <w:pStyle w:val="15"/>
            </w:pPr>
            <w:r>
              <w:t>1685.88</w:t>
            </w:r>
          </w:p>
        </w:tc>
        <w:tc>
          <w:tcPr>
            <w:tcW w:w="1474" w:type="dxa"/>
            <w:vAlign w:val="center"/>
          </w:tcPr>
          <w:p>
            <w:pPr>
              <w:pStyle w:val="15"/>
            </w:pPr>
            <w:r>
              <w:t>1685.88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1685.88</w:t>
            </w:r>
          </w:p>
        </w:tc>
        <w:tc>
          <w:tcPr>
            <w:tcW w:w="3402" w:type="dxa"/>
            <w:vAlign w:val="center"/>
          </w:tcPr>
          <w:p>
            <w:pPr>
              <w:pStyle w:val="14"/>
            </w:pPr>
            <w:r>
              <w:t>支出总计</w:t>
            </w:r>
          </w:p>
        </w:tc>
        <w:tc>
          <w:tcPr>
            <w:tcW w:w="1474" w:type="dxa"/>
            <w:vAlign w:val="center"/>
          </w:tcPr>
          <w:p>
            <w:pPr>
              <w:pStyle w:val="15"/>
            </w:pPr>
            <w:r>
              <w:t>1685.88</w:t>
            </w:r>
          </w:p>
        </w:tc>
        <w:tc>
          <w:tcPr>
            <w:tcW w:w="1474" w:type="dxa"/>
            <w:vAlign w:val="center"/>
          </w:tcPr>
          <w:p>
            <w:pPr>
              <w:pStyle w:val="15"/>
            </w:pPr>
            <w:r>
              <w:t>1685.88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630001曹妃甸区市场中心本级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1685.88</w:t>
            </w:r>
          </w:p>
        </w:tc>
        <w:tc>
          <w:tcPr>
            <w:tcW w:w="2551" w:type="dxa"/>
            <w:vAlign w:val="center"/>
          </w:tcPr>
          <w:p>
            <w:pPr>
              <w:pStyle w:val="15"/>
            </w:pPr>
          </w:p>
        </w:tc>
        <w:tc>
          <w:tcPr>
            <w:tcW w:w="2551" w:type="dxa"/>
            <w:vAlign w:val="center"/>
          </w:tcPr>
          <w:p>
            <w:pPr>
              <w:pStyle w:val="15"/>
            </w:pPr>
            <w:r>
              <w:t>1685.88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1685.88</w:t>
            </w:r>
          </w:p>
        </w:tc>
        <w:tc>
          <w:tcPr>
            <w:tcW w:w="2551" w:type="dxa"/>
            <w:vAlign w:val="center"/>
          </w:tcPr>
          <w:p>
            <w:pPr>
              <w:pStyle w:val="11"/>
            </w:pPr>
          </w:p>
        </w:tc>
        <w:tc>
          <w:tcPr>
            <w:tcW w:w="2551" w:type="dxa"/>
            <w:vAlign w:val="center"/>
          </w:tcPr>
          <w:p>
            <w:pPr>
              <w:pStyle w:val="11"/>
            </w:pPr>
            <w:r>
              <w:t>1685.88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1685.88</w:t>
            </w:r>
          </w:p>
        </w:tc>
        <w:tc>
          <w:tcPr>
            <w:tcW w:w="2551" w:type="dxa"/>
            <w:vAlign w:val="center"/>
          </w:tcPr>
          <w:p>
            <w:pPr>
              <w:pStyle w:val="11"/>
            </w:pPr>
          </w:p>
        </w:tc>
        <w:tc>
          <w:tcPr>
            <w:tcW w:w="2551" w:type="dxa"/>
            <w:vAlign w:val="center"/>
          </w:tcPr>
          <w:p>
            <w:pPr>
              <w:pStyle w:val="11"/>
            </w:pPr>
            <w:r>
              <w:t>1685.88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2160299</w:t>
            </w:r>
          </w:p>
        </w:tc>
        <w:tc>
          <w:tcPr>
            <w:tcW w:w="4535" w:type="dxa"/>
            <w:vAlign w:val="center"/>
          </w:tcPr>
          <w:p>
            <w:pPr>
              <w:pStyle w:val="12"/>
            </w:pPr>
            <w:r>
              <w:t>其他商业流通事务支出</w:t>
            </w:r>
          </w:p>
        </w:tc>
        <w:tc>
          <w:tcPr>
            <w:tcW w:w="2551" w:type="dxa"/>
            <w:vAlign w:val="center"/>
          </w:tcPr>
          <w:p>
            <w:pPr>
              <w:pStyle w:val="11"/>
            </w:pPr>
            <w:r>
              <w:t>1685.88</w:t>
            </w:r>
          </w:p>
        </w:tc>
        <w:tc>
          <w:tcPr>
            <w:tcW w:w="2551" w:type="dxa"/>
            <w:vAlign w:val="center"/>
          </w:tcPr>
          <w:p>
            <w:pPr>
              <w:pStyle w:val="11"/>
            </w:pPr>
          </w:p>
        </w:tc>
        <w:tc>
          <w:tcPr>
            <w:tcW w:w="2551" w:type="dxa"/>
            <w:vAlign w:val="center"/>
          </w:tcPr>
          <w:p>
            <w:pPr>
              <w:pStyle w:val="11"/>
            </w:pPr>
            <w:r>
              <w:t>1685.88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630001曹妃甸区市场中心本级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630001曹妃甸区市场中心本级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630001曹妃甸区市场中心本级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630001曹妃甸区市场中心本级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曹妃甸区市场中心本级2025年单位预算信息公开情况说明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按照《中华人民共和国预算法》、《地方预决算公开操作规程》和《关于进一步推进预算公开工作的实施意见》规定，现将曹妃甸区市场中心本级2025年单位预算公开如下：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曹妃甸区市场中心本级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1685.88万元，其中：一般公共预算收入1685.88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曹妃甸区市场中心本级年度单位预算中支出预算的总体情况。2025年支出预算1685.88万元，其中基本支出0.00万元，包括人员经费0.00万元和日常公用经费0.00万元；项目支出1685.88万元，主要为2025年人员支出，2025年运转支出，农副产品市场修建冷却塔、热力转换站工程尾款。</w:t>
      </w:r>
    </w:p>
    <w:p>
      <w:pPr>
        <w:pStyle w:val="18"/>
      </w:pPr>
      <w:r>
        <w:t>3、比上年增减情况</w:t>
      </w:r>
    </w:p>
    <w:p>
      <w:pPr>
        <w:pStyle w:val="18"/>
      </w:pPr>
      <w:r>
        <w:t>2025年预算收支安排1685.88万元，较2024年预算减少249.78万元，其中：基本支出增加0.00万元，主要为我单位2025年各个项目支出均有所减少。项目支出减少249.78万元，主要为维修费用减少。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1、2025年人员支出绩效目标表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13020925P00004510001M</w:t>
            </w:r>
          </w:p>
        </w:tc>
        <w:tc>
          <w:tcPr>
            <w:tcW w:w="2835" w:type="dxa"/>
            <w:vAlign w:val="center"/>
          </w:tcPr>
          <w:p>
            <w:pPr>
              <w:pStyle w:val="10"/>
            </w:pPr>
            <w:r>
              <w:t>项目名称</w:t>
            </w:r>
          </w:p>
        </w:tc>
        <w:tc>
          <w:tcPr>
            <w:tcW w:w="6095" w:type="dxa"/>
            <w:gridSpan w:val="3"/>
            <w:vAlign w:val="center"/>
          </w:tcPr>
          <w:p>
            <w:pPr>
              <w:pStyle w:val="12"/>
            </w:pPr>
            <w:r>
              <w:t>2025年人员支出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473.60</w:t>
            </w:r>
          </w:p>
        </w:tc>
        <w:tc>
          <w:tcPr>
            <w:tcW w:w="2835" w:type="dxa"/>
            <w:vAlign w:val="center"/>
          </w:tcPr>
          <w:p>
            <w:pPr>
              <w:pStyle w:val="10"/>
            </w:pPr>
            <w:r>
              <w:t>其中：财政    资金</w:t>
            </w:r>
          </w:p>
        </w:tc>
        <w:tc>
          <w:tcPr>
            <w:tcW w:w="2551" w:type="dxa"/>
            <w:vAlign w:val="center"/>
          </w:tcPr>
          <w:p>
            <w:pPr>
              <w:pStyle w:val="12"/>
            </w:pPr>
            <w:r>
              <w:t>473.60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正式人员工资、保险、奖金等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1.保证正式人员工资、绩效等及时发放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正式人员数量</w:t>
            </w:r>
          </w:p>
        </w:tc>
        <w:tc>
          <w:tcPr>
            <w:tcW w:w="2268" w:type="dxa"/>
            <w:vAlign w:val="center"/>
          </w:tcPr>
          <w:p>
            <w:pPr>
              <w:pStyle w:val="12"/>
            </w:pPr>
            <w:r>
              <w:t>≤22人</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人员经费执行率</w:t>
            </w:r>
          </w:p>
        </w:tc>
        <w:tc>
          <w:tcPr>
            <w:tcW w:w="5386" w:type="dxa"/>
            <w:vAlign w:val="center"/>
          </w:tcPr>
          <w:p>
            <w:pPr>
              <w:pStyle w:val="12"/>
            </w:pPr>
            <w:r>
              <w:t>保证工资准确无误</w:t>
            </w:r>
          </w:p>
        </w:tc>
        <w:tc>
          <w:tcPr>
            <w:tcW w:w="2268" w:type="dxa"/>
            <w:vAlign w:val="center"/>
          </w:tcPr>
          <w:p>
            <w:pPr>
              <w:pStyle w:val="12"/>
            </w:pPr>
            <w:r>
              <w:t>100%</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人员工资支付及时性</w:t>
            </w:r>
          </w:p>
        </w:tc>
        <w:tc>
          <w:tcPr>
            <w:tcW w:w="5386" w:type="dxa"/>
            <w:vAlign w:val="center"/>
          </w:tcPr>
          <w:p>
            <w:pPr>
              <w:pStyle w:val="12"/>
            </w:pPr>
            <w:r>
              <w:t>人员工资支付及时性</w:t>
            </w:r>
          </w:p>
        </w:tc>
        <w:tc>
          <w:tcPr>
            <w:tcW w:w="2268" w:type="dxa"/>
            <w:vAlign w:val="center"/>
          </w:tcPr>
          <w:p>
            <w:pPr>
              <w:pStyle w:val="12"/>
            </w:pPr>
            <w:r>
              <w:t>≥90%</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成本金额</w:t>
            </w:r>
          </w:p>
        </w:tc>
        <w:tc>
          <w:tcPr>
            <w:tcW w:w="5386" w:type="dxa"/>
            <w:vAlign w:val="center"/>
          </w:tcPr>
          <w:p>
            <w:pPr>
              <w:pStyle w:val="12"/>
            </w:pPr>
            <w:r>
              <w:t>人员支出总金额</w:t>
            </w:r>
          </w:p>
        </w:tc>
        <w:tc>
          <w:tcPr>
            <w:tcW w:w="2268" w:type="dxa"/>
            <w:vAlign w:val="center"/>
          </w:tcPr>
          <w:p>
            <w:pPr>
              <w:pStyle w:val="12"/>
            </w:pPr>
            <w:r>
              <w:t>不超过年初预算安排</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提升人员职业技能水平</w:t>
            </w:r>
          </w:p>
        </w:tc>
        <w:tc>
          <w:tcPr>
            <w:tcW w:w="5386" w:type="dxa"/>
            <w:vAlign w:val="center"/>
          </w:tcPr>
          <w:p>
            <w:pPr>
              <w:pStyle w:val="12"/>
            </w:pPr>
            <w:r>
              <w:t>提升人员职业技能水平</w:t>
            </w:r>
          </w:p>
        </w:tc>
        <w:tc>
          <w:tcPr>
            <w:tcW w:w="2268" w:type="dxa"/>
            <w:vAlign w:val="center"/>
          </w:tcPr>
          <w:p>
            <w:pPr>
              <w:pStyle w:val="12"/>
            </w:pPr>
            <w:r>
              <w:t>≥90%</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机关单位工作人员满意度</w:t>
            </w:r>
          </w:p>
        </w:tc>
        <w:tc>
          <w:tcPr>
            <w:tcW w:w="5386" w:type="dxa"/>
            <w:vAlign w:val="center"/>
          </w:tcPr>
          <w:p>
            <w:pPr>
              <w:pStyle w:val="12"/>
            </w:pPr>
            <w:r>
              <w:t>机关单位工作人员满意度</w:t>
            </w:r>
          </w:p>
        </w:tc>
        <w:tc>
          <w:tcPr>
            <w:tcW w:w="2268" w:type="dxa"/>
            <w:vAlign w:val="center"/>
          </w:tcPr>
          <w:p>
            <w:pPr>
              <w:pStyle w:val="12"/>
            </w:pPr>
            <w:r>
              <w:t>≥90%</w:t>
            </w:r>
          </w:p>
        </w:tc>
        <w:tc>
          <w:tcPr>
            <w:tcW w:w="1276" w:type="dxa"/>
            <w:vAlign w:val="center"/>
          </w:tcPr>
          <w:p>
            <w:pPr>
              <w:pStyle w:val="12"/>
            </w:pPr>
            <w:r>
              <w:t>本单位年初计划安排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2、2025年运转支出绩效目标表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13020925P000047100011</w:t>
            </w:r>
          </w:p>
        </w:tc>
        <w:tc>
          <w:tcPr>
            <w:tcW w:w="2835" w:type="dxa"/>
            <w:vAlign w:val="center"/>
          </w:tcPr>
          <w:p>
            <w:pPr>
              <w:pStyle w:val="10"/>
            </w:pPr>
            <w:r>
              <w:t>项目名称</w:t>
            </w:r>
          </w:p>
        </w:tc>
        <w:tc>
          <w:tcPr>
            <w:tcW w:w="6095" w:type="dxa"/>
            <w:gridSpan w:val="3"/>
            <w:vAlign w:val="center"/>
          </w:tcPr>
          <w:p>
            <w:pPr>
              <w:pStyle w:val="12"/>
            </w:pPr>
            <w:r>
              <w:t>2025年运转支出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1195.98</w:t>
            </w:r>
          </w:p>
        </w:tc>
        <w:tc>
          <w:tcPr>
            <w:tcW w:w="2835" w:type="dxa"/>
            <w:vAlign w:val="center"/>
          </w:tcPr>
          <w:p>
            <w:pPr>
              <w:pStyle w:val="10"/>
            </w:pPr>
            <w:r>
              <w:t>其中：财政    资金</w:t>
            </w:r>
          </w:p>
        </w:tc>
        <w:tc>
          <w:tcPr>
            <w:tcW w:w="2551" w:type="dxa"/>
            <w:vAlign w:val="center"/>
          </w:tcPr>
          <w:p>
            <w:pPr>
              <w:pStyle w:val="12"/>
            </w:pPr>
            <w:r>
              <w:t>1195.98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单位正常运转支出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1.保障单位的每日正常运转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实际完成工作量</w:t>
            </w:r>
          </w:p>
        </w:tc>
        <w:tc>
          <w:tcPr>
            <w:tcW w:w="5386" w:type="dxa"/>
            <w:vAlign w:val="center"/>
          </w:tcPr>
          <w:p>
            <w:pPr>
              <w:pStyle w:val="12"/>
            </w:pPr>
            <w:r>
              <w:t>年初计划在当年完成</w:t>
            </w:r>
          </w:p>
        </w:tc>
        <w:tc>
          <w:tcPr>
            <w:tcW w:w="2268" w:type="dxa"/>
            <w:vAlign w:val="center"/>
          </w:tcPr>
          <w:p>
            <w:pPr>
              <w:pStyle w:val="12"/>
            </w:pPr>
            <w:r>
              <w:t>≤12月</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运行正常运转率</w:t>
            </w:r>
          </w:p>
        </w:tc>
        <w:tc>
          <w:tcPr>
            <w:tcW w:w="5386" w:type="dxa"/>
            <w:vAlign w:val="center"/>
          </w:tcPr>
          <w:p>
            <w:pPr>
              <w:pStyle w:val="12"/>
            </w:pPr>
            <w:r>
              <w:t>运行正常运转率</w:t>
            </w:r>
          </w:p>
        </w:tc>
        <w:tc>
          <w:tcPr>
            <w:tcW w:w="2268" w:type="dxa"/>
            <w:vAlign w:val="center"/>
          </w:tcPr>
          <w:p>
            <w:pPr>
              <w:pStyle w:val="12"/>
            </w:pPr>
            <w:r>
              <w:t>100%</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5386" w:type="dxa"/>
            <w:vAlign w:val="center"/>
          </w:tcPr>
          <w:p>
            <w:pPr>
              <w:pStyle w:val="12"/>
            </w:pPr>
            <w:r>
              <w:t>设备维修及时率</w:t>
            </w:r>
          </w:p>
        </w:tc>
        <w:tc>
          <w:tcPr>
            <w:tcW w:w="2268" w:type="dxa"/>
            <w:vAlign w:val="center"/>
          </w:tcPr>
          <w:p>
            <w:pPr>
              <w:pStyle w:val="12"/>
            </w:pPr>
            <w:r>
              <w:t>≥90%</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成本金额</w:t>
            </w:r>
          </w:p>
        </w:tc>
        <w:tc>
          <w:tcPr>
            <w:tcW w:w="5386" w:type="dxa"/>
            <w:vAlign w:val="center"/>
          </w:tcPr>
          <w:p>
            <w:pPr>
              <w:pStyle w:val="12"/>
            </w:pPr>
            <w:r>
              <w:t>运转支出总金额</w:t>
            </w:r>
          </w:p>
        </w:tc>
        <w:tc>
          <w:tcPr>
            <w:tcW w:w="2268" w:type="dxa"/>
            <w:vAlign w:val="center"/>
          </w:tcPr>
          <w:p>
            <w:pPr>
              <w:pStyle w:val="12"/>
            </w:pPr>
            <w:r>
              <w:t>不超过年初预算金额</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社会问题时间“零”发生</w:t>
            </w:r>
          </w:p>
        </w:tc>
        <w:tc>
          <w:tcPr>
            <w:tcW w:w="5386" w:type="dxa"/>
            <w:vAlign w:val="center"/>
          </w:tcPr>
          <w:p>
            <w:pPr>
              <w:pStyle w:val="12"/>
            </w:pPr>
            <w:r>
              <w:t>社会问题时间“零”发生</w:t>
            </w:r>
          </w:p>
        </w:tc>
        <w:tc>
          <w:tcPr>
            <w:tcW w:w="2268" w:type="dxa"/>
            <w:vAlign w:val="center"/>
          </w:tcPr>
          <w:p>
            <w:pPr>
              <w:pStyle w:val="12"/>
            </w:pPr>
            <w:r>
              <w:t>&lt;1次</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经费使用者满意度</w:t>
            </w:r>
          </w:p>
        </w:tc>
        <w:tc>
          <w:tcPr>
            <w:tcW w:w="5386" w:type="dxa"/>
            <w:vAlign w:val="center"/>
          </w:tcPr>
          <w:p>
            <w:pPr>
              <w:pStyle w:val="12"/>
            </w:pPr>
            <w:r>
              <w:t>经费使用者满意度</w:t>
            </w:r>
          </w:p>
        </w:tc>
        <w:tc>
          <w:tcPr>
            <w:tcW w:w="2268" w:type="dxa"/>
            <w:vAlign w:val="center"/>
          </w:tcPr>
          <w:p>
            <w:pPr>
              <w:pStyle w:val="12"/>
            </w:pPr>
            <w:r>
              <w:t>≥90%</w:t>
            </w:r>
          </w:p>
        </w:tc>
        <w:tc>
          <w:tcPr>
            <w:tcW w:w="1276" w:type="dxa"/>
            <w:vAlign w:val="center"/>
          </w:tcPr>
          <w:p>
            <w:pPr>
              <w:pStyle w:val="12"/>
            </w:pPr>
            <w:r>
              <w:t>本单位年初计划安排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3、农副产品市场修建冷却塔、热力转换站工程尾款绩效目标表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13020925P00004910003K</w:t>
            </w:r>
          </w:p>
        </w:tc>
        <w:tc>
          <w:tcPr>
            <w:tcW w:w="2835" w:type="dxa"/>
            <w:vAlign w:val="center"/>
          </w:tcPr>
          <w:p>
            <w:pPr>
              <w:pStyle w:val="10"/>
            </w:pPr>
            <w:r>
              <w:t>项目名称</w:t>
            </w:r>
          </w:p>
        </w:tc>
        <w:tc>
          <w:tcPr>
            <w:tcW w:w="6095" w:type="dxa"/>
            <w:gridSpan w:val="3"/>
            <w:vAlign w:val="center"/>
          </w:tcPr>
          <w:p>
            <w:pPr>
              <w:pStyle w:val="12"/>
            </w:pPr>
            <w:r>
              <w:t>农副产品市场修建冷却塔、热力转换站工程尾款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16.30</w:t>
            </w:r>
          </w:p>
        </w:tc>
        <w:tc>
          <w:tcPr>
            <w:tcW w:w="2835" w:type="dxa"/>
            <w:vAlign w:val="center"/>
          </w:tcPr>
          <w:p>
            <w:pPr>
              <w:pStyle w:val="10"/>
            </w:pPr>
            <w:r>
              <w:t>其中：财政    资金</w:t>
            </w:r>
          </w:p>
        </w:tc>
        <w:tc>
          <w:tcPr>
            <w:tcW w:w="2551" w:type="dxa"/>
            <w:vAlign w:val="center"/>
          </w:tcPr>
          <w:p>
            <w:pPr>
              <w:pStyle w:val="12"/>
            </w:pPr>
            <w:r>
              <w:t>16.30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农副产品市场修建冷却塔、热力转换站工程尾款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1.完成支付农副产品市场修建冷却塔、热力转换站工程尾款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维修护工程次数</w:t>
            </w:r>
          </w:p>
        </w:tc>
        <w:tc>
          <w:tcPr>
            <w:tcW w:w="5386" w:type="dxa"/>
            <w:vAlign w:val="center"/>
          </w:tcPr>
          <w:p>
            <w:pPr>
              <w:pStyle w:val="12"/>
            </w:pPr>
            <w:r>
              <w:t>年初计划安排中工程中完成情况</w:t>
            </w:r>
          </w:p>
        </w:tc>
        <w:tc>
          <w:tcPr>
            <w:tcW w:w="2268" w:type="dxa"/>
            <w:vAlign w:val="center"/>
          </w:tcPr>
          <w:p>
            <w:pPr>
              <w:pStyle w:val="12"/>
            </w:pPr>
            <w:r>
              <w:t>≥4次</w:t>
            </w:r>
          </w:p>
        </w:tc>
        <w:tc>
          <w:tcPr>
            <w:tcW w:w="1276" w:type="dxa"/>
            <w:vAlign w:val="center"/>
          </w:tcPr>
          <w:p>
            <w:pPr>
              <w:pStyle w:val="12"/>
            </w:pPr>
            <w:r>
              <w:t>本单位年初计划安排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100百分号</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工程完成时间</w:t>
            </w:r>
          </w:p>
        </w:tc>
        <w:tc>
          <w:tcPr>
            <w:tcW w:w="5386" w:type="dxa"/>
            <w:vAlign w:val="center"/>
          </w:tcPr>
          <w:p>
            <w:pPr>
              <w:pStyle w:val="12"/>
            </w:pPr>
            <w:r>
              <w:t>按照合同约定时间完成</w:t>
            </w:r>
          </w:p>
        </w:tc>
        <w:tc>
          <w:tcPr>
            <w:tcW w:w="2268" w:type="dxa"/>
            <w:vAlign w:val="center"/>
          </w:tcPr>
          <w:p>
            <w:pPr>
              <w:pStyle w:val="12"/>
            </w:pPr>
            <w:r>
              <w:t>按照合同约定时间完成</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成本金额</w:t>
            </w:r>
          </w:p>
        </w:tc>
        <w:tc>
          <w:tcPr>
            <w:tcW w:w="5386" w:type="dxa"/>
            <w:vAlign w:val="center"/>
          </w:tcPr>
          <w:p>
            <w:pPr>
              <w:pStyle w:val="12"/>
            </w:pPr>
            <w:r>
              <w:t>年初预算金额</w:t>
            </w:r>
          </w:p>
        </w:tc>
        <w:tc>
          <w:tcPr>
            <w:tcW w:w="2268" w:type="dxa"/>
            <w:vAlign w:val="center"/>
          </w:tcPr>
          <w:p>
            <w:pPr>
              <w:pStyle w:val="12"/>
            </w:pPr>
            <w:r>
              <w:t>≤16.3万元</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工程事故发生次数</w:t>
            </w:r>
          </w:p>
        </w:tc>
        <w:tc>
          <w:tcPr>
            <w:tcW w:w="5386" w:type="dxa"/>
            <w:vAlign w:val="center"/>
          </w:tcPr>
          <w:p>
            <w:pPr>
              <w:pStyle w:val="12"/>
            </w:pPr>
            <w:r>
              <w:t>工程事故发生次数</w:t>
            </w:r>
          </w:p>
        </w:tc>
        <w:tc>
          <w:tcPr>
            <w:tcW w:w="2268" w:type="dxa"/>
            <w:vAlign w:val="center"/>
          </w:tcPr>
          <w:p>
            <w:pPr>
              <w:pStyle w:val="12"/>
            </w:pPr>
            <w:r>
              <w:t>&lt;1次</w:t>
            </w:r>
          </w:p>
        </w:tc>
        <w:tc>
          <w:tcPr>
            <w:tcW w:w="1276" w:type="dxa"/>
            <w:vAlign w:val="center"/>
          </w:tcPr>
          <w:p>
            <w:pPr>
              <w:pStyle w:val="12"/>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≥90百分号</w:t>
            </w:r>
          </w:p>
        </w:tc>
        <w:tc>
          <w:tcPr>
            <w:tcW w:w="1276" w:type="dxa"/>
            <w:vAlign w:val="center"/>
          </w:tcPr>
          <w:p>
            <w:pPr>
              <w:pStyle w:val="12"/>
            </w:pPr>
            <w:r>
              <w:t>本单位年初计划安排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630001曹妃甸区市场中心本级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198.04</w:t>
            </w:r>
          </w:p>
        </w:tc>
        <w:tc>
          <w:tcPr>
            <w:tcW w:w="964" w:type="dxa"/>
            <w:vAlign w:val="center"/>
          </w:tcPr>
          <w:p>
            <w:pPr>
              <w:pStyle w:val="15"/>
            </w:pPr>
            <w:r>
              <w:t>198.04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曹妃甸区市场中心本级小计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198.04</w:t>
            </w:r>
          </w:p>
        </w:tc>
        <w:tc>
          <w:tcPr>
            <w:tcW w:w="964" w:type="dxa"/>
            <w:vAlign w:val="center"/>
          </w:tcPr>
          <w:p>
            <w:pPr>
              <w:pStyle w:val="15"/>
            </w:pPr>
            <w:r>
              <w:t>198.04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2025年运转支出</w:t>
            </w:r>
          </w:p>
        </w:tc>
        <w:tc>
          <w:tcPr>
            <w:tcW w:w="964" w:type="dxa"/>
            <w:vAlign w:val="center"/>
          </w:tcPr>
          <w:p>
            <w:pPr>
              <w:pStyle w:val="11"/>
            </w:pPr>
            <w:r>
              <w:t>1195.98</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106.60</w:t>
            </w:r>
          </w:p>
        </w:tc>
        <w:tc>
          <w:tcPr>
            <w:tcW w:w="964" w:type="dxa"/>
            <w:vAlign w:val="center"/>
          </w:tcPr>
          <w:p>
            <w:pPr>
              <w:pStyle w:val="11"/>
            </w:pPr>
            <w:r>
              <w:t>106.60</w:t>
            </w:r>
          </w:p>
        </w:tc>
        <w:tc>
          <w:tcPr>
            <w:tcW w:w="964" w:type="dxa"/>
            <w:vAlign w:val="center"/>
          </w:tcPr>
          <w:p>
            <w:pPr>
              <w:pStyle w:val="11"/>
            </w:pPr>
            <w:r>
              <w:t>106.60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2025年运转支出</w:t>
            </w:r>
          </w:p>
        </w:tc>
        <w:tc>
          <w:tcPr>
            <w:tcW w:w="964" w:type="dxa"/>
            <w:vAlign w:val="center"/>
          </w:tcPr>
          <w:p>
            <w:pPr>
              <w:pStyle w:val="11"/>
            </w:pPr>
            <w:r>
              <w:t>1195.98</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91.44</w:t>
            </w:r>
          </w:p>
        </w:tc>
        <w:tc>
          <w:tcPr>
            <w:tcW w:w="964" w:type="dxa"/>
            <w:vAlign w:val="center"/>
          </w:tcPr>
          <w:p>
            <w:pPr>
              <w:pStyle w:val="11"/>
            </w:pPr>
            <w:r>
              <w:t>91.44</w:t>
            </w:r>
          </w:p>
        </w:tc>
        <w:tc>
          <w:tcPr>
            <w:tcW w:w="964" w:type="dxa"/>
            <w:vAlign w:val="center"/>
          </w:tcPr>
          <w:p>
            <w:pPr>
              <w:pStyle w:val="11"/>
            </w:pPr>
            <w:r>
              <w:t>91.44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91.44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曹妃甸区市场中心本级上年末固定资产金额为0.00万元（详见下表）。本年度拟购置固定资产总额为0.00万元，已按要求列入政府采购预算，详见政府采购预算表。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630001曹妃甸区市场中心本级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95406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TotalTime>0</TotalTime>
  <ScaleCrop>false</ScaleCrop>
  <LinksUpToDate>false</LinksUpToDate>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2025-02-26T09:24:00Z</dcterms:created>
  <dc:creator>Administrator</dc:creator>
  <cp:lastModifiedBy>Administrator</cp:lastModifiedBy>
  <dcterms:modified xsi:type="dcterms:W3CDTF">2025-02-26T01:17:30Z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