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630曹妃甸区市场中心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1685.88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1685.88</w:t>
            </w:r>
          </w:p>
        </w:tc>
        <w:tc>
          <w:tcPr>
            <w:tcW w:w="4535" w:type="dxa"/>
            <w:vAlign w:val="center"/>
          </w:tcPr>
          <w:p>
            <w:pPr>
              <w:pStyle w:val="15"/>
            </w:pPr>
            <w:r>
              <w:t>本年支出合计</w:t>
            </w:r>
          </w:p>
        </w:tc>
        <w:tc>
          <w:tcPr>
            <w:tcW w:w="2126" w:type="dxa"/>
            <w:vAlign w:val="center"/>
          </w:tcPr>
          <w:p>
            <w:pPr>
              <w:pStyle w:val="16"/>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1685.88</w:t>
            </w:r>
          </w:p>
        </w:tc>
        <w:tc>
          <w:tcPr>
            <w:tcW w:w="4535" w:type="dxa"/>
            <w:vAlign w:val="center"/>
          </w:tcPr>
          <w:p>
            <w:pPr>
              <w:pStyle w:val="15"/>
            </w:pPr>
            <w:r>
              <w:t>支出总计</w:t>
            </w:r>
          </w:p>
        </w:tc>
        <w:tc>
          <w:tcPr>
            <w:tcW w:w="2126" w:type="dxa"/>
            <w:vAlign w:val="center"/>
          </w:tcPr>
          <w:p>
            <w:pPr>
              <w:pStyle w:val="16"/>
            </w:pPr>
            <w:r>
              <w:t>1685.88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630曹妃甸区市场中心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1685.88</w:t>
            </w:r>
          </w:p>
        </w:tc>
        <w:tc>
          <w:tcPr>
            <w:tcW w:w="1134" w:type="dxa"/>
            <w:vAlign w:val="center"/>
          </w:tcPr>
          <w:p>
            <w:pPr>
              <w:pStyle w:val="16"/>
            </w:pPr>
            <w:r>
              <w:t>1685.88</w:t>
            </w:r>
          </w:p>
        </w:tc>
        <w:tc>
          <w:tcPr>
            <w:tcW w:w="1134" w:type="dxa"/>
            <w:vAlign w:val="center"/>
          </w:tcPr>
          <w:p>
            <w:pPr>
              <w:pStyle w:val="16"/>
            </w:pPr>
            <w:r>
              <w:t>1685.88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216</w:t>
            </w:r>
          </w:p>
        </w:tc>
        <w:tc>
          <w:tcPr>
            <w:tcW w:w="1559" w:type="dxa"/>
            <w:vAlign w:val="center"/>
          </w:tcPr>
          <w:p>
            <w:pPr>
              <w:pStyle w:val="13"/>
            </w:pPr>
            <w:r>
              <w:t>商业服务业等支出</w:t>
            </w:r>
          </w:p>
        </w:tc>
        <w:tc>
          <w:tcPr>
            <w:tcW w:w="1134" w:type="dxa"/>
            <w:vAlign w:val="center"/>
          </w:tcPr>
          <w:p>
            <w:pPr>
              <w:pStyle w:val="12"/>
            </w:pPr>
            <w:r>
              <w:t>1685.88</w:t>
            </w:r>
          </w:p>
        </w:tc>
        <w:tc>
          <w:tcPr>
            <w:tcW w:w="1134" w:type="dxa"/>
            <w:vAlign w:val="center"/>
          </w:tcPr>
          <w:p>
            <w:pPr>
              <w:pStyle w:val="12"/>
            </w:pPr>
            <w:r>
              <w:t>1685.88</w:t>
            </w:r>
          </w:p>
        </w:tc>
        <w:tc>
          <w:tcPr>
            <w:tcW w:w="1134" w:type="dxa"/>
            <w:vAlign w:val="center"/>
          </w:tcPr>
          <w:p>
            <w:pPr>
              <w:pStyle w:val="12"/>
            </w:pPr>
            <w:r>
              <w:t>1685.88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21602</w:t>
            </w:r>
          </w:p>
        </w:tc>
        <w:tc>
          <w:tcPr>
            <w:tcW w:w="1559" w:type="dxa"/>
            <w:vAlign w:val="center"/>
          </w:tcPr>
          <w:p>
            <w:pPr>
              <w:pStyle w:val="13"/>
            </w:pPr>
            <w:r>
              <w:t>商业流通事务</w:t>
            </w:r>
          </w:p>
        </w:tc>
        <w:tc>
          <w:tcPr>
            <w:tcW w:w="1134" w:type="dxa"/>
            <w:vAlign w:val="center"/>
          </w:tcPr>
          <w:p>
            <w:pPr>
              <w:pStyle w:val="12"/>
            </w:pPr>
            <w:r>
              <w:t>1685.88</w:t>
            </w:r>
          </w:p>
        </w:tc>
        <w:tc>
          <w:tcPr>
            <w:tcW w:w="1134" w:type="dxa"/>
            <w:vAlign w:val="center"/>
          </w:tcPr>
          <w:p>
            <w:pPr>
              <w:pStyle w:val="12"/>
            </w:pPr>
            <w:r>
              <w:t>1685.88</w:t>
            </w:r>
          </w:p>
        </w:tc>
        <w:tc>
          <w:tcPr>
            <w:tcW w:w="1134" w:type="dxa"/>
            <w:vAlign w:val="center"/>
          </w:tcPr>
          <w:p>
            <w:pPr>
              <w:pStyle w:val="12"/>
            </w:pPr>
            <w:r>
              <w:t>1685.88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2160299</w:t>
            </w:r>
          </w:p>
        </w:tc>
        <w:tc>
          <w:tcPr>
            <w:tcW w:w="1559" w:type="dxa"/>
            <w:vAlign w:val="center"/>
          </w:tcPr>
          <w:p>
            <w:pPr>
              <w:pStyle w:val="13"/>
            </w:pPr>
            <w:r>
              <w:t>其他商业流通事务支出</w:t>
            </w:r>
          </w:p>
        </w:tc>
        <w:tc>
          <w:tcPr>
            <w:tcW w:w="1134" w:type="dxa"/>
            <w:vAlign w:val="center"/>
          </w:tcPr>
          <w:p>
            <w:pPr>
              <w:pStyle w:val="12"/>
            </w:pPr>
            <w:r>
              <w:t>1685.88</w:t>
            </w:r>
          </w:p>
        </w:tc>
        <w:tc>
          <w:tcPr>
            <w:tcW w:w="1134" w:type="dxa"/>
            <w:vAlign w:val="center"/>
          </w:tcPr>
          <w:p>
            <w:pPr>
              <w:pStyle w:val="12"/>
            </w:pPr>
            <w:r>
              <w:t>1685.88</w:t>
            </w:r>
          </w:p>
        </w:tc>
        <w:tc>
          <w:tcPr>
            <w:tcW w:w="1134" w:type="dxa"/>
            <w:vAlign w:val="center"/>
          </w:tcPr>
          <w:p>
            <w:pPr>
              <w:pStyle w:val="12"/>
            </w:pPr>
            <w:r>
              <w:t>1685.88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630曹妃甸区市场中心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1685.88</w:t>
            </w:r>
          </w:p>
        </w:tc>
        <w:tc>
          <w:tcPr>
            <w:tcW w:w="1361" w:type="dxa"/>
            <w:vAlign w:val="center"/>
          </w:tcPr>
          <w:p>
            <w:pPr>
              <w:pStyle w:val="16"/>
            </w:pPr>
          </w:p>
        </w:tc>
        <w:tc>
          <w:tcPr>
            <w:tcW w:w="1361" w:type="dxa"/>
            <w:vAlign w:val="center"/>
          </w:tcPr>
          <w:p>
            <w:pPr>
              <w:pStyle w:val="16"/>
            </w:pPr>
            <w:r>
              <w:t>1685.88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216</w:t>
            </w:r>
          </w:p>
        </w:tc>
        <w:tc>
          <w:tcPr>
            <w:tcW w:w="4535" w:type="dxa"/>
            <w:vAlign w:val="center"/>
          </w:tcPr>
          <w:p>
            <w:pPr>
              <w:pStyle w:val="13"/>
            </w:pPr>
            <w:r>
              <w:t>商业服务业等支出</w:t>
            </w:r>
          </w:p>
        </w:tc>
        <w:tc>
          <w:tcPr>
            <w:tcW w:w="1361" w:type="dxa"/>
            <w:vAlign w:val="center"/>
          </w:tcPr>
          <w:p>
            <w:pPr>
              <w:pStyle w:val="12"/>
            </w:pPr>
            <w:r>
              <w:t>1685.88</w:t>
            </w:r>
          </w:p>
        </w:tc>
        <w:tc>
          <w:tcPr>
            <w:tcW w:w="1361" w:type="dxa"/>
            <w:vAlign w:val="center"/>
          </w:tcPr>
          <w:p>
            <w:pPr>
              <w:pStyle w:val="12"/>
            </w:pPr>
          </w:p>
        </w:tc>
        <w:tc>
          <w:tcPr>
            <w:tcW w:w="1361" w:type="dxa"/>
            <w:vAlign w:val="center"/>
          </w:tcPr>
          <w:p>
            <w:pPr>
              <w:pStyle w:val="12"/>
            </w:pPr>
            <w:r>
              <w:t>1685.88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21602</w:t>
            </w:r>
          </w:p>
        </w:tc>
        <w:tc>
          <w:tcPr>
            <w:tcW w:w="4535" w:type="dxa"/>
            <w:vAlign w:val="center"/>
          </w:tcPr>
          <w:p>
            <w:pPr>
              <w:pStyle w:val="13"/>
            </w:pPr>
            <w:r>
              <w:t>商业流通事务</w:t>
            </w:r>
          </w:p>
        </w:tc>
        <w:tc>
          <w:tcPr>
            <w:tcW w:w="1361" w:type="dxa"/>
            <w:vAlign w:val="center"/>
          </w:tcPr>
          <w:p>
            <w:pPr>
              <w:pStyle w:val="12"/>
            </w:pPr>
            <w:r>
              <w:t>1685.88</w:t>
            </w:r>
          </w:p>
        </w:tc>
        <w:tc>
          <w:tcPr>
            <w:tcW w:w="1361" w:type="dxa"/>
            <w:vAlign w:val="center"/>
          </w:tcPr>
          <w:p>
            <w:pPr>
              <w:pStyle w:val="12"/>
            </w:pPr>
          </w:p>
        </w:tc>
        <w:tc>
          <w:tcPr>
            <w:tcW w:w="1361" w:type="dxa"/>
            <w:vAlign w:val="center"/>
          </w:tcPr>
          <w:p>
            <w:pPr>
              <w:pStyle w:val="12"/>
            </w:pPr>
            <w:r>
              <w:t>1685.88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2160299</w:t>
            </w:r>
          </w:p>
        </w:tc>
        <w:tc>
          <w:tcPr>
            <w:tcW w:w="4535" w:type="dxa"/>
            <w:vAlign w:val="center"/>
          </w:tcPr>
          <w:p>
            <w:pPr>
              <w:pStyle w:val="13"/>
            </w:pPr>
            <w:r>
              <w:t>其他商业流通事务支出</w:t>
            </w:r>
          </w:p>
        </w:tc>
        <w:tc>
          <w:tcPr>
            <w:tcW w:w="1361" w:type="dxa"/>
            <w:vAlign w:val="center"/>
          </w:tcPr>
          <w:p>
            <w:pPr>
              <w:pStyle w:val="12"/>
            </w:pPr>
            <w:r>
              <w:t>1685.88</w:t>
            </w:r>
          </w:p>
        </w:tc>
        <w:tc>
          <w:tcPr>
            <w:tcW w:w="1361" w:type="dxa"/>
            <w:vAlign w:val="center"/>
          </w:tcPr>
          <w:p>
            <w:pPr>
              <w:pStyle w:val="12"/>
            </w:pPr>
          </w:p>
        </w:tc>
        <w:tc>
          <w:tcPr>
            <w:tcW w:w="1361" w:type="dxa"/>
            <w:vAlign w:val="center"/>
          </w:tcPr>
          <w:p>
            <w:pPr>
              <w:pStyle w:val="12"/>
            </w:pPr>
            <w:r>
              <w:t>1685.88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630曹妃甸区市场中心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1685.88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r>
              <w:t>1685.88</w:t>
            </w:r>
          </w:p>
        </w:tc>
        <w:tc>
          <w:tcPr>
            <w:tcW w:w="1474" w:type="dxa"/>
            <w:vAlign w:val="center"/>
          </w:tcPr>
          <w:p>
            <w:pPr>
              <w:pStyle w:val="12"/>
            </w:pPr>
            <w:r>
              <w:t>1685.88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1685.88</w:t>
            </w:r>
          </w:p>
        </w:tc>
        <w:tc>
          <w:tcPr>
            <w:tcW w:w="3402" w:type="dxa"/>
            <w:vAlign w:val="center"/>
          </w:tcPr>
          <w:p>
            <w:pPr>
              <w:pStyle w:val="15"/>
            </w:pPr>
            <w:r>
              <w:t>本年支出合计</w:t>
            </w:r>
          </w:p>
        </w:tc>
        <w:tc>
          <w:tcPr>
            <w:tcW w:w="1474" w:type="dxa"/>
            <w:vAlign w:val="center"/>
          </w:tcPr>
          <w:p>
            <w:pPr>
              <w:pStyle w:val="16"/>
            </w:pPr>
            <w:r>
              <w:t>1685.88</w:t>
            </w:r>
          </w:p>
        </w:tc>
        <w:tc>
          <w:tcPr>
            <w:tcW w:w="1474" w:type="dxa"/>
            <w:vAlign w:val="center"/>
          </w:tcPr>
          <w:p>
            <w:pPr>
              <w:pStyle w:val="16"/>
            </w:pPr>
            <w:r>
              <w:t>1685.88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1685.88</w:t>
            </w:r>
          </w:p>
        </w:tc>
        <w:tc>
          <w:tcPr>
            <w:tcW w:w="3402" w:type="dxa"/>
            <w:vAlign w:val="center"/>
          </w:tcPr>
          <w:p>
            <w:pPr>
              <w:pStyle w:val="15"/>
            </w:pPr>
            <w:r>
              <w:t>支出总计</w:t>
            </w:r>
          </w:p>
        </w:tc>
        <w:tc>
          <w:tcPr>
            <w:tcW w:w="1474" w:type="dxa"/>
            <w:vAlign w:val="center"/>
          </w:tcPr>
          <w:p>
            <w:pPr>
              <w:pStyle w:val="16"/>
            </w:pPr>
            <w:r>
              <w:t>1685.88</w:t>
            </w:r>
          </w:p>
        </w:tc>
        <w:tc>
          <w:tcPr>
            <w:tcW w:w="1474" w:type="dxa"/>
            <w:vAlign w:val="center"/>
          </w:tcPr>
          <w:p>
            <w:pPr>
              <w:pStyle w:val="16"/>
            </w:pPr>
            <w:r>
              <w:t>1685.88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630曹妃甸区市场中心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1685.88</w:t>
            </w:r>
          </w:p>
        </w:tc>
        <w:tc>
          <w:tcPr>
            <w:tcW w:w="2551" w:type="dxa"/>
            <w:vAlign w:val="center"/>
          </w:tcPr>
          <w:p>
            <w:pPr>
              <w:pStyle w:val="16"/>
            </w:pPr>
          </w:p>
        </w:tc>
        <w:tc>
          <w:tcPr>
            <w:tcW w:w="2551" w:type="dxa"/>
            <w:vAlign w:val="center"/>
          </w:tcPr>
          <w:p>
            <w:pPr>
              <w:pStyle w:val="16"/>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216</w:t>
            </w:r>
          </w:p>
        </w:tc>
        <w:tc>
          <w:tcPr>
            <w:tcW w:w="4535" w:type="dxa"/>
            <w:vAlign w:val="center"/>
          </w:tcPr>
          <w:p>
            <w:pPr>
              <w:pStyle w:val="13"/>
            </w:pPr>
            <w:r>
              <w:t>商业服务业等支出</w:t>
            </w:r>
          </w:p>
        </w:tc>
        <w:tc>
          <w:tcPr>
            <w:tcW w:w="2551" w:type="dxa"/>
            <w:vAlign w:val="center"/>
          </w:tcPr>
          <w:p>
            <w:pPr>
              <w:pStyle w:val="12"/>
            </w:pPr>
            <w:r>
              <w:t>1685.88</w:t>
            </w:r>
          </w:p>
        </w:tc>
        <w:tc>
          <w:tcPr>
            <w:tcW w:w="2551" w:type="dxa"/>
            <w:vAlign w:val="center"/>
          </w:tcPr>
          <w:p>
            <w:pPr>
              <w:pStyle w:val="12"/>
            </w:pPr>
          </w:p>
        </w:tc>
        <w:tc>
          <w:tcPr>
            <w:tcW w:w="2551" w:type="dxa"/>
            <w:vAlign w:val="center"/>
          </w:tcPr>
          <w:p>
            <w:pPr>
              <w:pStyle w:val="12"/>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21602</w:t>
            </w:r>
          </w:p>
        </w:tc>
        <w:tc>
          <w:tcPr>
            <w:tcW w:w="4535" w:type="dxa"/>
            <w:vAlign w:val="center"/>
          </w:tcPr>
          <w:p>
            <w:pPr>
              <w:pStyle w:val="13"/>
            </w:pPr>
            <w:r>
              <w:t>商业流通事务</w:t>
            </w:r>
          </w:p>
        </w:tc>
        <w:tc>
          <w:tcPr>
            <w:tcW w:w="2551" w:type="dxa"/>
            <w:vAlign w:val="center"/>
          </w:tcPr>
          <w:p>
            <w:pPr>
              <w:pStyle w:val="12"/>
            </w:pPr>
            <w:r>
              <w:t>1685.88</w:t>
            </w:r>
          </w:p>
        </w:tc>
        <w:tc>
          <w:tcPr>
            <w:tcW w:w="2551" w:type="dxa"/>
            <w:vAlign w:val="center"/>
          </w:tcPr>
          <w:p>
            <w:pPr>
              <w:pStyle w:val="12"/>
            </w:pPr>
          </w:p>
        </w:tc>
        <w:tc>
          <w:tcPr>
            <w:tcW w:w="2551" w:type="dxa"/>
            <w:vAlign w:val="center"/>
          </w:tcPr>
          <w:p>
            <w:pPr>
              <w:pStyle w:val="12"/>
            </w:pPr>
            <w:r>
              <w:t>1685.88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2160299</w:t>
            </w:r>
          </w:p>
        </w:tc>
        <w:tc>
          <w:tcPr>
            <w:tcW w:w="4535" w:type="dxa"/>
            <w:vAlign w:val="center"/>
          </w:tcPr>
          <w:p>
            <w:pPr>
              <w:pStyle w:val="13"/>
            </w:pPr>
            <w:r>
              <w:t>其他商业流通事务支出</w:t>
            </w:r>
          </w:p>
        </w:tc>
        <w:tc>
          <w:tcPr>
            <w:tcW w:w="2551" w:type="dxa"/>
            <w:vAlign w:val="center"/>
          </w:tcPr>
          <w:p>
            <w:pPr>
              <w:pStyle w:val="12"/>
            </w:pPr>
            <w:r>
              <w:t>1685.88</w:t>
            </w:r>
          </w:p>
        </w:tc>
        <w:tc>
          <w:tcPr>
            <w:tcW w:w="2551" w:type="dxa"/>
            <w:vAlign w:val="center"/>
          </w:tcPr>
          <w:p>
            <w:pPr>
              <w:pStyle w:val="12"/>
            </w:pPr>
          </w:p>
        </w:tc>
        <w:tc>
          <w:tcPr>
            <w:tcW w:w="2551" w:type="dxa"/>
            <w:vAlign w:val="center"/>
          </w:tcPr>
          <w:p>
            <w:pPr>
              <w:pStyle w:val="12"/>
            </w:pPr>
            <w:r>
              <w:t>1685.88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630曹妃甸区市场中心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630曹妃甸区市场中心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630曹妃甸区市场中心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630曹妃甸区市场中心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曹妃甸区市场中心2025年部门预算信息公开情况说明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曹妃甸区市场中心2025年部门预算信息公开情况说明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按照《中华人民共和国预算法》、《地方预决算公开操作规程》和《关于进一步推进预算公开工作的实施意见》规定，现将曹妃甸区市场中心2025年部门预算公开如下：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曹妃甸区市场中心本级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制定全区市场建设的总体规划，发挥培育市场、建设市场、搞活市场的功能；对现有所属市场的经营、改造、管理市场物业及市场设施的维修、摊位场地地租赁、经营市场资产；积极开发市场，突出重点项目的建设工作，拓宽流通渠道，并加强对区内市场建设的调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（一）严控市场收费</w:t>
      </w:r>
    </w:p>
    <w:p>
      <w:pPr>
        <w:pStyle w:val="23"/>
      </w:pPr>
      <w:r>
        <w:t>绩效目标：严格按照收费标准，足额征收市场设施费、卫生费、停车费。</w:t>
      </w:r>
    </w:p>
    <w:p>
      <w:pPr>
        <w:pStyle w:val="23"/>
      </w:pPr>
      <w:r>
        <w:t>绩效指标：收费增长额达标。</w:t>
      </w:r>
    </w:p>
    <w:p>
      <w:pPr>
        <w:pStyle w:val="23"/>
      </w:pPr>
      <w:r>
        <w:t>（二）建设改造市场</w:t>
      </w:r>
    </w:p>
    <w:p>
      <w:pPr>
        <w:pStyle w:val="23"/>
      </w:pPr>
      <w:r>
        <w:t>绩效目标：积极开展建设改造市场，使市场不断扩大、增加；做好市场内消防、水电、监控等各种机械设施设备的维修。</w:t>
      </w:r>
    </w:p>
    <w:p>
      <w:pPr>
        <w:pStyle w:val="23"/>
      </w:pPr>
      <w:r>
        <w:t>绩效指标：设施正常运转率。</w:t>
      </w:r>
    </w:p>
    <w:p>
      <w:pPr>
        <w:pStyle w:val="23"/>
      </w:pPr>
      <w:r>
        <w:t>（三）完善市场规章</w:t>
      </w:r>
    </w:p>
    <w:p>
      <w:pPr>
        <w:pStyle w:val="23"/>
      </w:pPr>
      <w:r>
        <w:t>绩效目标：依法建立健全各项安全规章制度，做好市场监督管理，组织市场管理人员参加各类安全技能培训，开展消防应急演练。</w:t>
      </w:r>
    </w:p>
    <w:p>
      <w:pPr>
        <w:pStyle w:val="23"/>
      </w:pPr>
      <w:r>
        <w:t>绩效指标：安全隐患整改率。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对全区各类市场开发、建设宏观指导，会同相关场镇（部门）搞好市场开发建设的调研、论证、立项等工作,积极开发市场,以市场养市场,突出重点项目的建设工作;负责市场日常管理，维护市场秩序，规范市场行为，创建文明市场，确保市场安全、卫生、有序,搞好同外埠市场的连接,为工商户提供市场供销售;坚持发展市场为区域经济服务的原则，强化资产管理，增加设施收入，制定进入市场经营的商户优惠政策,使市场不断扩展、增加。</w:t>
      </w:r>
    </w:p>
    <w:p>
      <w:pPr>
        <w:pStyle w:val="24"/>
      </w:pPr>
      <w:r>
        <w:t>（一）完善制度建设</w:t>
      </w:r>
    </w:p>
    <w:p>
      <w:pPr>
        <w:pStyle w:val="24"/>
      </w:pPr>
      <w:r>
        <w:t>制定完善预算绩效管理制度、资金管理办法、工作保障制度等，为全年绩效目标的实现奠定制度基础。</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sectPr>
          <w:pgSz w:w="16840" w:h="11900" w:orient="landscape"/>
          <w:pgMar w:top="1361" w:right="1020" w:bottom="1361" w:left="1020" w:header="720" w:footer="720" w:gutter="0"/>
        </w:sectPr>
      </w:pPr>
      <w:r>
        <w:t>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1、2025年人员支出绩效目标表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13020925P00004510001M</w:t>
            </w:r>
          </w:p>
        </w:tc>
        <w:tc>
          <w:tcPr>
            <w:tcW w:w="2835" w:type="dxa"/>
            <w:vAlign w:val="center"/>
          </w:tcPr>
          <w:p>
            <w:pPr>
              <w:pStyle w:val="11"/>
            </w:pPr>
            <w:r>
              <w:t>项目名称</w:t>
            </w:r>
          </w:p>
        </w:tc>
        <w:tc>
          <w:tcPr>
            <w:tcW w:w="6095" w:type="dxa"/>
            <w:gridSpan w:val="3"/>
            <w:vAlign w:val="center"/>
          </w:tcPr>
          <w:p>
            <w:pPr>
              <w:pStyle w:val="13"/>
            </w:pPr>
            <w:r>
              <w:t>2025年人员支出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473.60</w:t>
            </w:r>
          </w:p>
        </w:tc>
        <w:tc>
          <w:tcPr>
            <w:tcW w:w="2835" w:type="dxa"/>
            <w:vAlign w:val="center"/>
          </w:tcPr>
          <w:p>
            <w:pPr>
              <w:pStyle w:val="11"/>
            </w:pPr>
            <w:r>
              <w:t>其中：财政    资金</w:t>
            </w:r>
          </w:p>
        </w:tc>
        <w:tc>
          <w:tcPr>
            <w:tcW w:w="2551" w:type="dxa"/>
            <w:vAlign w:val="center"/>
          </w:tcPr>
          <w:p>
            <w:pPr>
              <w:pStyle w:val="13"/>
            </w:pPr>
            <w:r>
              <w:t>473.60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正式人员工资、保险、奖金等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1.保证正式人员工资、绩效等及时发放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正式人员数量</w:t>
            </w:r>
          </w:p>
        </w:tc>
        <w:tc>
          <w:tcPr>
            <w:tcW w:w="2268" w:type="dxa"/>
            <w:vAlign w:val="center"/>
          </w:tcPr>
          <w:p>
            <w:pPr>
              <w:pStyle w:val="13"/>
            </w:pPr>
            <w:r>
              <w:t>≤22人</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人员经费执行率</w:t>
            </w:r>
          </w:p>
        </w:tc>
        <w:tc>
          <w:tcPr>
            <w:tcW w:w="5386" w:type="dxa"/>
            <w:vAlign w:val="center"/>
          </w:tcPr>
          <w:p>
            <w:pPr>
              <w:pStyle w:val="13"/>
            </w:pPr>
            <w:r>
              <w:t>保证工资准确无误</w:t>
            </w:r>
          </w:p>
        </w:tc>
        <w:tc>
          <w:tcPr>
            <w:tcW w:w="2268" w:type="dxa"/>
            <w:vAlign w:val="center"/>
          </w:tcPr>
          <w:p>
            <w:pPr>
              <w:pStyle w:val="13"/>
            </w:pPr>
            <w:r>
              <w:t>100%</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人员工资支付及时性</w:t>
            </w:r>
          </w:p>
        </w:tc>
        <w:tc>
          <w:tcPr>
            <w:tcW w:w="5386" w:type="dxa"/>
            <w:vAlign w:val="center"/>
          </w:tcPr>
          <w:p>
            <w:pPr>
              <w:pStyle w:val="13"/>
            </w:pPr>
            <w:r>
              <w:t>人员工资支付及时性</w:t>
            </w:r>
          </w:p>
        </w:tc>
        <w:tc>
          <w:tcPr>
            <w:tcW w:w="2268" w:type="dxa"/>
            <w:vAlign w:val="center"/>
          </w:tcPr>
          <w:p>
            <w:pPr>
              <w:pStyle w:val="13"/>
            </w:pPr>
            <w:r>
              <w:t>≥90%</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成本金额</w:t>
            </w:r>
          </w:p>
        </w:tc>
        <w:tc>
          <w:tcPr>
            <w:tcW w:w="5386" w:type="dxa"/>
            <w:vAlign w:val="center"/>
          </w:tcPr>
          <w:p>
            <w:pPr>
              <w:pStyle w:val="13"/>
            </w:pPr>
            <w:r>
              <w:t>人员支出总金额</w:t>
            </w:r>
          </w:p>
        </w:tc>
        <w:tc>
          <w:tcPr>
            <w:tcW w:w="2268" w:type="dxa"/>
            <w:vAlign w:val="center"/>
          </w:tcPr>
          <w:p>
            <w:pPr>
              <w:pStyle w:val="13"/>
            </w:pPr>
            <w:r>
              <w:t>不超过年初预算安排</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提升人员职业技能水平</w:t>
            </w:r>
          </w:p>
        </w:tc>
        <w:tc>
          <w:tcPr>
            <w:tcW w:w="5386" w:type="dxa"/>
            <w:vAlign w:val="center"/>
          </w:tcPr>
          <w:p>
            <w:pPr>
              <w:pStyle w:val="13"/>
            </w:pPr>
            <w:r>
              <w:t>提升人员职业技能水平</w:t>
            </w:r>
          </w:p>
        </w:tc>
        <w:tc>
          <w:tcPr>
            <w:tcW w:w="2268" w:type="dxa"/>
            <w:vAlign w:val="center"/>
          </w:tcPr>
          <w:p>
            <w:pPr>
              <w:pStyle w:val="13"/>
            </w:pPr>
            <w:r>
              <w:t>≥90%</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机关单位工作人员满意度</w:t>
            </w:r>
          </w:p>
        </w:tc>
        <w:tc>
          <w:tcPr>
            <w:tcW w:w="5386" w:type="dxa"/>
            <w:vAlign w:val="center"/>
          </w:tcPr>
          <w:p>
            <w:pPr>
              <w:pStyle w:val="13"/>
            </w:pPr>
            <w:r>
              <w:t>机关单位工作人员满意度</w:t>
            </w:r>
          </w:p>
        </w:tc>
        <w:tc>
          <w:tcPr>
            <w:tcW w:w="2268" w:type="dxa"/>
            <w:vAlign w:val="center"/>
          </w:tcPr>
          <w:p>
            <w:pPr>
              <w:pStyle w:val="13"/>
            </w:pPr>
            <w:r>
              <w:t>≥90%</w:t>
            </w:r>
          </w:p>
        </w:tc>
        <w:tc>
          <w:tcPr>
            <w:tcW w:w="1276" w:type="dxa"/>
            <w:vAlign w:val="center"/>
          </w:tcPr>
          <w:p>
            <w:pPr>
              <w:pStyle w:val="13"/>
            </w:pPr>
            <w:r>
              <w:t>本单位年初计划安排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2、2025年运转支出绩效目标表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13020925P000047100011</w:t>
            </w:r>
          </w:p>
        </w:tc>
        <w:tc>
          <w:tcPr>
            <w:tcW w:w="2835" w:type="dxa"/>
            <w:vAlign w:val="center"/>
          </w:tcPr>
          <w:p>
            <w:pPr>
              <w:pStyle w:val="11"/>
            </w:pPr>
            <w:r>
              <w:t>项目名称</w:t>
            </w:r>
          </w:p>
        </w:tc>
        <w:tc>
          <w:tcPr>
            <w:tcW w:w="6095" w:type="dxa"/>
            <w:gridSpan w:val="3"/>
            <w:vAlign w:val="center"/>
          </w:tcPr>
          <w:p>
            <w:pPr>
              <w:pStyle w:val="13"/>
            </w:pPr>
            <w:r>
              <w:t>2025年运转支出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1195.98</w:t>
            </w:r>
          </w:p>
        </w:tc>
        <w:tc>
          <w:tcPr>
            <w:tcW w:w="2835" w:type="dxa"/>
            <w:vAlign w:val="center"/>
          </w:tcPr>
          <w:p>
            <w:pPr>
              <w:pStyle w:val="11"/>
            </w:pPr>
            <w:r>
              <w:t>其中：财政    资金</w:t>
            </w:r>
          </w:p>
        </w:tc>
        <w:tc>
          <w:tcPr>
            <w:tcW w:w="2551" w:type="dxa"/>
            <w:vAlign w:val="center"/>
          </w:tcPr>
          <w:p>
            <w:pPr>
              <w:pStyle w:val="13"/>
            </w:pPr>
            <w:r>
              <w:t>1195.98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单位正常运转支出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1.保障单位的每日正常运转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实际完成工作量</w:t>
            </w:r>
          </w:p>
        </w:tc>
        <w:tc>
          <w:tcPr>
            <w:tcW w:w="5386" w:type="dxa"/>
            <w:vAlign w:val="center"/>
          </w:tcPr>
          <w:p>
            <w:pPr>
              <w:pStyle w:val="13"/>
            </w:pPr>
            <w:r>
              <w:t>年初计划在当年完成</w:t>
            </w:r>
          </w:p>
        </w:tc>
        <w:tc>
          <w:tcPr>
            <w:tcW w:w="2268" w:type="dxa"/>
            <w:vAlign w:val="center"/>
          </w:tcPr>
          <w:p>
            <w:pPr>
              <w:pStyle w:val="13"/>
            </w:pPr>
            <w:r>
              <w:t>≤12月</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运行正常运转率</w:t>
            </w:r>
          </w:p>
        </w:tc>
        <w:tc>
          <w:tcPr>
            <w:tcW w:w="5386" w:type="dxa"/>
            <w:vAlign w:val="center"/>
          </w:tcPr>
          <w:p>
            <w:pPr>
              <w:pStyle w:val="13"/>
            </w:pPr>
            <w:r>
              <w:t>运行正常运转率</w:t>
            </w:r>
          </w:p>
        </w:tc>
        <w:tc>
          <w:tcPr>
            <w:tcW w:w="2268" w:type="dxa"/>
            <w:vAlign w:val="center"/>
          </w:tcPr>
          <w:p>
            <w:pPr>
              <w:pStyle w:val="13"/>
            </w:pPr>
            <w:r>
              <w:t>100%</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≥90%</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成本金额</w:t>
            </w:r>
          </w:p>
        </w:tc>
        <w:tc>
          <w:tcPr>
            <w:tcW w:w="5386" w:type="dxa"/>
            <w:vAlign w:val="center"/>
          </w:tcPr>
          <w:p>
            <w:pPr>
              <w:pStyle w:val="13"/>
            </w:pPr>
            <w:r>
              <w:t>运转支出总金额</w:t>
            </w:r>
          </w:p>
        </w:tc>
        <w:tc>
          <w:tcPr>
            <w:tcW w:w="2268" w:type="dxa"/>
            <w:vAlign w:val="center"/>
          </w:tcPr>
          <w:p>
            <w:pPr>
              <w:pStyle w:val="13"/>
            </w:pPr>
            <w:r>
              <w:t>不超过年初预算金额</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社会问题时间“零”发生</w:t>
            </w:r>
          </w:p>
        </w:tc>
        <w:tc>
          <w:tcPr>
            <w:tcW w:w="5386" w:type="dxa"/>
            <w:vAlign w:val="center"/>
          </w:tcPr>
          <w:p>
            <w:pPr>
              <w:pStyle w:val="13"/>
            </w:pPr>
            <w:r>
              <w:t>社会问题时间“零”发生</w:t>
            </w:r>
          </w:p>
        </w:tc>
        <w:tc>
          <w:tcPr>
            <w:tcW w:w="2268" w:type="dxa"/>
            <w:vAlign w:val="center"/>
          </w:tcPr>
          <w:p>
            <w:pPr>
              <w:pStyle w:val="13"/>
            </w:pPr>
            <w:r>
              <w:t>&lt;1次</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经费使用者满意度</w:t>
            </w:r>
          </w:p>
        </w:tc>
        <w:tc>
          <w:tcPr>
            <w:tcW w:w="5386" w:type="dxa"/>
            <w:vAlign w:val="center"/>
          </w:tcPr>
          <w:p>
            <w:pPr>
              <w:pStyle w:val="13"/>
            </w:pPr>
            <w:r>
              <w:t>经费使用者满意度</w:t>
            </w:r>
          </w:p>
        </w:tc>
        <w:tc>
          <w:tcPr>
            <w:tcW w:w="2268" w:type="dxa"/>
            <w:vAlign w:val="center"/>
          </w:tcPr>
          <w:p>
            <w:pPr>
              <w:pStyle w:val="13"/>
            </w:pPr>
            <w:r>
              <w:t>≥90%</w:t>
            </w:r>
          </w:p>
        </w:tc>
        <w:tc>
          <w:tcPr>
            <w:tcW w:w="1276" w:type="dxa"/>
            <w:vAlign w:val="center"/>
          </w:tcPr>
          <w:p>
            <w:pPr>
              <w:pStyle w:val="13"/>
            </w:pPr>
            <w:r>
              <w:t>本单位年初计划安排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3、2025年资本性支出绩效目标表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13020925P00004910001C</w:t>
            </w:r>
          </w:p>
        </w:tc>
        <w:tc>
          <w:tcPr>
            <w:tcW w:w="2835" w:type="dxa"/>
            <w:vAlign w:val="center"/>
          </w:tcPr>
          <w:p>
            <w:pPr>
              <w:pStyle w:val="11"/>
            </w:pPr>
            <w:r>
              <w:t>项目名称</w:t>
            </w:r>
          </w:p>
        </w:tc>
        <w:tc>
          <w:tcPr>
            <w:tcW w:w="6095" w:type="dxa"/>
            <w:gridSpan w:val="3"/>
            <w:vAlign w:val="center"/>
          </w:tcPr>
          <w:p>
            <w:pPr>
              <w:pStyle w:val="13"/>
            </w:pPr>
            <w:r>
              <w:t>2025年资本性支出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16.30</w:t>
            </w:r>
          </w:p>
        </w:tc>
        <w:tc>
          <w:tcPr>
            <w:tcW w:w="2835" w:type="dxa"/>
            <w:vAlign w:val="center"/>
          </w:tcPr>
          <w:p>
            <w:pPr>
              <w:pStyle w:val="11"/>
            </w:pPr>
            <w:r>
              <w:t>其中：财政    资金</w:t>
            </w:r>
          </w:p>
        </w:tc>
        <w:tc>
          <w:tcPr>
            <w:tcW w:w="2551" w:type="dxa"/>
            <w:vAlign w:val="center"/>
          </w:tcPr>
          <w:p>
            <w:pPr>
              <w:pStyle w:val="13"/>
            </w:pPr>
            <w:r>
              <w:t>16.30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支付大型修缮费用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1.完成支付大型修缮费用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维修（护）工程次数</w:t>
            </w:r>
          </w:p>
        </w:tc>
        <w:tc>
          <w:tcPr>
            <w:tcW w:w="5386" w:type="dxa"/>
            <w:vAlign w:val="center"/>
          </w:tcPr>
          <w:p>
            <w:pPr>
              <w:pStyle w:val="13"/>
            </w:pPr>
            <w:r>
              <w:t>维修（护）工程次数</w:t>
            </w:r>
          </w:p>
        </w:tc>
        <w:tc>
          <w:tcPr>
            <w:tcW w:w="2268" w:type="dxa"/>
            <w:vAlign w:val="center"/>
          </w:tcPr>
          <w:p>
            <w:pPr>
              <w:pStyle w:val="13"/>
            </w:pPr>
            <w:r>
              <w:t>≥4次</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项目(工程)验收合格率</w:t>
            </w:r>
          </w:p>
        </w:tc>
        <w:tc>
          <w:tcPr>
            <w:tcW w:w="2268" w:type="dxa"/>
            <w:vAlign w:val="center"/>
          </w:tcPr>
          <w:p>
            <w:pPr>
              <w:pStyle w:val="13"/>
            </w:pPr>
            <w:r>
              <w:t>100%</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工程完成时间</w:t>
            </w:r>
          </w:p>
        </w:tc>
        <w:tc>
          <w:tcPr>
            <w:tcW w:w="2268" w:type="dxa"/>
            <w:vAlign w:val="center"/>
          </w:tcPr>
          <w:p>
            <w:pPr>
              <w:pStyle w:val="13"/>
            </w:pPr>
            <w:r>
              <w:t>按照合同约定时间完成</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成本金额</w:t>
            </w:r>
          </w:p>
        </w:tc>
        <w:tc>
          <w:tcPr>
            <w:tcW w:w="5386" w:type="dxa"/>
            <w:vAlign w:val="center"/>
          </w:tcPr>
          <w:p>
            <w:pPr>
              <w:pStyle w:val="13"/>
            </w:pPr>
            <w:r>
              <w:t>资本性支出总金额</w:t>
            </w:r>
          </w:p>
        </w:tc>
        <w:tc>
          <w:tcPr>
            <w:tcW w:w="2268" w:type="dxa"/>
            <w:vAlign w:val="center"/>
          </w:tcPr>
          <w:p>
            <w:pPr>
              <w:pStyle w:val="13"/>
            </w:pPr>
            <w:r>
              <w:t>不超过年初预算金额</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工程事故发生次数</w:t>
            </w:r>
          </w:p>
        </w:tc>
        <w:tc>
          <w:tcPr>
            <w:tcW w:w="5386" w:type="dxa"/>
            <w:vAlign w:val="center"/>
          </w:tcPr>
          <w:p>
            <w:pPr>
              <w:pStyle w:val="13"/>
            </w:pPr>
            <w:r>
              <w:t>工程事故发生次数</w:t>
            </w:r>
          </w:p>
        </w:tc>
        <w:tc>
          <w:tcPr>
            <w:tcW w:w="2268" w:type="dxa"/>
            <w:vAlign w:val="center"/>
          </w:tcPr>
          <w:p>
            <w:pPr>
              <w:pStyle w:val="13"/>
            </w:pPr>
            <w:r>
              <w:t>&lt;1次</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本单位年初计划安排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630曹妃甸区市场中心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198.04</w:t>
            </w:r>
          </w:p>
        </w:tc>
        <w:tc>
          <w:tcPr>
            <w:tcW w:w="964" w:type="dxa"/>
            <w:vAlign w:val="center"/>
          </w:tcPr>
          <w:p>
            <w:pPr>
              <w:pStyle w:val="16"/>
            </w:pPr>
            <w:r>
              <w:t>198.04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曹妃甸区市场中心本级小计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198.04</w:t>
            </w:r>
          </w:p>
        </w:tc>
        <w:tc>
          <w:tcPr>
            <w:tcW w:w="964" w:type="dxa"/>
            <w:vAlign w:val="center"/>
          </w:tcPr>
          <w:p>
            <w:pPr>
              <w:pStyle w:val="16"/>
            </w:pPr>
            <w:r>
              <w:t>198.04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2025年运转支出</w:t>
            </w:r>
          </w:p>
        </w:tc>
        <w:tc>
          <w:tcPr>
            <w:tcW w:w="964" w:type="dxa"/>
            <w:vAlign w:val="center"/>
          </w:tcPr>
          <w:p>
            <w:pPr>
              <w:pStyle w:val="12"/>
            </w:pPr>
            <w:r>
              <w:t>1195.98</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106.60</w:t>
            </w:r>
          </w:p>
        </w:tc>
        <w:tc>
          <w:tcPr>
            <w:tcW w:w="964" w:type="dxa"/>
            <w:vAlign w:val="center"/>
          </w:tcPr>
          <w:p>
            <w:pPr>
              <w:pStyle w:val="12"/>
            </w:pPr>
            <w:r>
              <w:t>106.60</w:t>
            </w:r>
          </w:p>
        </w:tc>
        <w:tc>
          <w:tcPr>
            <w:tcW w:w="964" w:type="dxa"/>
            <w:vAlign w:val="center"/>
          </w:tcPr>
          <w:p>
            <w:pPr>
              <w:pStyle w:val="12"/>
            </w:pPr>
            <w:r>
              <w:t>106.60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2025年运转支出</w:t>
            </w:r>
          </w:p>
        </w:tc>
        <w:tc>
          <w:tcPr>
            <w:tcW w:w="964" w:type="dxa"/>
            <w:vAlign w:val="center"/>
          </w:tcPr>
          <w:p>
            <w:pPr>
              <w:pStyle w:val="12"/>
            </w:pPr>
            <w:r>
              <w:t>1195.98</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91.44</w:t>
            </w:r>
          </w:p>
        </w:tc>
        <w:tc>
          <w:tcPr>
            <w:tcW w:w="964" w:type="dxa"/>
            <w:vAlign w:val="center"/>
          </w:tcPr>
          <w:p>
            <w:pPr>
              <w:pStyle w:val="12"/>
            </w:pPr>
            <w:r>
              <w:t>91.44</w:t>
            </w:r>
          </w:p>
        </w:tc>
        <w:tc>
          <w:tcPr>
            <w:tcW w:w="964" w:type="dxa"/>
            <w:vAlign w:val="center"/>
          </w:tcPr>
          <w:p>
            <w:pPr>
              <w:pStyle w:val="12"/>
            </w:pPr>
            <w:r>
              <w:t>91.44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91.44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曹妃甸区市场中心（含所属单位）上年末固定资产金额为0.00万元（详见下表）。本年度拟购置固定资产总额为0.00万元，已按要求列入政府采购预算，详见政府采购预算表。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630曹妃甸区市场中心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E548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2025-01-06T09:28:00Z</dcterms:created>
  <dc:creator>Administrator</dc:creator>
  <cp:lastModifiedBy>Administrator</cp:lastModifiedBy>
  <dcterms:modified xsi:type="dcterms:W3CDTF">2025-02-26T01:13:54Z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