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801ECA">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4D0C71D6">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2FB3B9CD">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7545A366">
      <w:pPr>
        <w:spacing w:before="0" w:after="0" w:line="240" w:lineRule="auto"/>
        <w:ind w:firstLine="0"/>
        <w:jc w:val="center"/>
        <w:outlineLvl w:val="9"/>
      </w:pPr>
      <w:r>
        <w:rPr>
          <w:rFonts w:ascii="方正小标宋_GBK" w:hAnsi="方正小标宋_GBK" w:eastAsia="方正小标宋_GBK" w:cs="方正小标宋_GBK"/>
          <w:color w:val="000000"/>
          <w:sz w:val="72"/>
        </w:rPr>
        <w:t>曹妃甸区工商业联合会</w:t>
      </w:r>
    </w:p>
    <w:p w14:paraId="5BD26774">
      <w:pPr>
        <w:spacing w:before="0" w:after="0" w:line="240" w:lineRule="auto"/>
        <w:ind w:firstLine="0"/>
        <w:jc w:val="center"/>
        <w:outlineLvl w:val="9"/>
      </w:pPr>
      <w:r>
        <w:rPr>
          <w:rFonts w:ascii="方正小标宋_GBK" w:hAnsi="方正小标宋_GBK" w:eastAsia="方正小标宋_GBK" w:cs="方正小标宋_GBK"/>
          <w:color w:val="000000"/>
          <w:sz w:val="72"/>
        </w:rPr>
        <w:t>2025年部门预算绩效文本</w:t>
      </w:r>
    </w:p>
    <w:p w14:paraId="7F18E161">
      <w:pPr>
        <w:spacing w:before="0" w:after="0" w:line="240" w:lineRule="auto"/>
        <w:ind w:firstLine="0"/>
        <w:jc w:val="center"/>
        <w:outlineLvl w:val="9"/>
      </w:pPr>
    </w:p>
    <w:p w14:paraId="6F8D7198">
      <w:pPr>
        <w:spacing w:before="0" w:after="0" w:line="240" w:lineRule="auto"/>
        <w:ind w:firstLine="0"/>
        <w:jc w:val="center"/>
        <w:outlineLvl w:val="9"/>
      </w:pPr>
      <w:r>
        <w:rPr>
          <w:rFonts w:ascii="宋体" w:hAnsi="宋体" w:eastAsia="宋体" w:cs="宋体"/>
          <w:color w:val="000000"/>
          <w:sz w:val="21"/>
        </w:rPr>
        <w:t xml:space="preserve"> </w:t>
      </w:r>
    </w:p>
    <w:p w14:paraId="614C91D8">
      <w:pPr>
        <w:spacing w:before="0" w:after="0" w:line="240" w:lineRule="auto"/>
        <w:ind w:firstLine="0"/>
        <w:jc w:val="center"/>
        <w:outlineLvl w:val="9"/>
      </w:pPr>
      <w:r>
        <w:rPr>
          <w:rFonts w:ascii="宋体" w:hAnsi="宋体" w:eastAsia="宋体" w:cs="宋体"/>
          <w:color w:val="000000"/>
          <w:sz w:val="21"/>
        </w:rPr>
        <w:t xml:space="preserve"> </w:t>
      </w:r>
    </w:p>
    <w:p w14:paraId="61DC4D89">
      <w:pPr>
        <w:spacing w:before="0" w:after="0" w:line="240" w:lineRule="auto"/>
        <w:ind w:firstLine="0"/>
        <w:jc w:val="center"/>
        <w:outlineLvl w:val="9"/>
      </w:pPr>
      <w:r>
        <w:rPr>
          <w:rFonts w:ascii="宋体" w:hAnsi="宋体" w:eastAsia="宋体" w:cs="宋体"/>
          <w:color w:val="000000"/>
          <w:sz w:val="21"/>
        </w:rPr>
        <w:t xml:space="preserve"> </w:t>
      </w:r>
    </w:p>
    <w:p w14:paraId="4E6AF696">
      <w:pPr>
        <w:spacing w:before="0" w:after="0" w:line="240" w:lineRule="auto"/>
        <w:ind w:firstLine="0"/>
        <w:jc w:val="center"/>
        <w:outlineLvl w:val="9"/>
      </w:pPr>
      <w:r>
        <w:rPr>
          <w:rFonts w:ascii="宋体" w:hAnsi="宋体" w:eastAsia="宋体" w:cs="宋体"/>
          <w:color w:val="000000"/>
          <w:sz w:val="21"/>
        </w:rPr>
        <w:t xml:space="preserve"> </w:t>
      </w:r>
    </w:p>
    <w:p w14:paraId="5BBA734A">
      <w:pPr>
        <w:spacing w:before="0" w:after="0" w:line="240" w:lineRule="auto"/>
        <w:ind w:firstLine="0"/>
        <w:jc w:val="center"/>
        <w:outlineLvl w:val="9"/>
      </w:pPr>
      <w:r>
        <w:rPr>
          <w:rFonts w:ascii="宋体" w:hAnsi="宋体" w:eastAsia="宋体" w:cs="宋体"/>
          <w:color w:val="000000"/>
          <w:sz w:val="21"/>
        </w:rPr>
        <w:t xml:space="preserve"> </w:t>
      </w:r>
    </w:p>
    <w:p w14:paraId="31E94CDB">
      <w:pPr>
        <w:spacing w:before="0" w:after="0" w:line="240" w:lineRule="auto"/>
        <w:ind w:firstLine="0"/>
        <w:jc w:val="center"/>
        <w:outlineLvl w:val="9"/>
      </w:pPr>
      <w:r>
        <w:rPr>
          <w:rFonts w:ascii="宋体" w:hAnsi="宋体" w:eastAsia="宋体" w:cs="宋体"/>
          <w:color w:val="000000"/>
          <w:sz w:val="21"/>
        </w:rPr>
        <w:t xml:space="preserve"> </w:t>
      </w:r>
    </w:p>
    <w:p w14:paraId="507D3DF4">
      <w:pPr>
        <w:spacing w:before="0" w:after="0" w:line="240" w:lineRule="auto"/>
        <w:ind w:firstLine="0"/>
        <w:jc w:val="center"/>
        <w:outlineLvl w:val="9"/>
      </w:pPr>
      <w:r>
        <w:rPr>
          <w:rFonts w:ascii="宋体" w:hAnsi="宋体" w:eastAsia="宋体" w:cs="宋体"/>
          <w:color w:val="000000"/>
          <w:sz w:val="21"/>
        </w:rPr>
        <w:t xml:space="preserve"> </w:t>
      </w:r>
    </w:p>
    <w:p w14:paraId="3EA12654">
      <w:pPr>
        <w:spacing w:before="0" w:after="0" w:line="240" w:lineRule="auto"/>
        <w:ind w:firstLine="0"/>
        <w:jc w:val="center"/>
        <w:outlineLvl w:val="9"/>
      </w:pPr>
      <w:r>
        <w:rPr>
          <w:rFonts w:ascii="宋体" w:hAnsi="宋体" w:eastAsia="宋体" w:cs="宋体"/>
          <w:color w:val="000000"/>
          <w:sz w:val="21"/>
        </w:rPr>
        <w:t xml:space="preserve"> </w:t>
      </w:r>
    </w:p>
    <w:p w14:paraId="42D3236C">
      <w:pPr>
        <w:spacing w:before="0" w:after="0" w:line="240" w:lineRule="auto"/>
        <w:ind w:firstLine="0"/>
        <w:jc w:val="center"/>
        <w:outlineLvl w:val="9"/>
      </w:pPr>
      <w:r>
        <w:rPr>
          <w:rFonts w:ascii="宋体" w:hAnsi="宋体" w:eastAsia="宋体" w:cs="宋体"/>
          <w:color w:val="000000"/>
          <w:sz w:val="21"/>
        </w:rPr>
        <w:t xml:space="preserve"> </w:t>
      </w:r>
    </w:p>
    <w:p w14:paraId="040F6FC9">
      <w:pPr>
        <w:spacing w:before="0" w:after="0" w:line="240" w:lineRule="auto"/>
        <w:ind w:firstLine="0"/>
        <w:jc w:val="center"/>
        <w:outlineLvl w:val="9"/>
      </w:pPr>
      <w:r>
        <w:rPr>
          <w:rFonts w:ascii="宋体" w:hAnsi="宋体" w:eastAsia="宋体" w:cs="宋体"/>
          <w:color w:val="000000"/>
          <w:sz w:val="21"/>
        </w:rPr>
        <w:t xml:space="preserve"> </w:t>
      </w:r>
    </w:p>
    <w:p w14:paraId="4DC75C21">
      <w:pPr>
        <w:spacing w:before="0" w:after="0" w:line="240" w:lineRule="auto"/>
        <w:ind w:firstLine="0"/>
        <w:jc w:val="center"/>
        <w:outlineLvl w:val="9"/>
      </w:pPr>
      <w:r>
        <w:rPr>
          <w:rFonts w:ascii="宋体" w:hAnsi="宋体" w:eastAsia="宋体" w:cs="宋体"/>
          <w:color w:val="000000"/>
          <w:sz w:val="21"/>
        </w:rPr>
        <w:t xml:space="preserve"> </w:t>
      </w:r>
    </w:p>
    <w:p w14:paraId="2C5E727E">
      <w:pPr>
        <w:spacing w:before="0" w:after="0" w:line="240" w:lineRule="auto"/>
        <w:ind w:firstLine="0"/>
        <w:jc w:val="center"/>
        <w:outlineLvl w:val="9"/>
      </w:pPr>
      <w:r>
        <w:rPr>
          <w:rFonts w:ascii="宋体" w:hAnsi="宋体" w:eastAsia="宋体" w:cs="宋体"/>
          <w:color w:val="000000"/>
          <w:sz w:val="21"/>
        </w:rPr>
        <w:t xml:space="preserve"> </w:t>
      </w:r>
    </w:p>
    <w:p w14:paraId="6D86C5DC">
      <w:pPr>
        <w:spacing w:before="0" w:after="0" w:line="240" w:lineRule="auto"/>
        <w:ind w:firstLine="0"/>
        <w:jc w:val="center"/>
        <w:outlineLvl w:val="9"/>
      </w:pPr>
      <w:r>
        <w:rPr>
          <w:rFonts w:ascii="宋体" w:hAnsi="宋体" w:eastAsia="宋体" w:cs="宋体"/>
          <w:color w:val="000000"/>
          <w:sz w:val="21"/>
        </w:rPr>
        <w:t xml:space="preserve"> </w:t>
      </w:r>
    </w:p>
    <w:p w14:paraId="4598332A">
      <w:pPr>
        <w:spacing w:before="0" w:after="0" w:line="240" w:lineRule="auto"/>
        <w:ind w:firstLine="0"/>
        <w:jc w:val="center"/>
        <w:outlineLvl w:val="9"/>
      </w:pPr>
      <w:r>
        <w:rPr>
          <w:rFonts w:ascii="宋体" w:hAnsi="宋体" w:eastAsia="宋体" w:cs="宋体"/>
          <w:color w:val="000000"/>
          <w:sz w:val="21"/>
        </w:rPr>
        <w:t xml:space="preserve"> </w:t>
      </w:r>
    </w:p>
    <w:p w14:paraId="49AF8657">
      <w:pPr>
        <w:spacing w:before="0" w:after="0" w:line="240" w:lineRule="auto"/>
        <w:ind w:firstLine="0"/>
        <w:jc w:val="center"/>
        <w:outlineLvl w:val="9"/>
      </w:pPr>
      <w:r>
        <w:rPr>
          <w:rFonts w:ascii="宋体" w:hAnsi="宋体" w:eastAsia="宋体" w:cs="宋体"/>
          <w:color w:val="000000"/>
          <w:sz w:val="21"/>
        </w:rPr>
        <w:t xml:space="preserve"> </w:t>
      </w:r>
    </w:p>
    <w:p w14:paraId="3DBCE268">
      <w:pPr>
        <w:spacing w:before="0" w:after="0" w:line="240" w:lineRule="auto"/>
        <w:ind w:firstLine="0"/>
        <w:jc w:val="center"/>
        <w:outlineLvl w:val="9"/>
      </w:pPr>
      <w:r>
        <w:rPr>
          <w:rFonts w:ascii="宋体" w:hAnsi="宋体" w:eastAsia="宋体" w:cs="宋体"/>
          <w:color w:val="000000"/>
          <w:sz w:val="21"/>
        </w:rPr>
        <w:t xml:space="preserve"> </w:t>
      </w:r>
    </w:p>
    <w:p w14:paraId="1766B029">
      <w:pPr>
        <w:spacing w:before="0" w:after="0" w:line="240" w:lineRule="auto"/>
        <w:ind w:firstLine="0"/>
        <w:jc w:val="center"/>
        <w:outlineLvl w:val="9"/>
      </w:pPr>
      <w:r>
        <w:rPr>
          <w:rFonts w:ascii="宋体" w:hAnsi="宋体" w:eastAsia="宋体" w:cs="宋体"/>
          <w:color w:val="000000"/>
          <w:sz w:val="21"/>
        </w:rPr>
        <w:t xml:space="preserve"> </w:t>
      </w:r>
    </w:p>
    <w:p w14:paraId="7C17DBE7">
      <w:pPr>
        <w:spacing w:before="0" w:after="0" w:line="240" w:lineRule="auto"/>
        <w:ind w:firstLine="0"/>
        <w:jc w:val="center"/>
        <w:outlineLvl w:val="9"/>
      </w:pPr>
      <w:r>
        <w:rPr>
          <w:rFonts w:ascii="宋体" w:hAnsi="宋体" w:eastAsia="宋体" w:cs="宋体"/>
          <w:color w:val="000000"/>
          <w:sz w:val="21"/>
        </w:rPr>
        <w:t xml:space="preserve"> </w:t>
      </w:r>
    </w:p>
    <w:p w14:paraId="6065B865">
      <w:pPr>
        <w:spacing w:before="0" w:after="0" w:line="240" w:lineRule="auto"/>
        <w:ind w:firstLine="0"/>
        <w:jc w:val="center"/>
        <w:outlineLvl w:val="9"/>
      </w:pPr>
      <w:r>
        <w:rPr>
          <w:rFonts w:ascii="方正楷体_GBK" w:hAnsi="方正楷体_GBK" w:eastAsia="方正楷体_GBK" w:cs="方正楷体_GBK"/>
          <w:b/>
          <w:color w:val="000000"/>
          <w:sz w:val="32"/>
        </w:rPr>
        <w:t>曹妃甸区工商业联合会编制</w:t>
      </w:r>
    </w:p>
    <w:p w14:paraId="283F1064">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曹妃甸区财政局审核</w:t>
      </w:r>
    </w:p>
    <w:p w14:paraId="01AFD665">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C84768E">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14:paraId="6EF75CDF">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14:paraId="16BECF6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311800C">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14:paraId="10D6C526">
      <w:pPr>
        <w:pStyle w:val="8"/>
      </w:pPr>
      <w:r>
        <w:t>1、参政议政。参与全区政治、经济、社会生活中的主要问题的政治协商，发挥民主监督的作用。2、做好工商界代表人士政治安排的推荐工作。3、发扬自我教育的优良传统，宣传、贯彻党和国家的方针、政策，加强和改进思想政治工作，坚持对广大会员进行团结、帮助、引导、教育，促进非公有制经济健康发展，提倡爱国、敬业、守法，提高会员素质，培养积极分子队伍。4、引导会员积极参加国家经济建设，推进社会主义市场经济体制逐步完善，促进社会全面发展。5、指导同业公会和行业商会等专业组织的工作。6、代表并维护会员的合法权益，反映会员的意见、要求和建议；为会员提供有关证明，协调关系，参与调解经济纠纷。7、引导会员把自身企业的发展与国家发展结合起来，把个人富裕与全体人民的共同富裕结合起来，弘扬中华民族传统美德，先富帮后富，走共同富裕的道路，热心社会公益事业，积极参加扶贫光彩事业。8、为会员提供信息、培训、科技、管理、法律、会计、审计融资、咨询等服务，帮助会员改进经营管理，完善财会制度，照章纳税，提高自身素质和生产技术、产品质量。9、增进与香港、澳门特别行政区、台湾地区和世界各国工商社团及工商经济界人士的联系和友谊，促进经济、技术和贸易合作的发展，协助引进资金、技术、人才。10、为会员提供有关证明，协调关系，调解经济纠纷。11、办好会办企业、事业。12、承办政府交办和有关部门委托事项。</w:t>
      </w:r>
    </w:p>
    <w:p w14:paraId="3EF7E336">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14:paraId="0D4D7A4C">
      <w:pPr>
        <w:pStyle w:val="9"/>
      </w:pPr>
      <w:r>
        <w:t>一、组织民营企业家参加活动</w:t>
      </w:r>
    </w:p>
    <w:p w14:paraId="0E7C3CB4">
      <w:pPr>
        <w:pStyle w:val="9"/>
      </w:pPr>
      <w:r>
        <w:t>（一）加大招商的工作力度，督促项目落地。</w:t>
      </w:r>
    </w:p>
    <w:p w14:paraId="625FD30E">
      <w:pPr>
        <w:pStyle w:val="9"/>
      </w:pPr>
      <w:r>
        <w:t>绩效目标：利用各种渠道广泛招商，组织相关企业参加各种招商活动。</w:t>
      </w:r>
    </w:p>
    <w:p w14:paraId="785FFADB">
      <w:pPr>
        <w:pStyle w:val="9"/>
      </w:pPr>
      <w:r>
        <w:t>绩效目标：组织相关企业参加各种招商活动5次以上。</w:t>
      </w:r>
    </w:p>
    <w:p w14:paraId="592692B3">
      <w:pPr>
        <w:pStyle w:val="9"/>
      </w:pPr>
      <w:r>
        <w:t>（二）加强全区工商联自身组织建设。</w:t>
      </w:r>
    </w:p>
    <w:p w14:paraId="7779A310">
      <w:pPr>
        <w:pStyle w:val="9"/>
      </w:pPr>
      <w:r>
        <w:t>绩效目标：发展工商联会员、指导基层工商联组织建设，提升民营企业家素质，推进民营企业文化建设，提升工商联工作影响力。</w:t>
      </w:r>
    </w:p>
    <w:p w14:paraId="4A04D4C4">
      <w:pPr>
        <w:pStyle w:val="9"/>
      </w:pPr>
      <w:r>
        <w:t xml:space="preserve">绩效指标：贯彻省市工商联组织建设工作方针，指导全区级组织的建设，维护会员合法权益，组织培训、思想教育和基层建设工作，对非公有制经济优秀事迹进行宣传。全年培训会员90人以上，会员培训合格率95%以上，会员参加培训率100%。 </w:t>
      </w:r>
    </w:p>
    <w:p w14:paraId="2809710E">
      <w:pPr>
        <w:pStyle w:val="9"/>
      </w:pPr>
      <w:r>
        <w:t>（三）继续做好培训和考察学习工作。</w:t>
      </w:r>
    </w:p>
    <w:p w14:paraId="529D7857">
      <w:pPr>
        <w:pStyle w:val="9"/>
      </w:pPr>
      <w:r>
        <w:t>绩效目标：不断加强培训工作，通过培养教育，不断促进非公经济健康发展和非公经济人士健康成长。</w:t>
      </w:r>
    </w:p>
    <w:p w14:paraId="76A23FC1">
      <w:pPr>
        <w:pStyle w:val="9"/>
      </w:pPr>
      <w:r>
        <w:t xml:space="preserve">绩效目标：充分发挥工商联组织在非公有制经济人士思想政治工作中的主渠道作用，坚持“以真诚服务吸引会员、以丰富活动凝聚会员、以科学制度管理会员”的方针，建立健全非公有制经济代表人士培养使用机制，全年培训会员5次以上，培训会员100人以上，会员参加培训率100%。 </w:t>
      </w:r>
    </w:p>
    <w:p w14:paraId="5E3B7E5D">
      <w:pPr>
        <w:pStyle w:val="9"/>
      </w:pPr>
      <w:r>
        <w:t>二、民企党建中心等办公区域修缮     (一）以党建为切入点和抓手点，将民营经济体的党建工作纳入服务中，集中开展党建教育；积极为企业协调解决信息咨询、急难问题、法律援助等实际需求。</w:t>
      </w:r>
    </w:p>
    <w:p w14:paraId="6C687BB3">
      <w:pPr>
        <w:pStyle w:val="9"/>
      </w:pPr>
      <w:r>
        <w:t>（二）引领指导民营企业开展党建工作，同时成为区委非公党建工作开展提供有力抓手，实现非公经济企业党建与经济工作互促互赢。</w:t>
      </w:r>
    </w:p>
    <w:p w14:paraId="2C88A14F">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14:paraId="5231C2F0">
      <w:pPr>
        <w:pStyle w:val="10"/>
      </w:pPr>
      <w:r>
        <w:t>(一)完善制度建设。制定完善预算绩效管理制度、搭建绩效管理运行体系，科学设定绩效指标和目标，从源头上保障绩效管理的有效落实，制定资金使用和管理办法，确保资金支出有序进行，为全年预算绩效目标的实现奠定制度基础。</w:t>
      </w:r>
    </w:p>
    <w:p w14:paraId="121FB063">
      <w:pPr>
        <w:pStyle w:val="10"/>
      </w:pPr>
      <w:r>
        <w:t>（二）加强支出管理。以项目预算绩效为依据，优化支出结构，预算编制做细做实，支出执行有章可循。资金支出安排科学合理，为项目组织实施保驾护航。</w:t>
      </w:r>
    </w:p>
    <w:p w14:paraId="4C4BF82D">
      <w:pPr>
        <w:pStyle w:val="10"/>
      </w:pPr>
      <w:r>
        <w:t>（三）加强绩效运行监控。按要求开展绩效运行监控，发现问题及时采取措施，确保绩效目标如期保质实现。</w:t>
      </w:r>
    </w:p>
    <w:p w14:paraId="034CFE62">
      <w:pPr>
        <w:pStyle w:val="10"/>
      </w:pPr>
      <w:r>
        <w:t>（四）做好绩效自评。按要求开展上年度部门预算绩效自评和重点评价工作，对评价中发现的问题及时整改，调整优化项目支出结构，提高财政资金使用效益。</w:t>
      </w:r>
    </w:p>
    <w:p w14:paraId="480B9F17">
      <w:pPr>
        <w:pStyle w:val="10"/>
      </w:pPr>
      <w:r>
        <w:t>（五）规范财务资产管理。完善财务管理制度，严格审批程序，加强固定资产登记、使用和报废处置管理，做到支出合理，物尽其用。</w:t>
      </w:r>
    </w:p>
    <w:p w14:paraId="256EC790">
      <w:pPr>
        <w:pStyle w:val="10"/>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6270206A">
      <w:pPr>
        <w:pStyle w:val="10"/>
      </w:pPr>
      <w:r>
        <w:t>（七）加强宣传培训调研等。加强人员培训，提高本部门职工业务素质；加强调研，提出优化财政资金配置、提高资金使用效益的意见；加大宣传力度，强化预算绩效管理意识，促进预算绩效管理水平进一步提升</w:t>
      </w:r>
    </w:p>
    <w:p w14:paraId="1D36D993">
      <w:pPr>
        <w:spacing w:before="0" w:after="0" w:line="240" w:lineRule="auto"/>
        <w:ind w:firstLine="0"/>
        <w:jc w:val="center"/>
        <w:outlineLvl w:val="9"/>
        <w:sectPr>
          <w:footerReference r:id="rId3" w:type="default"/>
          <w:footerReference r:id="rId4" w:type="even"/>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14:paraId="05497477">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795B4EC7">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5968C5D9">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1A34C816">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14:paraId="52FCD80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CCB9122">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14:paraId="2B4D46DD">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14:paraId="1053E9E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FAB9E41">
      <w:pPr>
        <w:spacing w:before="0" w:after="0"/>
        <w:ind w:firstLine="560"/>
        <w:jc w:val="left"/>
        <w:outlineLvl w:val="3"/>
      </w:pPr>
      <w:bookmarkStart w:id="3" w:name="_Toc_4_4_0000000004"/>
      <w:r>
        <w:rPr>
          <w:rFonts w:ascii="方正仿宋_GBK" w:hAnsi="方正仿宋_GBK" w:eastAsia="方正仿宋_GBK" w:cs="方正仿宋_GBK"/>
          <w:color w:val="000000"/>
          <w:sz w:val="28"/>
        </w:rPr>
        <w:t>1.民企党建中心等办公区域修缮绩效目标表</w:t>
      </w:r>
      <w:bookmarkEnd w:id="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10192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F428A11">
            <w:pPr>
              <w:pStyle w:val="12"/>
            </w:pPr>
            <w:r>
              <w:t>714001曹妃甸区工商业联合会本级</w:t>
            </w:r>
          </w:p>
        </w:tc>
        <w:tc>
          <w:tcPr>
            <w:tcW w:w="1843" w:type="dxa"/>
            <w:tcBorders>
              <w:top w:val="single" w:color="FFFFFF" w:sz="6" w:space="0"/>
              <w:left w:val="single" w:color="FFFFFF" w:sz="6" w:space="0"/>
              <w:right w:val="single" w:color="FFFFFF" w:sz="6" w:space="0"/>
            </w:tcBorders>
            <w:vAlign w:val="center"/>
          </w:tcPr>
          <w:p w14:paraId="66468544">
            <w:pPr>
              <w:pStyle w:val="11"/>
            </w:pPr>
            <w:r>
              <w:t>单位：万元</w:t>
            </w:r>
          </w:p>
        </w:tc>
      </w:tr>
      <w:tr w14:paraId="733120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57C672">
            <w:pPr>
              <w:pStyle w:val="14"/>
            </w:pPr>
            <w:r>
              <w:t>项目编码</w:t>
            </w:r>
          </w:p>
        </w:tc>
        <w:tc>
          <w:tcPr>
            <w:tcW w:w="2608" w:type="dxa"/>
            <w:gridSpan w:val="2"/>
            <w:vAlign w:val="center"/>
          </w:tcPr>
          <w:p w14:paraId="60B4646A">
            <w:pPr>
              <w:pStyle w:val="13"/>
            </w:pPr>
            <w:r>
              <w:t>13020925P00150410001C</w:t>
            </w:r>
          </w:p>
        </w:tc>
        <w:tc>
          <w:tcPr>
            <w:tcW w:w="1587" w:type="dxa"/>
            <w:vAlign w:val="center"/>
          </w:tcPr>
          <w:p w14:paraId="12B6A0C9">
            <w:pPr>
              <w:pStyle w:val="14"/>
            </w:pPr>
            <w:r>
              <w:t>项目名称</w:t>
            </w:r>
          </w:p>
        </w:tc>
        <w:tc>
          <w:tcPr>
            <w:tcW w:w="4423" w:type="dxa"/>
            <w:gridSpan w:val="3"/>
            <w:vAlign w:val="center"/>
          </w:tcPr>
          <w:p w14:paraId="46B439EA">
            <w:pPr>
              <w:pStyle w:val="13"/>
            </w:pPr>
            <w:r>
              <w:t>民企党建中心等办公区域修缮</w:t>
            </w:r>
          </w:p>
        </w:tc>
      </w:tr>
      <w:tr w14:paraId="47473B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3F9A5B">
            <w:pPr>
              <w:pStyle w:val="14"/>
            </w:pPr>
            <w:r>
              <w:t>预算规模及资金用途</w:t>
            </w:r>
          </w:p>
        </w:tc>
        <w:tc>
          <w:tcPr>
            <w:tcW w:w="1276" w:type="dxa"/>
            <w:vAlign w:val="center"/>
          </w:tcPr>
          <w:p w14:paraId="3E43B7CB">
            <w:pPr>
              <w:pStyle w:val="14"/>
            </w:pPr>
            <w:r>
              <w:t>预算数</w:t>
            </w:r>
          </w:p>
        </w:tc>
        <w:tc>
          <w:tcPr>
            <w:tcW w:w="1332" w:type="dxa"/>
            <w:vAlign w:val="center"/>
          </w:tcPr>
          <w:p w14:paraId="519536FE">
            <w:pPr>
              <w:pStyle w:val="13"/>
            </w:pPr>
            <w:r>
              <w:t>10.60</w:t>
            </w:r>
          </w:p>
        </w:tc>
        <w:tc>
          <w:tcPr>
            <w:tcW w:w="1587" w:type="dxa"/>
            <w:vAlign w:val="center"/>
          </w:tcPr>
          <w:p w14:paraId="4D97FD9C">
            <w:pPr>
              <w:pStyle w:val="14"/>
            </w:pPr>
            <w:r>
              <w:t>其中：财政    资金</w:t>
            </w:r>
          </w:p>
        </w:tc>
        <w:tc>
          <w:tcPr>
            <w:tcW w:w="1304" w:type="dxa"/>
            <w:vAlign w:val="center"/>
          </w:tcPr>
          <w:p w14:paraId="62B8EB4C">
            <w:pPr>
              <w:pStyle w:val="13"/>
            </w:pPr>
            <w:r>
              <w:t>10.60</w:t>
            </w:r>
          </w:p>
        </w:tc>
        <w:tc>
          <w:tcPr>
            <w:tcW w:w="1276" w:type="dxa"/>
            <w:vAlign w:val="center"/>
          </w:tcPr>
          <w:p w14:paraId="46E684D1">
            <w:pPr>
              <w:pStyle w:val="14"/>
            </w:pPr>
            <w:r>
              <w:t>其他资金</w:t>
            </w:r>
          </w:p>
        </w:tc>
        <w:tc>
          <w:tcPr>
            <w:tcW w:w="1843" w:type="dxa"/>
            <w:vAlign w:val="center"/>
          </w:tcPr>
          <w:p w14:paraId="146A7146">
            <w:pPr>
              <w:pStyle w:val="13"/>
            </w:pPr>
            <w:r>
              <w:t xml:space="preserve"> </w:t>
            </w:r>
          </w:p>
        </w:tc>
      </w:tr>
      <w:tr w14:paraId="7361EC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0984D9"/>
        </w:tc>
        <w:tc>
          <w:tcPr>
            <w:tcW w:w="8618" w:type="dxa"/>
            <w:gridSpan w:val="6"/>
            <w:vAlign w:val="center"/>
          </w:tcPr>
          <w:p w14:paraId="56E53603">
            <w:pPr>
              <w:pStyle w:val="13"/>
            </w:pPr>
            <w:r>
              <w:t>引领民营企业党建工作、房屋修缮及设备购置</w:t>
            </w:r>
          </w:p>
        </w:tc>
      </w:tr>
      <w:tr w14:paraId="1816A2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C8A80C">
            <w:pPr>
              <w:pStyle w:val="14"/>
            </w:pPr>
            <w:r>
              <w:t>资金支出计划（%）</w:t>
            </w:r>
          </w:p>
        </w:tc>
        <w:tc>
          <w:tcPr>
            <w:tcW w:w="2608" w:type="dxa"/>
            <w:gridSpan w:val="2"/>
            <w:vAlign w:val="center"/>
          </w:tcPr>
          <w:p w14:paraId="2B990E9B">
            <w:pPr>
              <w:pStyle w:val="14"/>
            </w:pPr>
            <w:r>
              <w:t>3月底</w:t>
            </w:r>
          </w:p>
        </w:tc>
        <w:tc>
          <w:tcPr>
            <w:tcW w:w="1587" w:type="dxa"/>
            <w:vAlign w:val="center"/>
          </w:tcPr>
          <w:p w14:paraId="3B4264ED">
            <w:pPr>
              <w:pStyle w:val="14"/>
            </w:pPr>
            <w:r>
              <w:t>6月底</w:t>
            </w:r>
          </w:p>
        </w:tc>
        <w:tc>
          <w:tcPr>
            <w:tcW w:w="1304" w:type="dxa"/>
            <w:vAlign w:val="center"/>
          </w:tcPr>
          <w:p w14:paraId="510DCDBA">
            <w:pPr>
              <w:pStyle w:val="14"/>
            </w:pPr>
            <w:r>
              <w:t>10月底</w:t>
            </w:r>
          </w:p>
        </w:tc>
        <w:tc>
          <w:tcPr>
            <w:tcW w:w="3119" w:type="dxa"/>
            <w:gridSpan w:val="2"/>
            <w:vAlign w:val="center"/>
          </w:tcPr>
          <w:p w14:paraId="329C95B0">
            <w:pPr>
              <w:pStyle w:val="14"/>
            </w:pPr>
            <w:r>
              <w:t>12月底</w:t>
            </w:r>
          </w:p>
        </w:tc>
      </w:tr>
      <w:tr w14:paraId="3306C3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2194B5"/>
        </w:tc>
        <w:tc>
          <w:tcPr>
            <w:tcW w:w="2608" w:type="dxa"/>
            <w:gridSpan w:val="2"/>
            <w:vAlign w:val="center"/>
          </w:tcPr>
          <w:p w14:paraId="354A0D28">
            <w:pPr>
              <w:pStyle w:val="15"/>
            </w:pPr>
            <w:r>
              <w:t>30%</w:t>
            </w:r>
          </w:p>
        </w:tc>
        <w:tc>
          <w:tcPr>
            <w:tcW w:w="1587" w:type="dxa"/>
            <w:vAlign w:val="center"/>
          </w:tcPr>
          <w:p w14:paraId="4D3EB66C">
            <w:pPr>
              <w:pStyle w:val="15"/>
            </w:pPr>
            <w:r>
              <w:t>60%</w:t>
            </w:r>
          </w:p>
        </w:tc>
        <w:tc>
          <w:tcPr>
            <w:tcW w:w="1304" w:type="dxa"/>
            <w:vAlign w:val="center"/>
          </w:tcPr>
          <w:p w14:paraId="4BD24367">
            <w:pPr>
              <w:pStyle w:val="15"/>
            </w:pPr>
            <w:r>
              <w:t>80%</w:t>
            </w:r>
          </w:p>
        </w:tc>
        <w:tc>
          <w:tcPr>
            <w:tcW w:w="3119" w:type="dxa"/>
            <w:gridSpan w:val="2"/>
            <w:vAlign w:val="center"/>
          </w:tcPr>
          <w:p w14:paraId="4D244F04">
            <w:pPr>
              <w:pStyle w:val="15"/>
            </w:pPr>
            <w:r>
              <w:t>100%</w:t>
            </w:r>
          </w:p>
        </w:tc>
      </w:tr>
      <w:tr w14:paraId="06761F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7C8ADA">
            <w:pPr>
              <w:pStyle w:val="14"/>
            </w:pPr>
            <w:r>
              <w:t>绩效目标</w:t>
            </w:r>
          </w:p>
        </w:tc>
        <w:tc>
          <w:tcPr>
            <w:tcW w:w="8618" w:type="dxa"/>
            <w:gridSpan w:val="6"/>
            <w:vAlign w:val="center"/>
          </w:tcPr>
          <w:p w14:paraId="2D030808">
            <w:pPr>
              <w:pStyle w:val="13"/>
            </w:pPr>
            <w:r>
              <w:t>1.按照同级党委安排参与非公有制企业党建工作，引导非公有制经济人士支持企业党建工作、在企业建立工会等群团组织，并为其开展活动、发挥作用提供必要条件，加强企业文化建设。</w:t>
            </w:r>
          </w:p>
        </w:tc>
      </w:tr>
    </w:tbl>
    <w:p w14:paraId="5516109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C2063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6335AE">
            <w:pPr>
              <w:pStyle w:val="14"/>
            </w:pPr>
            <w:r>
              <w:t>一级指标</w:t>
            </w:r>
          </w:p>
        </w:tc>
        <w:tc>
          <w:tcPr>
            <w:tcW w:w="1276" w:type="dxa"/>
            <w:vAlign w:val="center"/>
          </w:tcPr>
          <w:p w14:paraId="063754E8">
            <w:pPr>
              <w:pStyle w:val="14"/>
            </w:pPr>
            <w:r>
              <w:t>二级指标</w:t>
            </w:r>
          </w:p>
        </w:tc>
        <w:tc>
          <w:tcPr>
            <w:tcW w:w="1332" w:type="dxa"/>
            <w:vAlign w:val="center"/>
          </w:tcPr>
          <w:p w14:paraId="16C57154">
            <w:pPr>
              <w:pStyle w:val="14"/>
            </w:pPr>
            <w:r>
              <w:t>三级指标</w:t>
            </w:r>
          </w:p>
        </w:tc>
        <w:tc>
          <w:tcPr>
            <w:tcW w:w="2891" w:type="dxa"/>
            <w:vAlign w:val="center"/>
          </w:tcPr>
          <w:p w14:paraId="31C4DA7A">
            <w:pPr>
              <w:pStyle w:val="14"/>
            </w:pPr>
            <w:r>
              <w:t>绩效指标描述</w:t>
            </w:r>
          </w:p>
        </w:tc>
        <w:tc>
          <w:tcPr>
            <w:tcW w:w="1276" w:type="dxa"/>
            <w:vAlign w:val="center"/>
          </w:tcPr>
          <w:p w14:paraId="5E0A893D">
            <w:pPr>
              <w:pStyle w:val="14"/>
            </w:pPr>
            <w:r>
              <w:t>指标值</w:t>
            </w:r>
          </w:p>
        </w:tc>
        <w:tc>
          <w:tcPr>
            <w:tcW w:w="1843" w:type="dxa"/>
            <w:vAlign w:val="center"/>
          </w:tcPr>
          <w:p w14:paraId="6C836395">
            <w:pPr>
              <w:pStyle w:val="14"/>
            </w:pPr>
            <w:r>
              <w:t>指标值确定依据</w:t>
            </w:r>
          </w:p>
        </w:tc>
      </w:tr>
      <w:tr w14:paraId="3A38C9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E06B08">
            <w:pPr>
              <w:pStyle w:val="15"/>
            </w:pPr>
            <w:r>
              <w:t>产出指标</w:t>
            </w:r>
          </w:p>
        </w:tc>
        <w:tc>
          <w:tcPr>
            <w:tcW w:w="1276" w:type="dxa"/>
            <w:vAlign w:val="center"/>
          </w:tcPr>
          <w:p w14:paraId="621E280A">
            <w:pPr>
              <w:pStyle w:val="13"/>
            </w:pPr>
            <w:r>
              <w:t>数量指标</w:t>
            </w:r>
          </w:p>
        </w:tc>
        <w:tc>
          <w:tcPr>
            <w:tcW w:w="1332" w:type="dxa"/>
            <w:vAlign w:val="center"/>
          </w:tcPr>
          <w:p w14:paraId="5AB5D317">
            <w:pPr>
              <w:pStyle w:val="13"/>
            </w:pPr>
            <w:r>
              <w:t>组织党建活动次数（次）</w:t>
            </w:r>
          </w:p>
        </w:tc>
        <w:tc>
          <w:tcPr>
            <w:tcW w:w="2891" w:type="dxa"/>
            <w:vAlign w:val="center"/>
          </w:tcPr>
          <w:p w14:paraId="1B544063">
            <w:pPr>
              <w:pStyle w:val="13"/>
            </w:pPr>
            <w:r>
              <w:t>组织党建活动次数（次）</w:t>
            </w:r>
          </w:p>
        </w:tc>
        <w:tc>
          <w:tcPr>
            <w:tcW w:w="1276" w:type="dxa"/>
            <w:vAlign w:val="center"/>
          </w:tcPr>
          <w:p w14:paraId="14413635">
            <w:pPr>
              <w:pStyle w:val="13"/>
            </w:pPr>
            <w:r>
              <w:t>≥10次</w:t>
            </w:r>
          </w:p>
        </w:tc>
        <w:tc>
          <w:tcPr>
            <w:tcW w:w="1843" w:type="dxa"/>
            <w:vAlign w:val="center"/>
          </w:tcPr>
          <w:p w14:paraId="6776AD3B">
            <w:pPr>
              <w:pStyle w:val="13"/>
            </w:pPr>
            <w:r>
              <w:t>根据年初预算安排</w:t>
            </w:r>
          </w:p>
        </w:tc>
      </w:tr>
      <w:tr w14:paraId="6AD74D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09AC97"/>
        </w:tc>
        <w:tc>
          <w:tcPr>
            <w:tcW w:w="1276" w:type="dxa"/>
            <w:vAlign w:val="center"/>
          </w:tcPr>
          <w:p w14:paraId="4382CDE9">
            <w:pPr>
              <w:pStyle w:val="13"/>
            </w:pPr>
            <w:r>
              <w:t>时效指标</w:t>
            </w:r>
          </w:p>
        </w:tc>
        <w:tc>
          <w:tcPr>
            <w:tcW w:w="1332" w:type="dxa"/>
            <w:vAlign w:val="center"/>
          </w:tcPr>
          <w:p w14:paraId="0250D0F6">
            <w:pPr>
              <w:pStyle w:val="13"/>
            </w:pPr>
            <w:r>
              <w:t>任务完成及时率</w:t>
            </w:r>
          </w:p>
        </w:tc>
        <w:tc>
          <w:tcPr>
            <w:tcW w:w="2891" w:type="dxa"/>
            <w:vAlign w:val="center"/>
          </w:tcPr>
          <w:p w14:paraId="18CED979">
            <w:pPr>
              <w:pStyle w:val="13"/>
            </w:pPr>
            <w:r>
              <w:t>当年完成</w:t>
            </w:r>
          </w:p>
        </w:tc>
        <w:tc>
          <w:tcPr>
            <w:tcW w:w="1276" w:type="dxa"/>
            <w:vAlign w:val="center"/>
          </w:tcPr>
          <w:p w14:paraId="31D541FA">
            <w:pPr>
              <w:pStyle w:val="13"/>
            </w:pPr>
            <w:r>
              <w:t>≥100</w:t>
            </w:r>
          </w:p>
        </w:tc>
        <w:tc>
          <w:tcPr>
            <w:tcW w:w="1843" w:type="dxa"/>
            <w:vAlign w:val="center"/>
          </w:tcPr>
          <w:p w14:paraId="60B2997B">
            <w:pPr>
              <w:pStyle w:val="13"/>
            </w:pPr>
            <w:r>
              <w:t>根据年初预算安排</w:t>
            </w:r>
          </w:p>
        </w:tc>
      </w:tr>
      <w:tr w14:paraId="3DDB73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123581"/>
        </w:tc>
        <w:tc>
          <w:tcPr>
            <w:tcW w:w="1276" w:type="dxa"/>
            <w:vAlign w:val="center"/>
          </w:tcPr>
          <w:p w14:paraId="447BAFF5">
            <w:pPr>
              <w:pStyle w:val="13"/>
            </w:pPr>
            <w:r>
              <w:t>成本指标</w:t>
            </w:r>
          </w:p>
        </w:tc>
        <w:tc>
          <w:tcPr>
            <w:tcW w:w="1332" w:type="dxa"/>
            <w:vAlign w:val="center"/>
          </w:tcPr>
          <w:p w14:paraId="4F11E2C8">
            <w:pPr>
              <w:pStyle w:val="13"/>
            </w:pPr>
            <w:r>
              <w:t>建设及运营费用</w:t>
            </w:r>
          </w:p>
        </w:tc>
        <w:tc>
          <w:tcPr>
            <w:tcW w:w="2891" w:type="dxa"/>
            <w:vAlign w:val="center"/>
          </w:tcPr>
          <w:p w14:paraId="561AD017">
            <w:pPr>
              <w:pStyle w:val="13"/>
            </w:pPr>
            <w:r>
              <w:t>严格按照有关规定，厉行节约，不超预算，不超标准</w:t>
            </w:r>
            <w:bookmarkStart w:id="5" w:name="_GoBack"/>
            <w:bookmarkEnd w:id="5"/>
          </w:p>
        </w:tc>
        <w:tc>
          <w:tcPr>
            <w:tcW w:w="1276" w:type="dxa"/>
            <w:vAlign w:val="center"/>
          </w:tcPr>
          <w:p w14:paraId="1B845857">
            <w:pPr>
              <w:pStyle w:val="13"/>
            </w:pPr>
            <w:r>
              <w:rPr>
                <w:rFonts w:hint="eastAsia"/>
                <w:lang w:eastAsia="zh-CN"/>
              </w:rPr>
              <w:t>≤</w:t>
            </w:r>
            <w:r>
              <w:t>10.6万元</w:t>
            </w:r>
          </w:p>
        </w:tc>
        <w:tc>
          <w:tcPr>
            <w:tcW w:w="1843" w:type="dxa"/>
            <w:vAlign w:val="center"/>
          </w:tcPr>
          <w:p w14:paraId="7EDB2946">
            <w:pPr>
              <w:pStyle w:val="13"/>
            </w:pPr>
            <w:r>
              <w:t>根据年初预算安排</w:t>
            </w:r>
          </w:p>
        </w:tc>
      </w:tr>
      <w:tr w14:paraId="2E4959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EEECD7">
            <w:pPr>
              <w:pStyle w:val="15"/>
            </w:pPr>
            <w:r>
              <w:t>效益指标</w:t>
            </w:r>
          </w:p>
        </w:tc>
        <w:tc>
          <w:tcPr>
            <w:tcW w:w="1276" w:type="dxa"/>
            <w:vAlign w:val="center"/>
          </w:tcPr>
          <w:p w14:paraId="38B79C02">
            <w:pPr>
              <w:pStyle w:val="13"/>
            </w:pPr>
            <w:r>
              <w:t>经济效益指标</w:t>
            </w:r>
          </w:p>
        </w:tc>
        <w:tc>
          <w:tcPr>
            <w:tcW w:w="1332" w:type="dxa"/>
            <w:vAlign w:val="center"/>
          </w:tcPr>
          <w:p w14:paraId="54C04DD0">
            <w:pPr>
              <w:pStyle w:val="13"/>
            </w:pPr>
            <w:r>
              <w:t>节约经费，认真完成工作</w:t>
            </w:r>
          </w:p>
        </w:tc>
        <w:tc>
          <w:tcPr>
            <w:tcW w:w="2891" w:type="dxa"/>
            <w:vAlign w:val="center"/>
          </w:tcPr>
          <w:p w14:paraId="0E4BCA22">
            <w:pPr>
              <w:pStyle w:val="13"/>
            </w:pPr>
            <w:r>
              <w:t>节约经费，认真完成工作</w:t>
            </w:r>
          </w:p>
        </w:tc>
        <w:tc>
          <w:tcPr>
            <w:tcW w:w="1276" w:type="dxa"/>
            <w:vAlign w:val="center"/>
          </w:tcPr>
          <w:p w14:paraId="1984C4B3">
            <w:pPr>
              <w:pStyle w:val="13"/>
            </w:pPr>
            <w:r>
              <w:t>≥90</w:t>
            </w:r>
          </w:p>
        </w:tc>
        <w:tc>
          <w:tcPr>
            <w:tcW w:w="1843" w:type="dxa"/>
            <w:vAlign w:val="center"/>
          </w:tcPr>
          <w:p w14:paraId="3B0651A9">
            <w:pPr>
              <w:pStyle w:val="13"/>
            </w:pPr>
            <w:r>
              <w:t>根据年初预算安排</w:t>
            </w:r>
          </w:p>
        </w:tc>
      </w:tr>
      <w:tr w14:paraId="3DF97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5A3860"/>
        </w:tc>
        <w:tc>
          <w:tcPr>
            <w:tcW w:w="1276" w:type="dxa"/>
            <w:vAlign w:val="center"/>
          </w:tcPr>
          <w:p w14:paraId="09BB7C37">
            <w:pPr>
              <w:pStyle w:val="13"/>
            </w:pPr>
            <w:r>
              <w:t>社会效益指标</w:t>
            </w:r>
          </w:p>
        </w:tc>
        <w:tc>
          <w:tcPr>
            <w:tcW w:w="1332" w:type="dxa"/>
            <w:vAlign w:val="center"/>
          </w:tcPr>
          <w:p w14:paraId="20667D8E">
            <w:pPr>
              <w:pStyle w:val="13"/>
            </w:pPr>
            <w:r>
              <w:t>解决企业诉求</w:t>
            </w:r>
          </w:p>
        </w:tc>
        <w:tc>
          <w:tcPr>
            <w:tcW w:w="2891" w:type="dxa"/>
            <w:vAlign w:val="center"/>
          </w:tcPr>
          <w:p w14:paraId="32AB5413">
            <w:pPr>
              <w:pStyle w:val="13"/>
            </w:pPr>
            <w:r>
              <w:t>引领指导民营企业开展党建工作，同时成为区委非公党建工作开展提供有力抓手，实现非公经济企业党建与经济工作互促双赢</w:t>
            </w:r>
          </w:p>
        </w:tc>
        <w:tc>
          <w:tcPr>
            <w:tcW w:w="1276" w:type="dxa"/>
            <w:vAlign w:val="center"/>
          </w:tcPr>
          <w:p w14:paraId="33C739BE">
            <w:pPr>
              <w:pStyle w:val="13"/>
            </w:pPr>
            <w:r>
              <w:t>≥10次</w:t>
            </w:r>
          </w:p>
        </w:tc>
        <w:tc>
          <w:tcPr>
            <w:tcW w:w="1843" w:type="dxa"/>
            <w:vAlign w:val="center"/>
          </w:tcPr>
          <w:p w14:paraId="0068B5B3">
            <w:pPr>
              <w:pStyle w:val="13"/>
            </w:pPr>
            <w:r>
              <w:t>根据年初预算安排</w:t>
            </w:r>
          </w:p>
        </w:tc>
      </w:tr>
      <w:tr w14:paraId="473E95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FE87F8"/>
        </w:tc>
        <w:tc>
          <w:tcPr>
            <w:tcW w:w="1276" w:type="dxa"/>
            <w:vAlign w:val="center"/>
          </w:tcPr>
          <w:p w14:paraId="101F646A">
            <w:pPr>
              <w:pStyle w:val="13"/>
            </w:pPr>
            <w:r>
              <w:t>生态效益指标</w:t>
            </w:r>
          </w:p>
        </w:tc>
        <w:tc>
          <w:tcPr>
            <w:tcW w:w="1332" w:type="dxa"/>
            <w:vAlign w:val="center"/>
          </w:tcPr>
          <w:p w14:paraId="2B73910F">
            <w:pPr>
              <w:pStyle w:val="13"/>
            </w:pPr>
            <w:r>
              <w:t>保障工作有效开展</w:t>
            </w:r>
          </w:p>
        </w:tc>
        <w:tc>
          <w:tcPr>
            <w:tcW w:w="2891" w:type="dxa"/>
            <w:vAlign w:val="center"/>
          </w:tcPr>
          <w:p w14:paraId="7C902AEA">
            <w:pPr>
              <w:pStyle w:val="13"/>
            </w:pPr>
            <w:r>
              <w:t>保障工作有效开展</w:t>
            </w:r>
          </w:p>
        </w:tc>
        <w:tc>
          <w:tcPr>
            <w:tcW w:w="1276" w:type="dxa"/>
            <w:vAlign w:val="center"/>
          </w:tcPr>
          <w:p w14:paraId="2BDFDD8B">
            <w:pPr>
              <w:pStyle w:val="13"/>
            </w:pPr>
            <w:r>
              <w:t>≥100</w:t>
            </w:r>
          </w:p>
        </w:tc>
        <w:tc>
          <w:tcPr>
            <w:tcW w:w="1843" w:type="dxa"/>
            <w:vAlign w:val="center"/>
          </w:tcPr>
          <w:p w14:paraId="7192D92E">
            <w:pPr>
              <w:pStyle w:val="13"/>
            </w:pPr>
            <w:r>
              <w:t>根据年初预算安排</w:t>
            </w:r>
          </w:p>
        </w:tc>
      </w:tr>
      <w:tr w14:paraId="2315A9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312D17"/>
        </w:tc>
        <w:tc>
          <w:tcPr>
            <w:tcW w:w="1276" w:type="dxa"/>
            <w:vAlign w:val="center"/>
          </w:tcPr>
          <w:p w14:paraId="238A08A6">
            <w:pPr>
              <w:pStyle w:val="13"/>
            </w:pPr>
            <w:r>
              <w:t>可持续影响指标</w:t>
            </w:r>
          </w:p>
        </w:tc>
        <w:tc>
          <w:tcPr>
            <w:tcW w:w="1332" w:type="dxa"/>
            <w:vAlign w:val="center"/>
          </w:tcPr>
          <w:p w14:paraId="68FE9CFE">
            <w:pPr>
              <w:pStyle w:val="13"/>
            </w:pPr>
            <w:r>
              <w:t>社会影响力</w:t>
            </w:r>
          </w:p>
        </w:tc>
        <w:tc>
          <w:tcPr>
            <w:tcW w:w="2891" w:type="dxa"/>
            <w:vAlign w:val="center"/>
          </w:tcPr>
          <w:p w14:paraId="234A83AB">
            <w:pPr>
              <w:pStyle w:val="13"/>
            </w:pPr>
            <w:r>
              <w:t>社会影响力</w:t>
            </w:r>
          </w:p>
        </w:tc>
        <w:tc>
          <w:tcPr>
            <w:tcW w:w="1276" w:type="dxa"/>
            <w:vAlign w:val="center"/>
          </w:tcPr>
          <w:p w14:paraId="65B8758F">
            <w:pPr>
              <w:pStyle w:val="13"/>
            </w:pPr>
            <w:r>
              <w:t>≥95</w:t>
            </w:r>
          </w:p>
        </w:tc>
        <w:tc>
          <w:tcPr>
            <w:tcW w:w="1843" w:type="dxa"/>
            <w:vAlign w:val="center"/>
          </w:tcPr>
          <w:p w14:paraId="33F948C4">
            <w:pPr>
              <w:pStyle w:val="13"/>
            </w:pPr>
            <w:r>
              <w:t>根据年初预算安排</w:t>
            </w:r>
          </w:p>
        </w:tc>
      </w:tr>
      <w:tr w14:paraId="6FA525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DE5EB0">
            <w:pPr>
              <w:pStyle w:val="15"/>
            </w:pPr>
            <w:r>
              <w:t>满意度指标</w:t>
            </w:r>
          </w:p>
        </w:tc>
        <w:tc>
          <w:tcPr>
            <w:tcW w:w="1276" w:type="dxa"/>
            <w:vAlign w:val="center"/>
          </w:tcPr>
          <w:p w14:paraId="724A2C62">
            <w:pPr>
              <w:pStyle w:val="13"/>
            </w:pPr>
            <w:r>
              <w:t>服务对象满意度指标</w:t>
            </w:r>
          </w:p>
        </w:tc>
        <w:tc>
          <w:tcPr>
            <w:tcW w:w="1332" w:type="dxa"/>
            <w:vAlign w:val="center"/>
          </w:tcPr>
          <w:p w14:paraId="7C0A4B9C">
            <w:pPr>
              <w:pStyle w:val="13"/>
            </w:pPr>
            <w:r>
              <w:t>企业满意度</w:t>
            </w:r>
          </w:p>
        </w:tc>
        <w:tc>
          <w:tcPr>
            <w:tcW w:w="2891" w:type="dxa"/>
            <w:vAlign w:val="center"/>
          </w:tcPr>
          <w:p w14:paraId="11461A8C">
            <w:pPr>
              <w:pStyle w:val="13"/>
            </w:pPr>
            <w:r>
              <w:t>企业满意度</w:t>
            </w:r>
          </w:p>
        </w:tc>
        <w:tc>
          <w:tcPr>
            <w:tcW w:w="1276" w:type="dxa"/>
            <w:vAlign w:val="center"/>
          </w:tcPr>
          <w:p w14:paraId="692F6D53">
            <w:pPr>
              <w:pStyle w:val="13"/>
            </w:pPr>
            <w:r>
              <w:t>≥100满意度</w:t>
            </w:r>
          </w:p>
        </w:tc>
        <w:tc>
          <w:tcPr>
            <w:tcW w:w="1843" w:type="dxa"/>
            <w:vAlign w:val="center"/>
          </w:tcPr>
          <w:p w14:paraId="3E3DB807">
            <w:pPr>
              <w:pStyle w:val="13"/>
            </w:pPr>
            <w:r>
              <w:t>根据年初预算安排</w:t>
            </w:r>
          </w:p>
        </w:tc>
      </w:tr>
    </w:tbl>
    <w:p w14:paraId="629E0193">
      <w:pPr>
        <w:sectPr>
          <w:pgSz w:w="11900" w:h="16840"/>
          <w:pgMar w:top="1984" w:right="1304" w:bottom="1134" w:left="1304" w:header="720" w:footer="720" w:gutter="0"/>
          <w:cols w:space="720" w:num="1"/>
        </w:sectPr>
      </w:pPr>
    </w:p>
    <w:p w14:paraId="51344B3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43C0EB1">
      <w:pPr>
        <w:spacing w:before="0" w:after="0"/>
        <w:ind w:firstLine="560"/>
        <w:jc w:val="left"/>
        <w:outlineLvl w:val="3"/>
      </w:pPr>
      <w:bookmarkStart w:id="4" w:name="_Toc_4_4_0000000005"/>
      <w:r>
        <w:rPr>
          <w:rFonts w:ascii="方正仿宋_GBK" w:hAnsi="方正仿宋_GBK" w:eastAsia="方正仿宋_GBK" w:cs="方正仿宋_GBK"/>
          <w:color w:val="000000"/>
          <w:sz w:val="28"/>
        </w:rPr>
        <w:t>2.组织民营企业家参加活动绩效目标表</w:t>
      </w:r>
      <w:bookmarkEnd w:id="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6F793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4C9FEB7">
            <w:pPr>
              <w:pStyle w:val="12"/>
            </w:pPr>
            <w:r>
              <w:t>714001曹妃甸区工商业联合会本级</w:t>
            </w:r>
          </w:p>
        </w:tc>
        <w:tc>
          <w:tcPr>
            <w:tcW w:w="1843" w:type="dxa"/>
            <w:tcBorders>
              <w:top w:val="single" w:color="FFFFFF" w:sz="6" w:space="0"/>
              <w:left w:val="single" w:color="FFFFFF" w:sz="6" w:space="0"/>
              <w:right w:val="single" w:color="FFFFFF" w:sz="6" w:space="0"/>
            </w:tcBorders>
            <w:vAlign w:val="center"/>
          </w:tcPr>
          <w:p w14:paraId="4247DDC1">
            <w:pPr>
              <w:pStyle w:val="11"/>
            </w:pPr>
            <w:r>
              <w:t>单位：万元</w:t>
            </w:r>
          </w:p>
        </w:tc>
      </w:tr>
      <w:tr w14:paraId="785448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5E7308">
            <w:pPr>
              <w:pStyle w:val="14"/>
            </w:pPr>
            <w:r>
              <w:t>项目编码</w:t>
            </w:r>
          </w:p>
        </w:tc>
        <w:tc>
          <w:tcPr>
            <w:tcW w:w="2608" w:type="dxa"/>
            <w:gridSpan w:val="2"/>
            <w:vAlign w:val="center"/>
          </w:tcPr>
          <w:p w14:paraId="2E3D5CD8">
            <w:pPr>
              <w:pStyle w:val="13"/>
            </w:pPr>
            <w:r>
              <w:t>13020925P00150310001N</w:t>
            </w:r>
          </w:p>
        </w:tc>
        <w:tc>
          <w:tcPr>
            <w:tcW w:w="1587" w:type="dxa"/>
            <w:vAlign w:val="center"/>
          </w:tcPr>
          <w:p w14:paraId="512D3560">
            <w:pPr>
              <w:pStyle w:val="14"/>
            </w:pPr>
            <w:r>
              <w:t>项目名称</w:t>
            </w:r>
          </w:p>
        </w:tc>
        <w:tc>
          <w:tcPr>
            <w:tcW w:w="4423" w:type="dxa"/>
            <w:gridSpan w:val="3"/>
            <w:vAlign w:val="center"/>
          </w:tcPr>
          <w:p w14:paraId="2E05BE40">
            <w:pPr>
              <w:pStyle w:val="13"/>
            </w:pPr>
            <w:r>
              <w:t>组织民营企业家参加活动</w:t>
            </w:r>
          </w:p>
        </w:tc>
      </w:tr>
      <w:tr w14:paraId="2E7A22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52B32F">
            <w:pPr>
              <w:pStyle w:val="14"/>
            </w:pPr>
            <w:r>
              <w:t>预算规模及资金用途</w:t>
            </w:r>
          </w:p>
        </w:tc>
        <w:tc>
          <w:tcPr>
            <w:tcW w:w="1276" w:type="dxa"/>
            <w:vAlign w:val="center"/>
          </w:tcPr>
          <w:p w14:paraId="5DEB8EEE">
            <w:pPr>
              <w:pStyle w:val="14"/>
            </w:pPr>
            <w:r>
              <w:t>预算数</w:t>
            </w:r>
          </w:p>
        </w:tc>
        <w:tc>
          <w:tcPr>
            <w:tcW w:w="1332" w:type="dxa"/>
            <w:vAlign w:val="center"/>
          </w:tcPr>
          <w:p w14:paraId="732E4214">
            <w:pPr>
              <w:pStyle w:val="13"/>
            </w:pPr>
            <w:r>
              <w:t>39.46</w:t>
            </w:r>
          </w:p>
        </w:tc>
        <w:tc>
          <w:tcPr>
            <w:tcW w:w="1587" w:type="dxa"/>
            <w:vAlign w:val="center"/>
          </w:tcPr>
          <w:p w14:paraId="441DB8DF">
            <w:pPr>
              <w:pStyle w:val="14"/>
            </w:pPr>
            <w:r>
              <w:t>其中：财政    资金</w:t>
            </w:r>
          </w:p>
        </w:tc>
        <w:tc>
          <w:tcPr>
            <w:tcW w:w="1304" w:type="dxa"/>
            <w:vAlign w:val="center"/>
          </w:tcPr>
          <w:p w14:paraId="271146DA">
            <w:pPr>
              <w:pStyle w:val="13"/>
            </w:pPr>
            <w:r>
              <w:t>39.46</w:t>
            </w:r>
          </w:p>
        </w:tc>
        <w:tc>
          <w:tcPr>
            <w:tcW w:w="1276" w:type="dxa"/>
            <w:vAlign w:val="center"/>
          </w:tcPr>
          <w:p w14:paraId="1367128C">
            <w:pPr>
              <w:pStyle w:val="14"/>
            </w:pPr>
            <w:r>
              <w:t>其他资金</w:t>
            </w:r>
          </w:p>
        </w:tc>
        <w:tc>
          <w:tcPr>
            <w:tcW w:w="1843" w:type="dxa"/>
            <w:vAlign w:val="center"/>
          </w:tcPr>
          <w:p w14:paraId="4C4D87EF">
            <w:pPr>
              <w:pStyle w:val="13"/>
            </w:pPr>
            <w:r>
              <w:t xml:space="preserve"> </w:t>
            </w:r>
          </w:p>
        </w:tc>
      </w:tr>
      <w:tr w14:paraId="4005B2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25DD30"/>
        </w:tc>
        <w:tc>
          <w:tcPr>
            <w:tcW w:w="8618" w:type="dxa"/>
            <w:gridSpan w:val="6"/>
            <w:vAlign w:val="center"/>
          </w:tcPr>
          <w:p w14:paraId="1B27636A">
            <w:pPr>
              <w:pStyle w:val="13"/>
            </w:pPr>
            <w:r>
              <w:t>组织会员参加各类商务活动，召开相关会议，组织企业家参加培训。</w:t>
            </w:r>
          </w:p>
        </w:tc>
      </w:tr>
      <w:tr w14:paraId="4D51F7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B07698">
            <w:pPr>
              <w:pStyle w:val="14"/>
            </w:pPr>
            <w:r>
              <w:t>资金支出计划（%）</w:t>
            </w:r>
          </w:p>
        </w:tc>
        <w:tc>
          <w:tcPr>
            <w:tcW w:w="2608" w:type="dxa"/>
            <w:gridSpan w:val="2"/>
            <w:vAlign w:val="center"/>
          </w:tcPr>
          <w:p w14:paraId="13E49EAC">
            <w:pPr>
              <w:pStyle w:val="14"/>
            </w:pPr>
            <w:r>
              <w:t>3月底</w:t>
            </w:r>
          </w:p>
        </w:tc>
        <w:tc>
          <w:tcPr>
            <w:tcW w:w="1587" w:type="dxa"/>
            <w:vAlign w:val="center"/>
          </w:tcPr>
          <w:p w14:paraId="0C128920">
            <w:pPr>
              <w:pStyle w:val="14"/>
            </w:pPr>
            <w:r>
              <w:t>6月底</w:t>
            </w:r>
          </w:p>
        </w:tc>
        <w:tc>
          <w:tcPr>
            <w:tcW w:w="1304" w:type="dxa"/>
            <w:vAlign w:val="center"/>
          </w:tcPr>
          <w:p w14:paraId="51CC5C73">
            <w:pPr>
              <w:pStyle w:val="14"/>
            </w:pPr>
            <w:r>
              <w:t>10月底</w:t>
            </w:r>
          </w:p>
        </w:tc>
        <w:tc>
          <w:tcPr>
            <w:tcW w:w="3119" w:type="dxa"/>
            <w:gridSpan w:val="2"/>
            <w:vAlign w:val="center"/>
          </w:tcPr>
          <w:p w14:paraId="18327E86">
            <w:pPr>
              <w:pStyle w:val="14"/>
            </w:pPr>
            <w:r>
              <w:t>12月底</w:t>
            </w:r>
          </w:p>
        </w:tc>
      </w:tr>
      <w:tr w14:paraId="5C16AC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66679F"/>
        </w:tc>
        <w:tc>
          <w:tcPr>
            <w:tcW w:w="2608" w:type="dxa"/>
            <w:gridSpan w:val="2"/>
            <w:vAlign w:val="center"/>
          </w:tcPr>
          <w:p w14:paraId="5BA4EDE9">
            <w:pPr>
              <w:pStyle w:val="15"/>
            </w:pPr>
            <w:r>
              <w:t>30%</w:t>
            </w:r>
          </w:p>
        </w:tc>
        <w:tc>
          <w:tcPr>
            <w:tcW w:w="1587" w:type="dxa"/>
            <w:vAlign w:val="center"/>
          </w:tcPr>
          <w:p w14:paraId="405648F8">
            <w:pPr>
              <w:pStyle w:val="15"/>
            </w:pPr>
            <w:r>
              <w:t>60%</w:t>
            </w:r>
          </w:p>
        </w:tc>
        <w:tc>
          <w:tcPr>
            <w:tcW w:w="1304" w:type="dxa"/>
            <w:vAlign w:val="center"/>
          </w:tcPr>
          <w:p w14:paraId="468507DE">
            <w:pPr>
              <w:pStyle w:val="15"/>
            </w:pPr>
            <w:r>
              <w:t>80%</w:t>
            </w:r>
          </w:p>
        </w:tc>
        <w:tc>
          <w:tcPr>
            <w:tcW w:w="3119" w:type="dxa"/>
            <w:gridSpan w:val="2"/>
            <w:vAlign w:val="center"/>
          </w:tcPr>
          <w:p w14:paraId="2EED0A75">
            <w:pPr>
              <w:pStyle w:val="15"/>
            </w:pPr>
            <w:r>
              <w:t>100%</w:t>
            </w:r>
          </w:p>
        </w:tc>
      </w:tr>
      <w:tr w14:paraId="317974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4DE06E">
            <w:pPr>
              <w:pStyle w:val="14"/>
            </w:pPr>
            <w:r>
              <w:t>绩效目标</w:t>
            </w:r>
          </w:p>
        </w:tc>
        <w:tc>
          <w:tcPr>
            <w:tcW w:w="8618" w:type="dxa"/>
            <w:gridSpan w:val="6"/>
            <w:vAlign w:val="center"/>
          </w:tcPr>
          <w:p w14:paraId="5C37524D">
            <w:pPr>
              <w:pStyle w:val="13"/>
            </w:pPr>
            <w:r>
              <w:t>1.加强全区工商联自身组织建设</w:t>
            </w:r>
          </w:p>
          <w:p w14:paraId="334C180B">
            <w:pPr>
              <w:pStyle w:val="13"/>
            </w:pPr>
            <w:r>
              <w:t>2.继续做好培训和考察学习工作</w:t>
            </w:r>
          </w:p>
          <w:p w14:paraId="1E4F9AA0">
            <w:pPr>
              <w:pStyle w:val="13"/>
            </w:pPr>
            <w:r>
              <w:t>3.加强招商的工作力度，督促项目落地</w:t>
            </w:r>
          </w:p>
        </w:tc>
      </w:tr>
    </w:tbl>
    <w:p w14:paraId="3F4C775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EF49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F09B60">
            <w:pPr>
              <w:pStyle w:val="14"/>
            </w:pPr>
            <w:r>
              <w:t>一级指标</w:t>
            </w:r>
          </w:p>
        </w:tc>
        <w:tc>
          <w:tcPr>
            <w:tcW w:w="1276" w:type="dxa"/>
            <w:vAlign w:val="center"/>
          </w:tcPr>
          <w:p w14:paraId="6429B3F9">
            <w:pPr>
              <w:pStyle w:val="14"/>
            </w:pPr>
            <w:r>
              <w:t>二级指标</w:t>
            </w:r>
          </w:p>
        </w:tc>
        <w:tc>
          <w:tcPr>
            <w:tcW w:w="1332" w:type="dxa"/>
            <w:vAlign w:val="center"/>
          </w:tcPr>
          <w:p w14:paraId="1305AA59">
            <w:pPr>
              <w:pStyle w:val="14"/>
            </w:pPr>
            <w:r>
              <w:t>三级指标</w:t>
            </w:r>
          </w:p>
        </w:tc>
        <w:tc>
          <w:tcPr>
            <w:tcW w:w="2891" w:type="dxa"/>
            <w:vAlign w:val="center"/>
          </w:tcPr>
          <w:p w14:paraId="1C62349D">
            <w:pPr>
              <w:pStyle w:val="14"/>
            </w:pPr>
            <w:r>
              <w:t>绩效指标描述</w:t>
            </w:r>
          </w:p>
        </w:tc>
        <w:tc>
          <w:tcPr>
            <w:tcW w:w="1276" w:type="dxa"/>
            <w:vAlign w:val="center"/>
          </w:tcPr>
          <w:p w14:paraId="5681E8EC">
            <w:pPr>
              <w:pStyle w:val="14"/>
            </w:pPr>
            <w:r>
              <w:t>指标值</w:t>
            </w:r>
          </w:p>
        </w:tc>
        <w:tc>
          <w:tcPr>
            <w:tcW w:w="1843" w:type="dxa"/>
            <w:vAlign w:val="center"/>
          </w:tcPr>
          <w:p w14:paraId="299DCB9B">
            <w:pPr>
              <w:pStyle w:val="14"/>
            </w:pPr>
            <w:r>
              <w:t>指标值确定依据</w:t>
            </w:r>
          </w:p>
        </w:tc>
      </w:tr>
      <w:tr w14:paraId="36F7CF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5F6DB9">
            <w:pPr>
              <w:pStyle w:val="15"/>
            </w:pPr>
            <w:r>
              <w:t>产出指标</w:t>
            </w:r>
          </w:p>
        </w:tc>
        <w:tc>
          <w:tcPr>
            <w:tcW w:w="1276" w:type="dxa"/>
            <w:vAlign w:val="center"/>
          </w:tcPr>
          <w:p w14:paraId="24B2BFD8">
            <w:pPr>
              <w:pStyle w:val="13"/>
            </w:pPr>
            <w:r>
              <w:t>数量指标</w:t>
            </w:r>
          </w:p>
        </w:tc>
        <w:tc>
          <w:tcPr>
            <w:tcW w:w="1332" w:type="dxa"/>
            <w:vAlign w:val="center"/>
          </w:tcPr>
          <w:p w14:paraId="74ADB91F">
            <w:pPr>
              <w:pStyle w:val="13"/>
            </w:pPr>
            <w:r>
              <w:t>召开工商联相关会议</w:t>
            </w:r>
          </w:p>
        </w:tc>
        <w:tc>
          <w:tcPr>
            <w:tcW w:w="2891" w:type="dxa"/>
            <w:vAlign w:val="center"/>
          </w:tcPr>
          <w:p w14:paraId="53EEEB16">
            <w:pPr>
              <w:pStyle w:val="13"/>
            </w:pPr>
            <w:r>
              <w:t>召开工商联相关会议</w:t>
            </w:r>
          </w:p>
        </w:tc>
        <w:tc>
          <w:tcPr>
            <w:tcW w:w="1276" w:type="dxa"/>
            <w:vAlign w:val="center"/>
          </w:tcPr>
          <w:p w14:paraId="2BBC0CE1">
            <w:pPr>
              <w:pStyle w:val="13"/>
            </w:pPr>
            <w:r>
              <w:t>≥5次</w:t>
            </w:r>
          </w:p>
        </w:tc>
        <w:tc>
          <w:tcPr>
            <w:tcW w:w="1843" w:type="dxa"/>
            <w:vAlign w:val="center"/>
          </w:tcPr>
          <w:p w14:paraId="332084DA">
            <w:pPr>
              <w:pStyle w:val="13"/>
            </w:pPr>
            <w:r>
              <w:t>根据年初预算安排</w:t>
            </w:r>
          </w:p>
        </w:tc>
      </w:tr>
      <w:tr w14:paraId="35D091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995705"/>
        </w:tc>
        <w:tc>
          <w:tcPr>
            <w:tcW w:w="1276" w:type="dxa"/>
            <w:vAlign w:val="center"/>
          </w:tcPr>
          <w:p w14:paraId="5374186F">
            <w:pPr>
              <w:pStyle w:val="13"/>
            </w:pPr>
            <w:r>
              <w:t>时效指标</w:t>
            </w:r>
          </w:p>
        </w:tc>
        <w:tc>
          <w:tcPr>
            <w:tcW w:w="1332" w:type="dxa"/>
            <w:vAlign w:val="center"/>
          </w:tcPr>
          <w:p w14:paraId="52039806">
            <w:pPr>
              <w:pStyle w:val="13"/>
            </w:pPr>
            <w:r>
              <w:t>资金拨付完成时限</w:t>
            </w:r>
          </w:p>
        </w:tc>
        <w:tc>
          <w:tcPr>
            <w:tcW w:w="2891" w:type="dxa"/>
            <w:vAlign w:val="center"/>
          </w:tcPr>
          <w:p w14:paraId="6BAAE0B2">
            <w:pPr>
              <w:pStyle w:val="13"/>
            </w:pPr>
            <w:r>
              <w:t>资金拨付完成及时</w:t>
            </w:r>
          </w:p>
        </w:tc>
        <w:tc>
          <w:tcPr>
            <w:tcW w:w="1276" w:type="dxa"/>
            <w:vAlign w:val="center"/>
          </w:tcPr>
          <w:p w14:paraId="4E71005B">
            <w:pPr>
              <w:pStyle w:val="13"/>
            </w:pPr>
            <w:r>
              <w:t>≤1年</w:t>
            </w:r>
          </w:p>
        </w:tc>
        <w:tc>
          <w:tcPr>
            <w:tcW w:w="1843" w:type="dxa"/>
            <w:vAlign w:val="center"/>
          </w:tcPr>
          <w:p w14:paraId="366A2ED7">
            <w:pPr>
              <w:pStyle w:val="13"/>
            </w:pPr>
            <w:r>
              <w:t>年度工作计划</w:t>
            </w:r>
          </w:p>
        </w:tc>
      </w:tr>
      <w:tr w14:paraId="3CD7D2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79260B"/>
        </w:tc>
        <w:tc>
          <w:tcPr>
            <w:tcW w:w="1276" w:type="dxa"/>
            <w:vAlign w:val="center"/>
          </w:tcPr>
          <w:p w14:paraId="5ABEFB36">
            <w:pPr>
              <w:pStyle w:val="13"/>
            </w:pPr>
            <w:r>
              <w:t>质量指标</w:t>
            </w:r>
          </w:p>
        </w:tc>
        <w:tc>
          <w:tcPr>
            <w:tcW w:w="1332" w:type="dxa"/>
            <w:vAlign w:val="center"/>
          </w:tcPr>
          <w:p w14:paraId="79712D5B">
            <w:pPr>
              <w:pStyle w:val="13"/>
            </w:pPr>
            <w:r>
              <w:t>认真抓好企业培训工作</w:t>
            </w:r>
          </w:p>
        </w:tc>
        <w:tc>
          <w:tcPr>
            <w:tcW w:w="2891" w:type="dxa"/>
            <w:vAlign w:val="center"/>
          </w:tcPr>
          <w:p w14:paraId="15864758">
            <w:pPr>
              <w:pStyle w:val="13"/>
            </w:pPr>
            <w:r>
              <w:t>开展会员培训，提升会员综合素质</w:t>
            </w:r>
          </w:p>
        </w:tc>
        <w:tc>
          <w:tcPr>
            <w:tcW w:w="1276" w:type="dxa"/>
            <w:vAlign w:val="center"/>
          </w:tcPr>
          <w:p w14:paraId="4B2E258D">
            <w:pPr>
              <w:pStyle w:val="13"/>
            </w:pPr>
            <w:r>
              <w:t>≥3次</w:t>
            </w:r>
          </w:p>
        </w:tc>
        <w:tc>
          <w:tcPr>
            <w:tcW w:w="1843" w:type="dxa"/>
            <w:vAlign w:val="center"/>
          </w:tcPr>
          <w:p w14:paraId="5501DEF2">
            <w:pPr>
              <w:pStyle w:val="13"/>
            </w:pPr>
            <w:r>
              <w:t>年度工作计划</w:t>
            </w:r>
          </w:p>
        </w:tc>
      </w:tr>
      <w:tr w14:paraId="1AD25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4CF440"/>
        </w:tc>
        <w:tc>
          <w:tcPr>
            <w:tcW w:w="1276" w:type="dxa"/>
            <w:vAlign w:val="center"/>
          </w:tcPr>
          <w:p w14:paraId="5B9900AF">
            <w:pPr>
              <w:pStyle w:val="13"/>
            </w:pPr>
            <w:r>
              <w:t>成本指标</w:t>
            </w:r>
          </w:p>
        </w:tc>
        <w:tc>
          <w:tcPr>
            <w:tcW w:w="1332" w:type="dxa"/>
            <w:vAlign w:val="center"/>
          </w:tcPr>
          <w:p w14:paraId="6E19B7AF">
            <w:pPr>
              <w:pStyle w:val="13"/>
            </w:pPr>
            <w:r>
              <w:t>预算控制数</w:t>
            </w:r>
          </w:p>
        </w:tc>
        <w:tc>
          <w:tcPr>
            <w:tcW w:w="2891" w:type="dxa"/>
            <w:vAlign w:val="center"/>
          </w:tcPr>
          <w:p w14:paraId="324BDDC4">
            <w:pPr>
              <w:pStyle w:val="13"/>
            </w:pPr>
            <w:r>
              <w:t>实际支出小于预算控制数</w:t>
            </w:r>
          </w:p>
        </w:tc>
        <w:tc>
          <w:tcPr>
            <w:tcW w:w="1276" w:type="dxa"/>
            <w:vAlign w:val="center"/>
          </w:tcPr>
          <w:p w14:paraId="1C30558A">
            <w:pPr>
              <w:pStyle w:val="13"/>
            </w:pPr>
            <w:r>
              <w:t>≤39.46万</w:t>
            </w:r>
          </w:p>
        </w:tc>
        <w:tc>
          <w:tcPr>
            <w:tcW w:w="1843" w:type="dxa"/>
            <w:vAlign w:val="center"/>
          </w:tcPr>
          <w:p w14:paraId="37021BA0">
            <w:pPr>
              <w:pStyle w:val="13"/>
            </w:pPr>
            <w:r>
              <w:t>根据年初预算安排</w:t>
            </w:r>
          </w:p>
        </w:tc>
      </w:tr>
      <w:tr w14:paraId="22D7FC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4BC39C">
            <w:pPr>
              <w:pStyle w:val="15"/>
            </w:pPr>
            <w:r>
              <w:t>效益指标</w:t>
            </w:r>
          </w:p>
        </w:tc>
        <w:tc>
          <w:tcPr>
            <w:tcW w:w="1276" w:type="dxa"/>
            <w:vAlign w:val="center"/>
          </w:tcPr>
          <w:p w14:paraId="3D882709">
            <w:pPr>
              <w:pStyle w:val="13"/>
            </w:pPr>
            <w:r>
              <w:t>可持续影响指标</w:t>
            </w:r>
          </w:p>
        </w:tc>
        <w:tc>
          <w:tcPr>
            <w:tcW w:w="1332" w:type="dxa"/>
            <w:vAlign w:val="center"/>
          </w:tcPr>
          <w:p w14:paraId="1ACC98E0">
            <w:pPr>
              <w:pStyle w:val="13"/>
            </w:pPr>
            <w:r>
              <w:t>引导会员积极参加社会公益活动</w:t>
            </w:r>
          </w:p>
        </w:tc>
        <w:tc>
          <w:tcPr>
            <w:tcW w:w="2891" w:type="dxa"/>
            <w:vAlign w:val="center"/>
          </w:tcPr>
          <w:p w14:paraId="0A716F3B">
            <w:pPr>
              <w:pStyle w:val="13"/>
            </w:pPr>
            <w:r>
              <w:t>深入开展企业帮扶</w:t>
            </w:r>
          </w:p>
        </w:tc>
        <w:tc>
          <w:tcPr>
            <w:tcW w:w="1276" w:type="dxa"/>
            <w:vAlign w:val="center"/>
          </w:tcPr>
          <w:p w14:paraId="5F87A9BC">
            <w:pPr>
              <w:pStyle w:val="13"/>
            </w:pPr>
            <w:r>
              <w:t>≥5次</w:t>
            </w:r>
          </w:p>
        </w:tc>
        <w:tc>
          <w:tcPr>
            <w:tcW w:w="1843" w:type="dxa"/>
            <w:vAlign w:val="center"/>
          </w:tcPr>
          <w:p w14:paraId="73D2D94C">
            <w:pPr>
              <w:pStyle w:val="13"/>
            </w:pPr>
            <w:r>
              <w:t>年度工作计划</w:t>
            </w:r>
          </w:p>
        </w:tc>
      </w:tr>
      <w:tr w14:paraId="263061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5A2007">
            <w:pPr>
              <w:pStyle w:val="15"/>
            </w:pPr>
            <w:r>
              <w:t>满意度指标</w:t>
            </w:r>
          </w:p>
        </w:tc>
        <w:tc>
          <w:tcPr>
            <w:tcW w:w="1276" w:type="dxa"/>
            <w:vAlign w:val="center"/>
          </w:tcPr>
          <w:p w14:paraId="784EA6BE">
            <w:pPr>
              <w:pStyle w:val="13"/>
            </w:pPr>
            <w:r>
              <w:t>服务对象满意度指标</w:t>
            </w:r>
          </w:p>
        </w:tc>
        <w:tc>
          <w:tcPr>
            <w:tcW w:w="1332" w:type="dxa"/>
            <w:vAlign w:val="center"/>
          </w:tcPr>
          <w:p w14:paraId="071DCCCB">
            <w:pPr>
              <w:pStyle w:val="13"/>
            </w:pPr>
            <w:r>
              <w:t>服务对象满意度指标</w:t>
            </w:r>
          </w:p>
        </w:tc>
        <w:tc>
          <w:tcPr>
            <w:tcW w:w="2891" w:type="dxa"/>
            <w:vAlign w:val="center"/>
          </w:tcPr>
          <w:p w14:paraId="6A58A9B2">
            <w:pPr>
              <w:pStyle w:val="13"/>
            </w:pPr>
            <w:r>
              <w:t>企业满意度</w:t>
            </w:r>
          </w:p>
        </w:tc>
        <w:tc>
          <w:tcPr>
            <w:tcW w:w="1276" w:type="dxa"/>
            <w:vAlign w:val="center"/>
          </w:tcPr>
          <w:p w14:paraId="0039BD90">
            <w:pPr>
              <w:pStyle w:val="13"/>
            </w:pPr>
            <w:r>
              <w:t>≥95满意度</w:t>
            </w:r>
          </w:p>
        </w:tc>
        <w:tc>
          <w:tcPr>
            <w:tcW w:w="1843" w:type="dxa"/>
            <w:vAlign w:val="center"/>
          </w:tcPr>
          <w:p w14:paraId="62C96E9A">
            <w:pPr>
              <w:pStyle w:val="13"/>
            </w:pPr>
            <w:r>
              <w:t>年度工作计划</w:t>
            </w:r>
          </w:p>
        </w:tc>
      </w:tr>
    </w:tbl>
    <w:p w14:paraId="1A97F837"/>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2D818">
    <w:pPr>
      <w:jc w:val="right"/>
    </w:pPr>
    <w:r>
      <w:fldChar w:fldCharType="begin"/>
    </w:r>
    <w:r>
      <w:instrText xml:space="preserve">PAGE "page number"</w:instrText>
    </w:r>
    <w:r>
      <w:fldChar w:fldCharType="separate"/>
    </w:r>
    <w: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39F30">
    <w:pPr>
      <w:jc w:val="left"/>
    </w:pPr>
    <w:r>
      <w:fldChar w:fldCharType="begin"/>
    </w:r>
    <w:r>
      <w:instrText xml:space="preserve">PAGE "page number"</w:instrText>
    </w:r>
    <w:r>
      <w:fldChar w:fldCharType="separate"/>
    </w:r>
    <w:r>
      <w:t>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5E7C2C7C"/>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paragraph" w:styleId="4">
    <w:name w:val="toc 2"/>
    <w:basedOn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2907</Words>
  <Characters>3038</Characters>
  <TotalTime>1</TotalTime>
  <ScaleCrop>false</ScaleCrop>
  <LinksUpToDate>false</LinksUpToDate>
  <CharactersWithSpaces>3101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2025-02-24T09:33:00Z</dcterms:created>
  <dc:creator>yzx</dc:creator>
  <cp:lastModifiedBy>z&amp;y</cp:lastModifiedBy>
  <dcterms:modified xsi:type="dcterms:W3CDTF">2025-02-26T06:03:30Z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eyJoZGlkIjoiMzJmOTllMzg2NDBkMzBhMTNmYjE5Zjc2NDMyYWEwODQiLCJ1c2VySWQiOiIxNDMyMzAwMjAyIn0=</vt:lpwstr>
  </property>
  <property fmtid="{D5CDD505-2E9C-101B-9397-08002B2CF9AE}" pid="3" name="KSOProductBuildVer">
    <vt:lpwstr>2052-12.1.0.19302</vt:lpwstr>
  </property>
  <property fmtid="{D5CDD505-2E9C-101B-9397-08002B2CF9AE}" pid="4" name="ICV">
    <vt:lpwstr>3302550DFF2949E5BFE27F245FB7D830_12</vt:lpwstr>
  </property>
</Properties>
</file>