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曹妃甸区审计局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曹妃甸区审计局编制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曹妃甸区财政局审核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1.审计业务绩效目标表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t xml:space="preserve">2.信息化建设绩效目标表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t xml:space="preserve">3.一般行政管理事务绩效目标表</w:t>
        </w:r>
        <w:r>
          <w:tab/>
        </w:r>
        <w:r>
          <w:fldChar w:fldCharType="begin"/>
        </w:r>
        <w:r>
          <w:instrText xml:space="preserve">PAGEREF _Toc_4_4_0000000006 \h</w:instrText>
        </w:r>
        <w:r>
          <w:fldChar w:fldCharType="separate"/>
        </w:r>
        <w:r>
          <w:t xml:space="preserve">7</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一是对辖区内行政事业单位财务收支进行财政审计监督。以推动建立现代财政制度、提高财政资金使用绩效、维护国家财政安全为目标，对区财政局具体组织区本级预算执行和决算草案编制情况进行审计。重点关注区本级预算收支的完整性、财政财务收支的真实合法效益、专项资金统筹整合、财政存量资金管理使用、决算草案编制、“三公”经费和会议费管理使用情况等。 二是对政府投资和以政府投资为主的建设项目的预算执行情况和决算进行投资审计监督。以区委区政府安排为中心，对投资规模巨大，时效性强、工期紧张的政府投资项目，在大力推进审计全覆盖的基础上，加强政府重点投资建设项目的审计监督，按照围绕中心、服务大局、突出重点、确保质量的原则，对政府投资项目进行审计。重点项目全方位跟，专人全程进驻现场；从计划审批、招投标、合同、建设、监理、质量、财务、结算等方面进行审计监督。三是实施领导干部经济责任审计。以促进权力规范运行，促进领导干部守法守纪、守规尽责、廉洁用权、干净干事为目标，重点关注领导干部贯彻执行党和国家有关经济方针政策和决策部署，推动本地区、本部门、本单位科学发展，重大经济决策和重要事项管理，贯彻落实中央八项规定精神以及领导人员遵守有关廉洁从政规定等情况，客观公正评价，准确界定责任。根据区委组织部的委托，对区属乡科级领导干部进行任中经济责任审计、离任经济责任审计。四是其他审计相关工作。区委区政府安排的其他审计项目及审计政务管理工作。</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1、对辖区内行政事业单位财务收支进行财政审计 绩效目标：完成全年审计工作计划；提高审计决定落实率；确保被审计单位满意。 绩效指标：财政审计计划完成率95%以上；审计决定落实率95%以上；被审计单位满意度85%以上。                     </w:t>
      </w:r>
    </w:p>
    <w:p>
      <w:pPr>
        <w:pStyle w:val="插入文本样式-插入职责分类绩效目标文件"/>
      </w:pPr>
      <w:r>
        <w:t xml:space="preserve">2、对政府投资和以政府投资为主的建设项目的预算执行情况和决算进行投资审计 绩效目标：完成全年审计工作计划；提高审计质量；确保被审计单位满意。 绩效指标：投资审计计划完成率95%以上；审计质量达标率95%以上；被审计单位满意度85%以上。                                                                                                                               3、实施领导干部经济责任审计 绩效目标：完成全年审计工作计划；提高审计决定落实率；确保被审计单位满意。 绩效指标：经济责任审计计划完成率95%以上；审计决定落实率95%以上；被审计单位满意度85%以上。                                                                                                                               （四）其他审计相关工作 绩效目标：完成其他各项综合事务；节约审计成本；确保服务对象满意。 绩效指标：完成其他各项综合事务率95%以上；节约审计成本95%以上；确保服务对象满意度85%以上。</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1、完善制度建设。制定完善预算绩效管理制度、资金管理办法、工作保障制度等，为全年预算绩效目标的实现奠定制度基础。 2、加强支出管理。通过优化支出结构、编细编实预算、加快履行政府采购手续、尽快启动项目、及时支付资金、6月底前细化代编预算、按规定及时下达资金等多种措施，确保支出进度达标。3、加强绩效运行监控。按要求开展绩效运行监控，发现问题及时采取措施，确保绩效目标如期保质实现。4、做好绩效自评。按要求开展上年度部门预算绩效自评和重点评价工作，对评价中发现的问题及时整改，调整优化支出结构，提高财政资金使用效益。5、规范财务资产管理。完善财务管理制度，严格审批程序，加强固定资产登记、使用和报废处置管理，做到支出合理，物尽其用。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1.审计业务绩效目标表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319001曹妃甸区审计局本级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13020925P001484100022</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审计业务</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283.20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283.20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用于聘请技术专家及第三方审计支付费用。</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1.完成审计工作计划，提高审计工作质量</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完成专项审计的次数</w:t>
            </w:r>
          </w:p>
        </w:tc>
        <w:tc>
          <w:tcPr>
            <w:tcW w:w="2891" w:type="dxa"/>
            <w:vAlign w:val="center"/>
          </w:tcPr>
          <w:p>
            <w:pPr>
              <w:pStyle w:val="单元格样式2"/>
            </w:pPr>
            <w:r>
              <w:t xml:space="preserve">完成专项审计的次数</w:t>
            </w:r>
          </w:p>
        </w:tc>
        <w:tc>
          <w:tcPr>
            <w:tcW w:w="1276" w:type="dxa"/>
            <w:vAlign w:val="center"/>
          </w:tcPr>
          <w:p>
            <w:pPr>
              <w:pStyle w:val="单元格样式2"/>
            </w:pPr>
            <w:r>
              <w:t xml:space="preserve">≥25次</w:t>
            </w:r>
          </w:p>
        </w:tc>
        <w:tc>
          <w:tcPr>
            <w:tcW w:w="1843" w:type="dxa"/>
            <w:vAlign w:val="center"/>
          </w:tcPr>
          <w:p>
            <w:pPr>
              <w:pStyle w:val="单元格样式2"/>
            </w:pPr>
            <w:r>
              <w:t xml:space="preserve">完成专项审计的次数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综合业务管理工作完成率</w:t>
            </w:r>
          </w:p>
        </w:tc>
        <w:tc>
          <w:tcPr>
            <w:tcW w:w="2891" w:type="dxa"/>
            <w:vAlign w:val="center"/>
          </w:tcPr>
          <w:p>
            <w:pPr>
              <w:pStyle w:val="单元格样式2"/>
            </w:pPr>
            <w:r>
              <w:t xml:space="preserve">综合业务管理工作完成率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综合业务管理工作完成率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审计通知书送达率</w:t>
            </w:r>
          </w:p>
        </w:tc>
        <w:tc>
          <w:tcPr>
            <w:tcW w:w="2891" w:type="dxa"/>
            <w:vAlign w:val="center"/>
          </w:tcPr>
          <w:p>
            <w:pPr>
              <w:pStyle w:val="单元格样式2"/>
            </w:pPr>
            <w:r>
              <w:t xml:space="preserve">审计通知书送达率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审计通知书送达率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控制成本</w:t>
            </w:r>
          </w:p>
        </w:tc>
        <w:tc>
          <w:tcPr>
            <w:tcW w:w="2891" w:type="dxa"/>
            <w:vAlign w:val="center"/>
          </w:tcPr>
          <w:p>
            <w:pPr>
              <w:pStyle w:val="单元格样式2"/>
            </w:pPr>
            <w:r>
              <w:t xml:space="preserve">控制成本</w:t>
            </w:r>
          </w:p>
        </w:tc>
        <w:tc>
          <w:tcPr>
            <w:tcW w:w="1276" w:type="dxa"/>
            <w:vAlign w:val="center"/>
          </w:tcPr>
          <w:p>
            <w:pPr>
              <w:pStyle w:val="单元格样式2"/>
            </w:pPr>
            <w:r>
              <w:t xml:space="preserve">≤283.2万元</w:t>
            </w:r>
          </w:p>
        </w:tc>
        <w:tc>
          <w:tcPr>
            <w:tcW w:w="1843" w:type="dxa"/>
            <w:vAlign w:val="center"/>
          </w:tcPr>
          <w:p>
            <w:pPr>
              <w:pStyle w:val="单元格样式2"/>
            </w:pPr>
            <w:r>
              <w:t xml:space="preserve">控制成本</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岗位配置率</w:t>
            </w:r>
          </w:p>
        </w:tc>
        <w:tc>
          <w:tcPr>
            <w:tcW w:w="2891" w:type="dxa"/>
            <w:vAlign w:val="center"/>
          </w:tcPr>
          <w:p>
            <w:pPr>
              <w:pStyle w:val="单元格样式2"/>
            </w:pPr>
            <w:r>
              <w:t xml:space="preserve">岗位配置率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岗位配置率</w:t>
            </w:r>
          </w:p>
        </w:tc>
      </w:tr>
      <w:tr>
        <w:trPr>
          <w:trHeight w:val="369"/>
          <w:jc w:val="center"/>
        </w:trPr>
        <w:tc>
          <w:tcPr>
            <w:tcW w:w="1276" w:type="dxa"/>
            <w:vMerge/>
            <w:vAlign w:val="center"/>
          </w:tcPr>
          <w:p>
            <w:pP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成本利用率</w:t>
            </w:r>
          </w:p>
        </w:tc>
        <w:tc>
          <w:tcPr>
            <w:tcW w:w="2891" w:type="dxa"/>
            <w:vAlign w:val="center"/>
          </w:tcPr>
          <w:p>
            <w:pPr>
              <w:pStyle w:val="单元格样式2"/>
            </w:pPr>
            <w:r>
              <w:t xml:space="preserve">成本利用率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成本利用率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2.信息化建设绩效目标表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319001曹妃甸区审计局本级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13020925P001485100014</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信息化建设</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42.00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42.00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用于专用设备及信息网络及软件购置更新</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1.完成审计工作计划、提高审计工作质量</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完成集中审计项目数量</w:t>
            </w:r>
          </w:p>
        </w:tc>
        <w:tc>
          <w:tcPr>
            <w:tcW w:w="2891" w:type="dxa"/>
            <w:vAlign w:val="center"/>
          </w:tcPr>
          <w:p>
            <w:pPr>
              <w:pStyle w:val="单元格样式2"/>
            </w:pPr>
            <w:r>
              <w:t xml:space="preserve">完成集中审计项目数量</w:t>
            </w:r>
          </w:p>
        </w:tc>
        <w:tc>
          <w:tcPr>
            <w:tcW w:w="1276" w:type="dxa"/>
            <w:vAlign w:val="center"/>
          </w:tcPr>
          <w:p>
            <w:pPr>
              <w:pStyle w:val="单元格样式2"/>
            </w:pPr>
            <w:r>
              <w:t xml:space="preserve">≥25次</w:t>
            </w:r>
          </w:p>
        </w:tc>
        <w:tc>
          <w:tcPr>
            <w:tcW w:w="1843" w:type="dxa"/>
            <w:vAlign w:val="center"/>
          </w:tcPr>
          <w:p>
            <w:pPr>
              <w:pStyle w:val="单元格样式2"/>
            </w:pPr>
            <w:r>
              <w:t xml:space="preserve">完成集中审计项目数量</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优秀审计项目数量</w:t>
            </w:r>
          </w:p>
        </w:tc>
        <w:tc>
          <w:tcPr>
            <w:tcW w:w="2891" w:type="dxa"/>
            <w:vAlign w:val="center"/>
          </w:tcPr>
          <w:p>
            <w:pPr>
              <w:pStyle w:val="单元格样式2"/>
            </w:pPr>
            <w:r>
              <w:t xml:space="preserve">优秀审计项目数量</w:t>
            </w:r>
          </w:p>
        </w:tc>
        <w:tc>
          <w:tcPr>
            <w:tcW w:w="1276" w:type="dxa"/>
            <w:vAlign w:val="center"/>
          </w:tcPr>
          <w:p>
            <w:pPr>
              <w:pStyle w:val="单元格样式2"/>
            </w:pPr>
            <w:r>
              <w:t xml:space="preserve">≥10次</w:t>
            </w:r>
          </w:p>
        </w:tc>
        <w:tc>
          <w:tcPr>
            <w:tcW w:w="1843" w:type="dxa"/>
            <w:vAlign w:val="center"/>
          </w:tcPr>
          <w:p>
            <w:pPr>
              <w:pStyle w:val="单元格样式2"/>
            </w:pPr>
            <w:r>
              <w:t xml:space="preserve">优秀审计项目数量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任务完成及时率</w:t>
            </w:r>
          </w:p>
        </w:tc>
        <w:tc>
          <w:tcPr>
            <w:tcW w:w="2891" w:type="dxa"/>
            <w:vAlign w:val="center"/>
          </w:tcPr>
          <w:p>
            <w:pPr>
              <w:pStyle w:val="单元格样式2"/>
            </w:pPr>
            <w:r>
              <w:t xml:space="preserve">任务完成及时率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任务完成及时率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预算控制数</w:t>
            </w:r>
          </w:p>
        </w:tc>
        <w:tc>
          <w:tcPr>
            <w:tcW w:w="2891" w:type="dxa"/>
            <w:vAlign w:val="center"/>
          </w:tcPr>
          <w:p>
            <w:pPr>
              <w:pStyle w:val="单元格样式2"/>
            </w:pPr>
            <w:r>
              <w:t xml:space="preserve">预算控制数</w:t>
            </w:r>
          </w:p>
        </w:tc>
        <w:tc>
          <w:tcPr>
            <w:tcW w:w="1276" w:type="dxa"/>
            <w:vAlign w:val="center"/>
          </w:tcPr>
          <w:p>
            <w:pPr>
              <w:pStyle w:val="单元格样式2"/>
            </w:pPr>
            <w:r>
              <w:t xml:space="preserve">≤42万元</w:t>
            </w:r>
          </w:p>
        </w:tc>
        <w:tc>
          <w:tcPr>
            <w:tcW w:w="1843" w:type="dxa"/>
            <w:vAlign w:val="center"/>
          </w:tcPr>
          <w:p>
            <w:pPr>
              <w:pStyle w:val="单元格样式2"/>
            </w:pPr>
            <w:r>
              <w:t xml:space="preserve">预算控制数</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资金使用效益</w:t>
            </w:r>
          </w:p>
        </w:tc>
        <w:tc>
          <w:tcPr>
            <w:tcW w:w="2891" w:type="dxa"/>
            <w:vAlign w:val="center"/>
          </w:tcPr>
          <w:p>
            <w:pPr>
              <w:pStyle w:val="单元格样式2"/>
            </w:pPr>
            <w:r>
              <w:t xml:space="preserve">资金使用效益</w:t>
            </w:r>
          </w:p>
        </w:tc>
        <w:tc>
          <w:tcPr>
            <w:tcW w:w="1276" w:type="dxa"/>
            <w:vAlign w:val="center"/>
          </w:tcPr>
          <w:p>
            <w:pPr>
              <w:pStyle w:val="单元格样式2"/>
            </w:pPr>
            <w:r>
              <w:t xml:space="preserve">≥95百分比</w:t>
            </w:r>
          </w:p>
        </w:tc>
        <w:tc>
          <w:tcPr>
            <w:tcW w:w="1843" w:type="dxa"/>
            <w:vAlign w:val="center"/>
          </w:tcPr>
          <w:p>
            <w:pPr>
              <w:pStyle w:val="单元格样式2"/>
            </w:pPr>
            <w:r>
              <w:t xml:space="preserve">资金使用效益</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提供服务次数</w:t>
            </w:r>
          </w:p>
        </w:tc>
        <w:tc>
          <w:tcPr>
            <w:tcW w:w="2891" w:type="dxa"/>
            <w:vAlign w:val="center"/>
          </w:tcPr>
          <w:p>
            <w:pPr>
              <w:pStyle w:val="单元格样式2"/>
            </w:pPr>
            <w:r>
              <w:t xml:space="preserve">提供服务次数</w:t>
            </w:r>
          </w:p>
        </w:tc>
        <w:tc>
          <w:tcPr>
            <w:tcW w:w="1276" w:type="dxa"/>
            <w:vAlign w:val="center"/>
          </w:tcPr>
          <w:p>
            <w:pPr>
              <w:pStyle w:val="单元格样式2"/>
            </w:pPr>
            <w:r>
              <w:t xml:space="preserve">≥25次</w:t>
            </w:r>
          </w:p>
        </w:tc>
        <w:tc>
          <w:tcPr>
            <w:tcW w:w="1843" w:type="dxa"/>
            <w:vAlign w:val="center"/>
          </w:tcPr>
          <w:p>
            <w:pPr>
              <w:pStyle w:val="单元格样式2"/>
            </w:pPr>
            <w:r>
              <w:t xml:space="preserve">提供服务次数</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服务对象满意度</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3.一般行政管理事务绩效目标表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319001曹妃甸区审计局本级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13020925P00148310001Q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一般行政管理事务</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304.80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304.80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用于办公费、印刷费、维修费、差旅费等费用支出。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1.完成审计工作计划，提高审计工作质量</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审计次数</w:t>
            </w:r>
          </w:p>
        </w:tc>
        <w:tc>
          <w:tcPr>
            <w:tcW w:w="2891" w:type="dxa"/>
            <w:vAlign w:val="center"/>
          </w:tcPr>
          <w:p>
            <w:pPr>
              <w:pStyle w:val="单元格样式2"/>
            </w:pPr>
            <w:r>
              <w:t xml:space="preserve">审计次数</w:t>
            </w:r>
          </w:p>
        </w:tc>
        <w:tc>
          <w:tcPr>
            <w:tcW w:w="1276" w:type="dxa"/>
            <w:vAlign w:val="center"/>
          </w:tcPr>
          <w:p>
            <w:pPr>
              <w:pStyle w:val="单元格样式2"/>
            </w:pPr>
            <w:r>
              <w:t xml:space="preserve">≥25次</w:t>
            </w:r>
          </w:p>
        </w:tc>
        <w:tc>
          <w:tcPr>
            <w:tcW w:w="1843" w:type="dxa"/>
            <w:vAlign w:val="center"/>
          </w:tcPr>
          <w:p>
            <w:pPr>
              <w:pStyle w:val="单元格样式2"/>
            </w:pPr>
            <w:r>
              <w:t xml:space="preserve">审计次数</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完成率质量</w:t>
            </w:r>
          </w:p>
        </w:tc>
        <w:tc>
          <w:tcPr>
            <w:tcW w:w="2891" w:type="dxa"/>
            <w:vAlign w:val="center"/>
          </w:tcPr>
          <w:p>
            <w:pPr>
              <w:pStyle w:val="单元格样式2"/>
            </w:pPr>
            <w:r>
              <w:t xml:space="preserve">完成率质量</w:t>
            </w:r>
          </w:p>
        </w:tc>
        <w:tc>
          <w:tcPr>
            <w:tcW w:w="1276" w:type="dxa"/>
            <w:vAlign w:val="center"/>
          </w:tcPr>
          <w:p>
            <w:pPr>
              <w:pStyle w:val="单元格样式2"/>
            </w:pPr>
            <w:r>
              <w:t xml:space="preserve">≥95百分数</w:t>
            </w:r>
          </w:p>
        </w:tc>
        <w:tc>
          <w:tcPr>
            <w:tcW w:w="1843" w:type="dxa"/>
            <w:vAlign w:val="center"/>
          </w:tcPr>
          <w:p>
            <w:pPr>
              <w:pStyle w:val="单元格样式2"/>
            </w:pPr>
            <w:r>
              <w:t xml:space="preserve">完成率质量</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完成工作时间</w:t>
            </w:r>
          </w:p>
        </w:tc>
        <w:tc>
          <w:tcPr>
            <w:tcW w:w="2891" w:type="dxa"/>
            <w:vAlign w:val="center"/>
          </w:tcPr>
          <w:p>
            <w:pPr>
              <w:pStyle w:val="单元格样式2"/>
            </w:pPr>
            <w:r>
              <w:t xml:space="preserve">完成工作时间</w:t>
            </w:r>
          </w:p>
        </w:tc>
        <w:tc>
          <w:tcPr>
            <w:tcW w:w="1276" w:type="dxa"/>
            <w:vAlign w:val="center"/>
          </w:tcPr>
          <w:p>
            <w:pPr>
              <w:pStyle w:val="单元格样式2"/>
            </w:pPr>
            <w:r>
              <w:t xml:space="preserve">12月</w:t>
            </w:r>
          </w:p>
        </w:tc>
        <w:tc>
          <w:tcPr>
            <w:tcW w:w="1843" w:type="dxa"/>
            <w:vAlign w:val="center"/>
          </w:tcPr>
          <w:p>
            <w:pPr>
              <w:pStyle w:val="单元格样式2"/>
            </w:pPr>
            <w:r>
              <w:t xml:space="preserve">完成工作时间</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总成本控制数</w:t>
            </w:r>
          </w:p>
        </w:tc>
        <w:tc>
          <w:tcPr>
            <w:tcW w:w="2891" w:type="dxa"/>
            <w:vAlign w:val="center"/>
          </w:tcPr>
          <w:p>
            <w:pPr>
              <w:pStyle w:val="单元格样式2"/>
            </w:pPr>
            <w:r>
              <w:t xml:space="preserve">总成本控制数</w:t>
            </w:r>
          </w:p>
        </w:tc>
        <w:tc>
          <w:tcPr>
            <w:tcW w:w="1276" w:type="dxa"/>
            <w:vAlign w:val="center"/>
          </w:tcPr>
          <w:p>
            <w:pPr>
              <w:pStyle w:val="单元格样式2"/>
            </w:pPr>
            <w:r>
              <w:t xml:space="preserve">≤304.8万元</w:t>
            </w:r>
          </w:p>
        </w:tc>
        <w:tc>
          <w:tcPr>
            <w:tcW w:w="1843" w:type="dxa"/>
            <w:vAlign w:val="center"/>
          </w:tcPr>
          <w:p>
            <w:pPr>
              <w:pStyle w:val="单元格样式2"/>
            </w:pPr>
            <w:r>
              <w:t xml:space="preserve">总成本控制数</w:t>
            </w:r>
          </w:p>
        </w:tc>
      </w:tr>
      <w:tr>
        <w:trPr>
          <w:trHeight w:val="369"/>
          <w:jc w:val="center"/>
        </w:trPr>
        <w:tc>
          <w:tcPr>
            <w:tcW w:w="1276" w:type="dxa"/>
            <w:vAlign w:val="center"/>
          </w:tcPr>
          <w:p>
            <w:pPr>
              <w:pStyle w:val="单元格样式3"/>
            </w:pPr>
            <w:r>
              <w:t xml:space="preserve">效益指标</w:t>
            </w: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社会影响度</w:t>
            </w:r>
          </w:p>
        </w:tc>
        <w:tc>
          <w:tcPr>
            <w:tcW w:w="2891" w:type="dxa"/>
            <w:vAlign w:val="center"/>
          </w:tcPr>
          <w:p>
            <w:pPr>
              <w:pStyle w:val="单元格样式2"/>
            </w:pPr>
            <w:r>
              <w:t xml:space="preserve">社会影响度</w:t>
            </w:r>
          </w:p>
        </w:tc>
        <w:tc>
          <w:tcPr>
            <w:tcW w:w="1276" w:type="dxa"/>
            <w:vAlign w:val="center"/>
          </w:tcPr>
          <w:p>
            <w:pPr>
              <w:pStyle w:val="单元格样式2"/>
            </w:pPr>
            <w:r>
              <w:t xml:space="preserve">≥95百分数</w:t>
            </w:r>
          </w:p>
        </w:tc>
        <w:tc>
          <w:tcPr>
            <w:tcW w:w="1843" w:type="dxa"/>
            <w:vAlign w:val="center"/>
          </w:tcPr>
          <w:p>
            <w:pPr>
              <w:pStyle w:val="单元格样式2"/>
            </w:pPr>
            <w:r>
              <w:t xml:space="preserve">社会影响度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≥95百分数</w:t>
            </w:r>
          </w:p>
        </w:tc>
        <w:tc>
          <w:tcPr>
            <w:tcW w:w="1843" w:type="dxa"/>
            <w:vAlign w:val="center"/>
          </w:tcPr>
          <w:p>
            <w:pPr>
              <w:pStyle w:val="单元格样式2"/>
            </w:pPr>
            <w:r>
              <w:t xml:space="preserve">服务对象满意度</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2025-02-25T17:30:11Z</dcterms:created>
  <dcterms:modified xsi:type="dcterms:W3CDTF">2025-02-25T17:30:11Z</dcterms:modified>
</cp:coreProperties>
</file>