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中共曹妃甸区纪律检查委员会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中共曹妃甸区纪律检查委员会编制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1.查办案件专项经费-城镇、街道、农场纪委绩效目标表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2.查办案件专项经费-派驻纪检组查办案件绩效目标表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3.党风廉政宣传教育绩效目标表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4.调查信访举报线索及查办案件费用绩效目标表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5.纪检干部培训绩效目标表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6.监督检查专项经费绩效目标表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7.留置保障经费绩效目标表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8.区委巡察工作绩效目标表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9.网络运行维护费绩效目标表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2024年是中华人民共和国成立75周年，是实现“十四五”规划目标任务的关键一年，也是曹妃甸加快高质量发展向上突围的重要一年。做好今年纪检监察工作，总体要求是：坚持以习近平新时代中国特色社会主义思想为指导，全面贯彻落实党的二十大、二十届二中全会、二十届中央纪委三次全会、省纪委十届四次全会、市纪委十一届四次全会精神，深入学习贯彻习近平总书记关于党的自我革命的重要思想，深刻领悟“两个确立”的决定性意义，自觉增强“四个意识”、坚定“四个自信”、做到“两个维护”，坚持稳中求进工作总基调，忠诚履行党章和宪法赋予的职责，纵深推进正风肃纪反腐，扎实推动新时代纪检监察工作高质量发展，为当好“三个努力建成”排头兵提供坚强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（一）党风廉政宣传教育工作</w:t>
      </w:r>
    </w:p>
    <w:p>
      <w:pPr>
        <w:pStyle w:val="插入文本样式-插入职责分类绩效目标文件"/>
      </w:pPr>
      <w:r>
        <w:t xml:space="preserve">绩效目标：加强廉洁文化建设，不断增强党员干部廉洁从政，廉洁用权，廉洁修身。</w:t>
      </w:r>
    </w:p>
    <w:p>
      <w:pPr>
        <w:pStyle w:val="插入文本样式-插入职责分类绩效目标文件"/>
      </w:pPr>
      <w:r>
        <w:t xml:space="preserve">绩效指标：持续抓好廉政教育、党纪法规教育，打造廉政文化宣传阵地，涵养清正廉洁价值理念，不断提升腐败治理效能。组织全区党员领导干部接受廉洁教育至少一次，教育活动覆盖率不低于80%。</w:t>
      </w:r>
    </w:p>
    <w:p>
      <w:pPr>
        <w:pStyle w:val="插入文本样式-插入职责分类绩效目标文件"/>
      </w:pPr>
      <w:r>
        <w:t xml:space="preserve">（二）调查信访举报线索及查办案件工作</w:t>
      </w:r>
    </w:p>
    <w:p>
      <w:pPr>
        <w:pStyle w:val="插入文本样式-插入职责分类绩效目标文件"/>
      </w:pPr>
      <w:r>
        <w:t xml:space="preserve">绩效目标：推动线索处置，案件查办等各项工作高质量发展。</w:t>
      </w:r>
    </w:p>
    <w:p>
      <w:pPr>
        <w:pStyle w:val="插入文本样式-插入职责分类绩效目标文件"/>
      </w:pPr>
      <w:r>
        <w:t xml:space="preserve">绩效指标：着力在提升办案时效、办案质量上下功夫，科学谋划审查调查工作，认真对案件线索进行分析研判，及时处置，迅速办理，快办快结，推动审查调查工作提质提效。案件办结率达到70%，违纪人员处理率达到100%。</w:t>
      </w:r>
    </w:p>
    <w:p>
      <w:pPr>
        <w:pStyle w:val="插入文本样式-插入职责分类绩效目标文件"/>
      </w:pPr>
      <w:r>
        <w:t xml:space="preserve">( 三 )纪检干部培训工作</w:t>
      </w:r>
    </w:p>
    <w:p>
      <w:pPr>
        <w:pStyle w:val="插入文本样式-插入职责分类绩效目标文件"/>
      </w:pPr>
      <w:r>
        <w:t xml:space="preserve">绩效目标：提升整体纪检监察干部队伍素质。</w:t>
      </w:r>
    </w:p>
    <w:p>
      <w:pPr>
        <w:pStyle w:val="插入文本样式-插入职责分类绩效目标文件"/>
      </w:pPr>
      <w:r>
        <w:t xml:space="preserve">绩效指标：通过业务培训，不断强化纪法意识、纪法思维、纪法素养，不断增强法治意识、程序意识、证据意识，提升监督执纪问责专业化水平，努力培养站位高、眼界宽、业务精、能攻坚的纪检监察尖兵。组织全区纪检监察干部培训至少一次，人员受训比率不低于90%，争取省、市纪检系统培训名额不低于5人。</w:t>
      </w:r>
    </w:p>
    <w:p>
      <w:pPr>
        <w:pStyle w:val="插入文本样式-插入职责分类绩效目标文件"/>
      </w:pPr>
      <w:r>
        <w:t xml:space="preserve">（四）监督检查专项工作</w:t>
      </w:r>
    </w:p>
    <w:p>
      <w:pPr>
        <w:pStyle w:val="插入文本样式-插入职责分类绩效目标文件"/>
      </w:pPr>
      <w:r>
        <w:t xml:space="preserve">绩效目标：监督推动各项决策部署落地见效。</w:t>
      </w:r>
    </w:p>
    <w:p>
      <w:pPr>
        <w:pStyle w:val="插入文本样式-插入职责分类绩效目标文件"/>
      </w:pPr>
      <w:r>
        <w:t xml:space="preserve">绩效指标：统筹调度系统内外监督力量，聚焦党中央重大决策部署、区委区政府重点工作加强政治监督，切实发挥监督保障执行，促进完善发展作用。监督检查频率每月至少一次，监督检查单位覆盖率达到100%。</w:t>
      </w:r>
    </w:p>
    <w:p>
      <w:pPr>
        <w:pStyle w:val="插入文本样式-插入职责分类绩效目标文件"/>
      </w:pPr>
      <w:r>
        <w:t xml:space="preserve">（五）区委巡察工作</w:t>
      </w:r>
    </w:p>
    <w:p>
      <w:pPr>
        <w:pStyle w:val="插入文本样式-插入职责分类绩效目标文件"/>
      </w:pPr>
      <w:r>
        <w:t xml:space="preserve">绩效目标：完成对巡察对象的全覆盖，充分发挥出巡察的震慑、遏制和治本作用。</w:t>
      </w:r>
    </w:p>
    <w:p>
      <w:pPr>
        <w:pStyle w:val="插入文本样式-插入职责分类绩效目标文件"/>
      </w:pPr>
      <w:r>
        <w:t xml:space="preserve">绩效指标：按照三届区委巡察工作规划（2022-2026年）全覆盖要求，2023年开展两轮常规巡察、两轮专项巡察，按照省市委要求开展上下联动巡察，配合市委开展提级交叉巡察，被巡察单位达到100%。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完善制度建设。制定完善预算绩效管理制度、资金管理办法等制度，为全年预算绩效目标的实现奠定制度基础。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1.查办案件专项经费-城镇、街道、农场纪委绩效目标表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13020925P001491100028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查办案件专项经费-城镇、街道、农场纪委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用于保障场镇纪委办案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1.提升基层纪检监察工作质效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查处案件数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查处案件数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案件办结率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案件查处办结时限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案件查处办结时限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效果良好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群众满意度明显提高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2.查办案件专项经费-派驻纪检组查办案件绩效目标表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13020925P001494100029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查办案件专项经费-派驻纪检组查办案件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用于支付派驻机构监督检查、办案等费用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1.推动派驻监督管党治党作用等到全方位发挥、深层次体现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开展监督检查次数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开展监督检查次数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被监督单位覆盖率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完成监督检查工作时间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按规定的时间节点完成监督检查工作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遏制监督单位党员干部贪污腐败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效果良好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派驻单位监督对象满意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3.党风廉政宣传教育绩效目标表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13020925P00148810002Q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党风廉政宣传教育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用于党风廉政宣传工作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1.加强廉洁文化建设，不断增强党员干部廉洁从政，廉洁用权，用身边事教育身边人，不断筑牢党员领导干部拒腐防变的思想防线。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培训人员人次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宣传教育培训合格率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宣传教育培训合格率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廉洁教育按期完成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宣传活动持续影响人数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参加学习教育满意度人员占比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4.调查信访举报线索及查办案件费用绩效目标表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13020925P00149210002X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调查信访举报线索及查办案件费用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115.90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115.90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保障日常查办案件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1.推动线索处置，案件查办等各项工作高质量发展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办理案件数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办理案件数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查办案件办理工作质效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查办案件安全完成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控制在年初预算内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≤115.9万元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促进党员干部廉洁，遏制腐败现象。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效果良好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5.纪检干部培训绩效目标表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13020925P00148610002D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纪检干部培训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35.25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35.25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组织全区纪检监察干部培训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1.提升整体纪检监察干部队伍素质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控制在年初预算内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≤35.25万元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构建高素质纪检监察队伍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提升干部专业化法制化水平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参加培训学员满意度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参加培训学员满意度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6.监督检查专项经费绩效目标表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13020925P00149010002J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监督检查专项经费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用于支付监督检查费用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1.统筹调度系统内外监督力量，聚焦党中央重大决策部署、区委区政府重点工作、群众身边的腐败和作风问题加强政治监督，切实发挥监督保障执行，促进完善发展作用。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开展监督检查次数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开展监督检查次数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监督检查单位占列入监督检查单位的比率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监督检查工作按期完成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控制在年初预算内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监督推动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调查中满意人数占总人数的比例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7.留置保障经费绩效目标表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13020925P00149310002K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留置保障经费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295.00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295.00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用于保障留置案件正常开展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1.力争在留置案件办理中实现案件数量、质量、效率和安全的全面提升，推动反腐败斗争向纵深发展，为全面从严治党提供坚强保障。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查处案件数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查处案件数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ab/>
            </w:r>
          </w:p>
          <w:p>
            <w:pPr>
              <w:pStyle w:val="单元格样式2"/>
            </w:pPr>
            <w:r>
              <w:t xml:space="preserve">财政拨款保障率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留置案件按期完成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控制在年初预算内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≤265万元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惩治腐败人员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惩治腐败人员，推进反腐败工作向纵深发展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8.区委巡察工作绩效目标表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13020925P00148910002E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区委巡察工作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265.68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265.68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开展巡察工作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1.完成对巡察对象的全覆盖，充分发挥出巡察的震慑、遏制和治本作用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巡查监管对象个数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开展巡察单位数量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≥24家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巡察覆盖面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计划被巡察单位全覆盖率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巡察完成时限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区委巡察按时完成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控制在年初预算内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≤265.68万元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发挥巡察监督作用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持续深化巩固全省巡察整改流程指引试点理论成果、制度成果和时间成果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效果良好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被巡察单位满意度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被巡察单位满意度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9.网络运行维护费绩效目标表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222001中共曹妃甸区纪律检查委员会本级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13020925P001487100023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网络运行维护费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64.26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64.26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用于购买内网终端设备，加强纪检监察内网建设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1.加强纪检监察内网运维，保障纪检监察工作顺利开展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设备采购数量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采购内网终端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≥16套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采购内网终端合格率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按期完成资金支付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按期完成资金支付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控制在年初预算资金内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≤64.26万元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保证业务工作顺利开展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购买内网终端，加强运维服务，保障纪检监察工作顺利开展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效果良好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2025-02-26T15:08:30Z</dcterms:created>
  <dcterms:modified xsi:type="dcterms:W3CDTF">2025-02-26T15:08:30Z</dcterms:modified>
</cp:coreProperties>
</file>