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0" w:right="0" w:bottom="0" w:left="0" w:header="851" w:footer="992" w:gutter="0"/>
          <w:cols w:space="425" w:num="1"/>
          <w:titlePg/>
          <w:docGrid w:type="lines" w:linePitch="312" w:charSpace="0"/>
        </w:sectPr>
      </w:pPr>
      <w:r>
        <w:pict>
          <v:shape id="文本框 10" o:spid="_x0000_s1026" o:spt="202" type="#_x0000_t202" style="position:absolute;left:0pt;margin-left:106.25pt;margin-top:693.55pt;height:79.95pt;width:404.15pt;z-index:251655168;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joinstyle="miter"/>
            <v:imagedata o:title=""/>
            <o:lock v:ext="edit"/>
            <v:textbox style="mso-fit-shape-to-text:t;">
              <w:txbxContent>
                <w:p>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二〇二〇年七月</w:t>
                  </w:r>
                </w:p>
              </w:txbxContent>
            </v:textbox>
          </v:shape>
        </w:pict>
      </w:r>
      <w:r>
        <w:pict>
          <v:shape id="椭圆 8" o:spid="_x0000_s1027" o:spt="3" type="#_x0000_t3" style="position:absolute;left:0pt;margin-left:53.5pt;margin-top:232.45pt;height:121.95pt;width:121.95pt;z-index:251652096;v-text-anchor:middle;mso-width-relative:page;mso-height-relative:page;"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v:path/>
            <v:fill focussize="0,0"/>
            <v:stroke on="f" weight="1pt" joinstyle="miter"/>
            <v:imagedata o:title=""/>
            <o:lock v:ext="edit"/>
          </v:shape>
        </w:pict>
      </w:r>
      <w:r>
        <w:pict>
          <v:rect id="矩形 14" o:spid="_x0000_s1028" o:spt="1" style="position:absolute;left:0pt;margin-left:33.6pt;margin-top:256.75pt;height:69.6pt;width:160.65pt;z-index:251657216;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v:path/>
            <v:fill on="f" focussize="0,0"/>
            <v:stroke on="f"/>
            <v:imagedata o:title=""/>
            <o:lock v:ext="edit"/>
            <v:textbox style="mso-fit-shape-to-text:t;">
              <w:txbxContent>
                <w:p>
                  <w:pPr>
                    <w:spacing w:line="360" w:lineRule="auto"/>
                    <w:jc w:val="center"/>
                    <w:rPr>
                      <w:kern w:val="0"/>
                      <w:sz w:val="28"/>
                      <w:szCs w:val="28"/>
                    </w:rPr>
                  </w:pPr>
                  <w:r>
                    <w:rPr>
                      <w:rFonts w:ascii="Yu Gothic UI Semibold" w:hAnsi="Yu Gothic UI Semibold" w:eastAsia="宋体"/>
                      <w:color w:val="C7EDCC"/>
                      <w:kern w:val="24"/>
                      <w:sz w:val="72"/>
                      <w:szCs w:val="72"/>
                    </w:rPr>
                    <w:t>2019</w:t>
                  </w:r>
                </w:p>
              </w:txbxContent>
            </v:textbox>
          </v:rect>
        </w:pict>
      </w:r>
      <w:r>
        <w:pict>
          <v:shape id="椭圆 9" o:spid="_x0000_s1029" o:spt="3" type="#_x0000_t3" style="position:absolute;left:0pt;margin-left:62.2pt;margin-top:242.75pt;height:103.45pt;width:103.45pt;z-index:251656192;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Chgu2AAAAAsBAAAP&#10;AAAAAAAAAAEAIAAAACIAAABkcnMvZG93bnJldi54bWxQSwECFAAUAAAACACHTuJAurh2Fd8BAACI&#10;AwAADgAAAAAAAAABACAAAAAnAQAAZHJzL2Uyb0RvYy54bWxQSwUGAAAAAAYABgBZAQAAeAUAAAAA&#10;">
            <v:path/>
            <v:fill on="t" focussize="0,0"/>
            <v:stroke on="f" weight="1pt" joinstyle="miter"/>
            <v:imagedata o:title=""/>
            <o:lock v:ext="edit"/>
          </v:shape>
        </w:pict>
      </w:r>
      <w:r>
        <w:pict>
          <v:group id="_x0000_s1030" o:spid="_x0000_s1030" o:spt="203" style="position:absolute;left:0pt;margin-left:1.25pt;margin-top:821.7pt;height:21.45pt;width:595.25pt;z-index:251653120;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31"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32"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pict>
          <v:group id="_x0000_s1033" o:spid="_x0000_s1033" o:spt="203" style="position:absolute;left:0pt;margin-left:-2.5pt;margin-top:0pt;height:308.5pt;width:600.25pt;z-index:-251666432;mso-width-relative:page;mso-height-relative:page;" coordorigin="13622,283" coordsize="12005,6170"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o:lock v:ext="edit"/>
            <v:rect id="矩形 5" o:spid="_x0000_s1034"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path/>
              <v:fill on="t" focussize="0,0"/>
              <v:stroke on="f" weight="1pt"/>
              <v:imagedata o:title=""/>
              <o:lock v:ext="edit"/>
            </v:rect>
            <v:shape id="_x0000_s1035" o:spid="_x0000_s1035" o:spt="202" type="#_x0000_t202" style="position:absolute;left:17229;top:5021;height:1392;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path/>
              <v:fill on="f" focussize="0,0"/>
              <v:stroke on="f" joinstyle="miter"/>
              <v:imagedata o:title=""/>
              <o:lock v:ext="edit"/>
              <v:textbox style="mso-fit-shape-to-text:t;">
                <w:txbxContent>
                  <w:p>
                    <w:pPr>
                      <w:jc w:val="left"/>
                      <w:rPr>
                        <w:color w:val="000000"/>
                        <w:kern w:val="0"/>
                        <w:sz w:val="92"/>
                        <w:szCs w:val="92"/>
                      </w:rPr>
                    </w:pPr>
                    <w:r>
                      <w:rPr>
                        <w:rFonts w:hint="eastAsia" w:ascii="思源黑体 HW Bold" w:hAnsi="思源黑体 HW Bold" w:eastAsia="思源黑体 HW Bold"/>
                        <w:color w:val="000000"/>
                        <w:kern w:val="24"/>
                        <w:sz w:val="92"/>
                        <w:szCs w:val="92"/>
                      </w:rPr>
                      <w:t>部门决算公开文本</w:t>
                    </w:r>
                  </w:p>
                </w:txbxContent>
              </v:textbox>
            </v:shape>
          </v:group>
        </w:pict>
      </w:r>
      <w:r>
        <w:pict>
          <v:rect id="矩形 11" o:spid="_x0000_s1036" o:spt="1" style="position:absolute;left:0pt;margin-left:184.75pt;margin-top:286.6pt;height:31.25pt;width:339.65pt;mso-wrap-style:none;z-index:251654144;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txbxContent>
            </v:textbox>
          </v:rect>
        </w:pict>
      </w:r>
    </w:p>
    <w:p>
      <w:pPr>
        <w:rPr>
          <w:rFonts w:ascii="黑体" w:hAnsi="Times New Roman" w:eastAsia="黑体"/>
          <w:sz w:val="48"/>
          <w:szCs w:val="48"/>
        </w:rPr>
      </w:pPr>
      <w:r>
        <w:rPr>
          <w:rFonts w:ascii="黑体" w:hAnsi="Times New Roman" w:eastAsia="黑体"/>
          <w:sz w:val="48"/>
          <w:szCs w:val="48"/>
        </w:rPr>
        <w:pict>
          <v:shape id="_x0000_i1025" o:spt="75" type="#_x0000_t75" style="height:630.6pt;width:438pt;" filled="f" o:preferrelative="t" stroked="f" coordsize="21600,21600">
            <v:path/>
            <v:fill on="f" focussize="0,0"/>
            <v:stroke on="f" joinstyle="miter"/>
            <v:imagedata r:id="rId10" o:title=""/>
            <o:lock v:ext="edit" aspectratio="t"/>
            <w10:wrap type="none"/>
            <w10:anchorlock/>
          </v:shape>
        </w:pict>
      </w:r>
    </w:p>
    <w:p>
      <w:pPr>
        <w:widowControl/>
        <w:spacing w:line="600" w:lineRule="exact"/>
        <w:jc w:val="left"/>
        <w:rPr>
          <w:rFonts w:ascii="黑体" w:hAnsi="Times New Roman" w:eastAsia="黑体"/>
          <w:sz w:val="48"/>
          <w:szCs w:val="48"/>
        </w:rPr>
      </w:pPr>
      <w:r>
        <w:rPr>
          <w:rFonts w:ascii="黑体" w:hAnsi="Times New Roman" w:eastAsia="黑体"/>
          <w:sz w:val="48"/>
          <w:szCs w:val="48"/>
        </w:rPr>
        <w:tab/>
      </w:r>
      <w:r>
        <w:rPr>
          <w:rFonts w:ascii="黑体" w:hAnsi="Times New Roman" w:eastAsia="黑体"/>
          <w:sz w:val="48"/>
          <w:szCs w:val="48"/>
        </w:rPr>
        <w:br w:type="page"/>
      </w:r>
    </w:p>
    <w:p>
      <w:pPr>
        <w:tabs>
          <w:tab w:val="left" w:pos="2728"/>
        </w:tabs>
        <w:jc w:val="center"/>
        <w:rPr>
          <w:rFonts w:ascii="黑体" w:hAnsi="Times New Roman" w:eastAsia="黑体"/>
          <w:sz w:val="48"/>
          <w:szCs w:val="48"/>
        </w:rPr>
      </w:pPr>
    </w:p>
    <w:p>
      <w:pPr>
        <w:tabs>
          <w:tab w:val="left" w:pos="2728"/>
        </w:tabs>
        <w:jc w:val="center"/>
        <w:rPr>
          <w:rFonts w:ascii="黑体" w:hAnsi="Times New Roman" w:eastAsia="黑体"/>
          <w:sz w:val="48"/>
          <w:szCs w:val="48"/>
        </w:rPr>
      </w:pPr>
      <w:r>
        <w:rPr>
          <w:rFonts w:hint="eastAsia" w:ascii="黑体" w:hAnsi="Times New Roman" w:eastAsia="黑体"/>
          <w:sz w:val="48"/>
          <w:szCs w:val="48"/>
        </w:rPr>
        <w:t>目</w:t>
      </w:r>
      <w:r>
        <w:rPr>
          <w:rFonts w:ascii="黑体" w:hAnsi="Times New Roman" w:eastAsia="黑体"/>
          <w:sz w:val="48"/>
          <w:szCs w:val="48"/>
        </w:rPr>
        <w:t xml:space="preserve">    </w:t>
      </w:r>
      <w:r>
        <w:rPr>
          <w:rFonts w:hint="eastAsia" w:ascii="黑体" w:hAnsi="Times New Roman" w:eastAsia="黑体"/>
          <w:sz w:val="48"/>
          <w:szCs w:val="48"/>
        </w:rPr>
        <w:t>录</w:t>
      </w: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仿宋_GB2312"/>
          <w:sz w:val="24"/>
          <w:szCs w:val="32"/>
        </w:rPr>
      </w:pPr>
      <w:r>
        <w:rPr>
          <w:rFonts w:hint="eastAsia" w:ascii="Times New Roman" w:hAnsi="Times New Roman" w:eastAsia="黑体"/>
          <w:sz w:val="32"/>
          <w:szCs w:val="32"/>
        </w:rPr>
        <w:t>第一部分</w:t>
      </w:r>
      <w:r>
        <w:rPr>
          <w:rFonts w:ascii="Times New Roman" w:hAnsi="Times New Roman" w:eastAsia="黑体"/>
          <w:sz w:val="32"/>
          <w:szCs w:val="32"/>
        </w:rPr>
        <w:t xml:space="preserve">   </w:t>
      </w:r>
      <w:r>
        <w:rPr>
          <w:rFonts w:hint="eastAsia" w:ascii="Times New Roman" w:hAnsi="Times New Roman" w:eastAsia="黑体"/>
          <w:sz w:val="32"/>
          <w:szCs w:val="32"/>
        </w:rPr>
        <w:t>部门概况</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一、部门职责</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二、机构设置</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第二部分</w:t>
      </w:r>
      <w:r>
        <w:rPr>
          <w:rFonts w:ascii="Times New Roman" w:hAnsi="Times New Roman" w:eastAsia="黑体"/>
          <w:sz w:val="32"/>
          <w:szCs w:val="32"/>
        </w:rPr>
        <w:t xml:space="preserve">   2019</w:t>
      </w:r>
      <w:r>
        <w:rPr>
          <w:rFonts w:hint="eastAsia" w:ascii="Times New Roman" w:hAnsi="Times New Roman" w:eastAsia="黑体"/>
          <w:sz w:val="32"/>
          <w:szCs w:val="32"/>
        </w:rPr>
        <w:t>年部门决算情况说明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二、收入决算情况说明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三、支出决算情况说明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五、一般公共预算</w:t>
      </w:r>
      <w:r>
        <w:rPr>
          <w:rFonts w:ascii="Times New Roman" w:hAnsi="Times New Roman" w:eastAsia="仿宋_GB2312"/>
          <w:sz w:val="32"/>
          <w:szCs w:val="32"/>
        </w:rPr>
        <w:t>“</w:t>
      </w:r>
      <w:r>
        <w:rPr>
          <w:rFonts w:hint="eastAsia" w:ascii="Times New Roman" w:hAnsi="Times New Roman" w:eastAsia="仿宋_GB2312"/>
          <w:sz w:val="32"/>
          <w:szCs w:val="32"/>
        </w:rPr>
        <w:t>三公</w:t>
      </w:r>
      <w:r>
        <w:rPr>
          <w:rFonts w:ascii="Times New Roman" w:hAnsi="Times New Roman" w:eastAsia="仿宋_GB2312"/>
          <w:sz w:val="32"/>
          <w:szCs w:val="32"/>
        </w:rPr>
        <w:t>”</w:t>
      </w:r>
      <w:r>
        <w:rPr>
          <w:rFonts w:hint="eastAsia" w:ascii="Times New Roman" w:hAnsi="Times New Roman" w:eastAsia="仿宋_GB2312"/>
          <w:sz w:val="32"/>
          <w:szCs w:val="32"/>
        </w:rPr>
        <w:t>经费支出决算情况说明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六、预算绩效情况说明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七、其他重要事项的说明</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第三部分</w:t>
      </w:r>
      <w:r>
        <w:rPr>
          <w:rFonts w:ascii="Times New Roman" w:hAnsi="Times New Roman" w:eastAsia="黑体"/>
          <w:sz w:val="32"/>
          <w:szCs w:val="32"/>
        </w:rPr>
        <w:t xml:space="preserve">  </w:t>
      </w:r>
      <w:r>
        <w:rPr>
          <w:rFonts w:hint="eastAsia" w:ascii="Times New Roman" w:hAnsi="Times New Roman" w:eastAsia="黑体"/>
          <w:sz w:val="32"/>
          <w:szCs w:val="32"/>
        </w:rPr>
        <w:t>名词解释</w:t>
      </w:r>
    </w:p>
    <w:p>
      <w:pPr>
        <w:widowControl/>
        <w:spacing w:after="160" w:line="580" w:lineRule="exact"/>
        <w:ind w:firstLine="640" w:firstLineChars="200"/>
        <w:rPr>
          <w:rFonts w:ascii="Times New Roman" w:hAnsi="Times New Roman" w:eastAsia="仿宋_GB2312"/>
          <w:sz w:val="20"/>
          <w:szCs w:val="32"/>
        </w:rPr>
      </w:pPr>
      <w:r>
        <w:rPr>
          <w:rFonts w:hint="eastAsia" w:ascii="Times New Roman" w:hAnsi="Times New Roman" w:eastAsia="黑体"/>
          <w:sz w:val="32"/>
          <w:szCs w:val="32"/>
        </w:rPr>
        <w:t>第四部分</w:t>
      </w:r>
      <w:r>
        <w:rPr>
          <w:rFonts w:ascii="Times New Roman" w:hAnsi="Times New Roman" w:eastAsia="黑体"/>
          <w:sz w:val="32"/>
          <w:szCs w:val="32"/>
        </w:rPr>
        <w:t xml:space="preserve">  2019</w:t>
      </w:r>
      <w:r>
        <w:rPr>
          <w:rFonts w:hint="eastAsia" w:ascii="Times New Roman" w:hAnsi="Times New Roman" w:eastAsia="黑体"/>
          <w:sz w:val="32"/>
          <w:szCs w:val="32"/>
        </w:rPr>
        <w:t>年度部门决算报表</w:t>
      </w:r>
    </w:p>
    <w:p>
      <w:pPr>
        <w:widowControl/>
        <w:spacing w:after="160" w:line="580" w:lineRule="exact"/>
        <w:ind w:firstLine="640" w:firstLineChars="200"/>
        <w:rPr>
          <w:rFonts w:ascii="Times New Roman" w:hAnsi="Times New Roman"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pict>
          <v:shape id="_x0000_s1037" o:spid="_x0000_s1037" o:spt="202" type="#_x0000_t202" style="position:absolute;left:0pt;margin-left:-85.7pt;margin-top:80.7pt;height:263.1pt;width:613.65pt;z-index:251658240;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v:path/>
            <v:fill type="pattern" on="t" focussize="0,0"/>
            <v:stroke weight="1pt" color="#FFD966" joinstyle="round"/>
            <v:imagedata o:title=""/>
            <o:lock v:ext="edit"/>
            <v:textbo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v:textbox>
          </v:shape>
        </w:pic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负责促进就业工作，拟定统筹城乡的就业发展规划和政策完善公共就业服务体系。统筹建立面向城乡劳动者的职业培训制度，牵头拟定高校毕业生就业政策，按规定负责非师范类毕业生报到、落户及推荐就业工作；会同有关部门拟定技能型人才、农村实用人才培养和激励政策；牵头拟定加强曹妃甸人才特区建设的相关政策措施。承办区政府交办的其它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 xml:space="preserve">2019 </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1</w:t>
      </w:r>
      <w:r>
        <w:rPr>
          <w:rFonts w:hint="eastAsia" w:ascii="仿宋_GB2312" w:hAnsi="Calibri" w:eastAsia="仿宋_GB2312" w:cs="ArialUnicodeMS"/>
          <w:kern w:val="0"/>
          <w:sz w:val="32"/>
          <w:szCs w:val="32"/>
        </w:rPr>
        <w:t>个，具体情况如下：</w:t>
      </w:r>
    </w:p>
    <w:tbl>
      <w:tblPr>
        <w:tblStyle w:val="7"/>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唐山市曹妃甸区就业服务局</w:t>
            </w:r>
            <w:r>
              <w:rPr>
                <w:rFonts w:ascii="仿宋_GB2312" w:hAnsi="Calibri" w:eastAsia="仿宋_GB2312" w:cs="ArialUnicodeMS"/>
                <w:kern w:val="0"/>
                <w:sz w:val="28"/>
                <w:szCs w:val="28"/>
              </w:rPr>
              <w:t>(</w:t>
            </w:r>
            <w:r>
              <w:rPr>
                <w:rFonts w:hint="eastAsia" w:ascii="仿宋_GB2312" w:hAnsi="Calibri" w:eastAsia="仿宋_GB2312" w:cs="ArialUnicodeMS"/>
                <w:kern w:val="0"/>
                <w:sz w:val="28"/>
                <w:szCs w:val="28"/>
              </w:rPr>
              <w:t>本级</w:t>
            </w:r>
            <w:r>
              <w:rPr>
                <w:rFonts w:ascii="仿宋_GB2312" w:hAnsi="Calibri" w:eastAsia="仿宋_GB2312" w:cs="ArialUnicodeMS"/>
                <w:kern w:val="0"/>
                <w:sz w:val="28"/>
                <w:szCs w:val="28"/>
              </w:rPr>
              <w:t>)</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line="560" w:lineRule="exact"/>
              <w:ind w:firstLine="560" w:firstLineChars="200"/>
              <w:jc w:val="left"/>
              <w:rPr>
                <w:rFonts w:ascii="仿宋_GB2312" w:hAnsi="Calibri" w:eastAsia="仿宋_GB2312" w:cs="ArialUnicodeMS"/>
                <w:kern w:val="0"/>
                <w:sz w:val="28"/>
                <w:szCs w:val="28"/>
              </w:rPr>
            </w:pPr>
          </w:p>
        </w:tc>
      </w:tr>
    </w:tbl>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sectPr>
          <w:headerReference r:id="rId4" w:type="first"/>
          <w:footerReference r:id="rId6" w:type="first"/>
          <w:headerReference r:id="rId3" w:type="default"/>
          <w:footerReference r:id="rId5" w:type="default"/>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ind w:firstLine="640" w:firstLineChars="200"/>
        <w:rPr>
          <w:rFonts w:ascii="Times New Roman" w:hAnsi="Times New Roman" w:eastAsia="黑体"/>
          <w:sz w:val="32"/>
          <w:szCs w:val="32"/>
        </w:rPr>
        <w:sectPr>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ind w:firstLine="420" w:firstLineChars="200"/>
        <w:rPr>
          <w:rFonts w:ascii="Times New Roman" w:hAnsi="Times New Roman" w:eastAsia="黑体"/>
          <w:sz w:val="32"/>
          <w:szCs w:val="32"/>
        </w:rPr>
        <w:sectPr>
          <w:pgSz w:w="11906" w:h="16838"/>
          <w:pgMar w:top="2041" w:right="1531" w:bottom="2041" w:left="1531" w:header="851" w:footer="992" w:gutter="0"/>
          <w:pgNumType w:fmt="numberInDash"/>
          <w:cols w:space="0" w:num="1"/>
          <w:titlePg/>
          <w:docGrid w:type="lines" w:linePitch="312" w:charSpace="0"/>
        </w:sectPr>
      </w:pPr>
      <w:r>
        <w:pict>
          <v:shape id="_x0000_s1038" o:spid="_x0000_s1038" o:spt="202" type="#_x0000_t202" style="position:absolute;left:0pt;margin-left:-85.7pt;margin-top:238.15pt;height:173.25pt;width:613.65pt;z-index:25165926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v:path/>
            <v:fill on="f" focussize="0,0"/>
            <v:stroke on="f" weight="0.5pt" joinstyle="miter"/>
            <v:imagedata o:title=""/>
            <o:lock v:ext="edit"/>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shape>
        </w:pic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pict>
          <v:shape id="_x0000_s1039" o:spid="_x0000_s1039" o:spt="202" type="#_x0000_t202" style="position:absolute;left:0pt;margin-left:-90.8pt;margin-top:4.35pt;height:263.1pt;width:613.65pt;z-index:251660288;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v:path/>
            <v:fill type="pattern" on="t" focussize="0,0"/>
            <v:stroke weight="0.5pt" color="#FFD966" joinstyle="round"/>
            <v:imagedata o:title=""/>
            <o:lock v:ext="edit"/>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txbxContent>
            </v:textbox>
          </v:shape>
        </w:pic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一、收入</w:t>
      </w:r>
      <w:r>
        <w:rPr>
          <w:rFonts w:hint="eastAsia" w:ascii="黑体" w:hAnsi="Cambria" w:eastAsia="黑体" w:cs="黑体"/>
          <w:kern w:val="0"/>
          <w:sz w:val="32"/>
          <w:szCs w:val="32"/>
        </w:rPr>
        <w:t>支出</w:t>
      </w:r>
      <w:r>
        <w:rPr>
          <w:rFonts w:hint="eastAsia" w:ascii="黑体" w:hAnsi="Calibri" w:eastAsia="黑体"/>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年度收支总计（含结转和结余）</w:t>
      </w:r>
      <w:r>
        <w:rPr>
          <w:rFonts w:ascii="仿宋_GB2312" w:hAnsi="Times New Roman" w:eastAsia="仿宋_GB2312" w:cs="DengXian-Regular"/>
          <w:sz w:val="32"/>
          <w:szCs w:val="32"/>
        </w:rPr>
        <w:t>228.05</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年度决算（</w:t>
      </w:r>
      <w:r>
        <w:rPr>
          <w:rFonts w:ascii="仿宋_GB2312" w:hAnsi="Times New Roman" w:eastAsia="仿宋_GB2312" w:cs="DengXian-Regular"/>
          <w:sz w:val="32"/>
          <w:szCs w:val="32"/>
        </w:rPr>
        <w:t>234.17</w:t>
      </w:r>
      <w:r>
        <w:rPr>
          <w:rFonts w:hint="eastAsia" w:ascii="仿宋_GB2312" w:hAnsi="Times New Roman" w:eastAsia="仿宋_GB2312" w:cs="DengXian-Regular"/>
          <w:sz w:val="32"/>
          <w:szCs w:val="32"/>
        </w:rPr>
        <w:t>万元）相比，收支各减少</w:t>
      </w:r>
      <w:r>
        <w:rPr>
          <w:rFonts w:ascii="仿宋_GB2312" w:hAnsi="Times New Roman" w:eastAsia="仿宋_GB2312" w:cs="DengXian-Regular"/>
          <w:sz w:val="32"/>
          <w:szCs w:val="32"/>
        </w:rPr>
        <w:t>6.12</w:t>
      </w:r>
      <w:r>
        <w:rPr>
          <w:rFonts w:hint="eastAsia" w:ascii="仿宋_GB2312" w:hAnsi="Times New Roman" w:eastAsia="仿宋_GB2312" w:cs="DengXian-Regular"/>
          <w:sz w:val="32"/>
          <w:szCs w:val="32"/>
        </w:rPr>
        <w:t>万元，下降</w:t>
      </w:r>
      <w:r>
        <w:rPr>
          <w:rFonts w:ascii="仿宋_GB2312" w:hAnsi="Times New Roman" w:eastAsia="仿宋_GB2312" w:cs="DengXian-Regular"/>
          <w:sz w:val="32"/>
          <w:szCs w:val="32"/>
        </w:rPr>
        <w:t>2.61%</w:t>
      </w:r>
      <w:r>
        <w:rPr>
          <w:rFonts w:hint="eastAsia" w:ascii="仿宋_GB2312" w:hAnsi="Times New Roman" w:eastAsia="仿宋_GB2312" w:cs="DengXian-Regular"/>
          <w:sz w:val="32"/>
          <w:szCs w:val="32"/>
        </w:rPr>
        <w:t>，主要原因是</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年度在职职工少</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人，预算执行人员经费减少。</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二、收入决算情况说明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年度本年收入合计</w:t>
      </w:r>
      <w:r>
        <w:rPr>
          <w:rFonts w:ascii="仿宋_GB2312" w:hAnsi="Times New Roman" w:eastAsia="仿宋_GB2312" w:cs="DengXian-Regular"/>
          <w:sz w:val="32"/>
          <w:szCs w:val="32"/>
        </w:rPr>
        <w:t>224.59</w:t>
      </w:r>
      <w:r>
        <w:rPr>
          <w:rFonts w:hint="eastAsia" w:ascii="仿宋_GB2312" w:hAnsi="Times New Roman" w:eastAsia="仿宋_GB2312" w:cs="DengXian-Regular"/>
          <w:sz w:val="32"/>
          <w:szCs w:val="32"/>
        </w:rPr>
        <w:t>万元，其中：财政拨款收入</w:t>
      </w:r>
      <w:r>
        <w:rPr>
          <w:rFonts w:ascii="仿宋_GB2312" w:hAnsi="Times New Roman" w:eastAsia="仿宋_GB2312" w:cs="DengXian-Regular"/>
          <w:sz w:val="32"/>
          <w:szCs w:val="32"/>
        </w:rPr>
        <w:t>224.09</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97.77%</w:t>
      </w:r>
      <w:r>
        <w:rPr>
          <w:rFonts w:hint="eastAsia" w:ascii="仿宋_GB2312" w:hAnsi="Times New Roman" w:eastAsia="仿宋_GB2312" w:cs="DengXian-Regular"/>
          <w:sz w:val="32"/>
          <w:szCs w:val="32"/>
        </w:rPr>
        <w:t>；事业收入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；经营收入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；其他收入</w:t>
      </w:r>
      <w:r>
        <w:rPr>
          <w:rFonts w:ascii="仿宋_GB2312" w:hAnsi="Times New Roman" w:eastAsia="仿宋_GB2312" w:cs="DengXian-Regular"/>
          <w:sz w:val="32"/>
          <w:szCs w:val="32"/>
        </w:rPr>
        <w:t>0.5</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2.23%</w:t>
      </w:r>
      <w:r>
        <w:rPr>
          <w:rFonts w:hint="eastAsia" w:ascii="仿宋_GB2312" w:hAnsi="Times New Roman" w:eastAsia="仿宋_GB2312" w:cs="DengXian-Regular"/>
          <w:sz w:val="32"/>
          <w:szCs w:val="32"/>
        </w:rPr>
        <w:t>。</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三、支出决算情况说明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年度本年支出合计</w:t>
      </w:r>
      <w:r>
        <w:rPr>
          <w:rFonts w:ascii="仿宋_GB2312" w:hAnsi="Times New Roman" w:eastAsia="仿宋_GB2312" w:cs="DengXian-Regular"/>
          <w:sz w:val="32"/>
          <w:szCs w:val="32"/>
        </w:rPr>
        <w:t>208.62</w:t>
      </w:r>
      <w:r>
        <w:rPr>
          <w:rFonts w:hint="eastAsia" w:ascii="仿宋_GB2312" w:hAnsi="Times New Roman" w:eastAsia="仿宋_GB2312" w:cs="DengXian-Regular"/>
          <w:sz w:val="32"/>
          <w:szCs w:val="32"/>
        </w:rPr>
        <w:t>万元，其中：基本支出</w:t>
      </w:r>
      <w:r>
        <w:rPr>
          <w:rFonts w:ascii="仿宋_GB2312" w:hAnsi="Times New Roman" w:eastAsia="仿宋_GB2312" w:cs="DengXian-Regular"/>
          <w:sz w:val="32"/>
          <w:szCs w:val="32"/>
        </w:rPr>
        <w:t>208.62</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；项目支出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；经营支出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四、</w:t>
      </w:r>
      <w:r>
        <w:rPr>
          <w:rFonts w:hint="eastAsia" w:ascii="黑体" w:hAnsi="Cambria" w:eastAsia="黑体" w:cs="黑体"/>
          <w:kern w:val="0"/>
          <w:sz w:val="32"/>
          <w:szCs w:val="32"/>
        </w:rPr>
        <w:t>财政</w:t>
      </w:r>
      <w:r>
        <w:rPr>
          <w:rFonts w:hint="eastAsia" w:ascii="黑体" w:hAnsi="Calibri" w:eastAsia="黑体"/>
          <w:sz w:val="32"/>
          <w:szCs w:val="32"/>
        </w:rPr>
        <w:t>拨款收入支出决算总体情况说明</w:t>
      </w:r>
    </w:p>
    <w:p>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w:t>
      </w:r>
      <w:r>
        <w:rPr>
          <w:rFonts w:ascii="楷体_GB2312" w:hAnsi="Times New Roman" w:eastAsia="楷体_GB2312" w:cs="DengXian-Bold"/>
          <w:b/>
          <w:bCs/>
          <w:sz w:val="32"/>
          <w:szCs w:val="32"/>
        </w:rPr>
        <w:t xml:space="preserve">2018 </w:t>
      </w:r>
      <w:r>
        <w:rPr>
          <w:rFonts w:hint="eastAsia" w:ascii="楷体_GB2312" w:hAnsi="Times New Roman" w:eastAsia="楷体_GB2312" w:cs="DengXian-Bold"/>
          <w:b/>
          <w:bCs/>
          <w:sz w:val="32"/>
          <w:szCs w:val="32"/>
        </w:rPr>
        <w:t>年度决算对比情况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年度形成的财政拨款收支均为一般公共预算财政拨款，其中本年收入</w:t>
      </w:r>
      <w:r>
        <w:rPr>
          <w:rFonts w:ascii="仿宋_GB2312" w:hAnsi="Times New Roman" w:eastAsia="仿宋_GB2312" w:cs="DengXian-Regular"/>
          <w:sz w:val="32"/>
          <w:szCs w:val="32"/>
        </w:rPr>
        <w:t>224.09</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hAnsi="Times New Roman" w:eastAsia="仿宋_GB2312" w:cs="DengXian-Regular"/>
          <w:sz w:val="32"/>
          <w:szCs w:val="32"/>
        </w:rPr>
        <w:t>232.70</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8.61</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3.70%</w:t>
      </w:r>
      <w:r>
        <w:rPr>
          <w:rFonts w:hint="eastAsia" w:ascii="仿宋_GB2312" w:hAnsi="Times New Roman" w:eastAsia="仿宋_GB2312" w:cs="DengXian-Regular"/>
          <w:sz w:val="32"/>
          <w:szCs w:val="32"/>
        </w:rPr>
        <w:t>，主要是本年度调出</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人，人员经费减少；本年支出</w:t>
      </w:r>
      <w:r>
        <w:rPr>
          <w:rFonts w:ascii="仿宋_GB2312" w:hAnsi="Times New Roman" w:eastAsia="仿宋_GB2312" w:cs="DengXian-Regular"/>
          <w:sz w:val="32"/>
          <w:szCs w:val="32"/>
        </w:rPr>
        <w:t>208.62</w:t>
      </w:r>
      <w:r>
        <w:rPr>
          <w:rFonts w:hint="eastAsia" w:ascii="仿宋_GB2312" w:hAnsi="Times New Roman" w:eastAsia="仿宋_GB2312" w:cs="DengXian-Regular"/>
          <w:sz w:val="32"/>
          <w:szCs w:val="32"/>
        </w:rPr>
        <w:t>万元，比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hAnsi="Times New Roman" w:eastAsia="仿宋_GB2312" w:cs="DengXian-Regular"/>
          <w:sz w:val="32"/>
          <w:szCs w:val="32"/>
        </w:rPr>
        <w:t>230.71</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22.09</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9.57%</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年度在职职工少</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人，预算执行人员经费减少，且本年度开始执行政府会计制度，决算以预算会计的收付实现制为基础，因社保政策原因导致的职业年金单位负担部分未能缴纳，本年未列支出。</w:t>
      </w:r>
    </w:p>
    <w:p>
      <w:pPr>
        <w:adjustRightInd w:val="0"/>
        <w:snapToGrid w:val="0"/>
        <w:spacing w:line="580" w:lineRule="exact"/>
        <w:ind w:firstLine="643" w:firstLineChars="200"/>
        <w:rPr>
          <w:rFonts w:ascii="楷体_GB2312" w:hAnsi="Times New Roman" w:eastAsia="楷体_GB2312" w:cs="DengXian-Bold"/>
          <w:b/>
          <w:bCs/>
          <w:sz w:val="32"/>
          <w:szCs w:val="32"/>
        </w:rPr>
      </w:pPr>
    </w:p>
    <w:p>
      <w:pPr>
        <w:adjustRightInd w:val="0"/>
        <w:snapToGrid w:val="0"/>
        <w:spacing w:line="580" w:lineRule="exact"/>
        <w:ind w:firstLine="420" w:firstLineChars="200"/>
        <w:rPr>
          <w:rFonts w:ascii="楷体_GB2312" w:hAnsi="Times New Roman" w:eastAsia="楷体_GB2312" w:cs="DengXian-Bold"/>
          <w:b/>
          <w:bCs/>
          <w:sz w:val="32"/>
          <w:szCs w:val="32"/>
        </w:rPr>
      </w:pPr>
      <w:r>
        <w:pict>
          <v:shape id="_x0000_s1040" o:spid="_x0000_s1040" o:spt="75" type="#_x0000_t75" style="position:absolute;left:0pt;margin-left:18pt;margin-top:22.2pt;height:183pt;width:441.85pt;mso-wrap-distance-bottom:0pt;mso-wrap-distance-top:0pt;z-index:-251653120;mso-width-relative:page;mso-height-relative:page;" filled="f" o:preferrelative="t" stroked="f" coordsize="21600,21600">
            <v:path/>
            <v:fill on="f" focussize="0,0"/>
            <v:stroke on="f" joinstyle="miter"/>
            <v:imagedata r:id="rId11" o:title=""/>
            <o:lock v:ext="edit" aspectratio="t"/>
            <w10:wrap type="topAndBottom"/>
          </v:shape>
        </w:pic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年度一般公共预算财政拨款收入</w:t>
      </w:r>
      <w:r>
        <w:rPr>
          <w:rFonts w:ascii="仿宋_GB2312" w:hAnsi="Times New Roman" w:eastAsia="仿宋_GB2312" w:cs="DengXian-Regular"/>
          <w:sz w:val="32"/>
          <w:szCs w:val="32"/>
        </w:rPr>
        <w:t>224.09</w:t>
      </w:r>
      <w:r>
        <w:rPr>
          <w:rFonts w:hint="eastAsia" w:ascii="仿宋_GB2312" w:hAnsi="Times New Roman" w:eastAsia="仿宋_GB2312" w:cs="DengXian-Regular"/>
          <w:sz w:val="32"/>
          <w:szCs w:val="32"/>
        </w:rPr>
        <w:t>万元，完成年初预算（</w:t>
      </w:r>
      <w:r>
        <w:rPr>
          <w:rFonts w:ascii="仿宋_GB2312" w:hAnsi="Times New Roman" w:eastAsia="仿宋_GB2312" w:cs="DengXian-Regular"/>
          <w:sz w:val="32"/>
          <w:szCs w:val="32"/>
        </w:rPr>
        <w:t>215.81</w:t>
      </w:r>
      <w:r>
        <w:rPr>
          <w:rFonts w:hint="eastAsia" w:ascii="仿宋_GB2312" w:hAnsi="Times New Roman" w:eastAsia="仿宋_GB2312" w:cs="DengXian-Regular"/>
          <w:sz w:val="32"/>
          <w:szCs w:val="32"/>
        </w:rPr>
        <w:t>万元）的</w:t>
      </w:r>
      <w:r>
        <w:rPr>
          <w:rFonts w:ascii="仿宋_GB2312" w:hAnsi="Times New Roman" w:eastAsia="仿宋_GB2312" w:cs="DengXian-Regular"/>
          <w:sz w:val="32"/>
          <w:szCs w:val="32"/>
        </w:rPr>
        <w:t>103.84%</w:t>
      </w:r>
      <w:r>
        <w:rPr>
          <w:rFonts w:hint="eastAsia" w:ascii="仿宋_GB2312" w:hAnsi="Times New Roman" w:eastAsia="仿宋_GB2312" w:cs="DengXian-Regular"/>
          <w:sz w:val="32"/>
          <w:szCs w:val="32"/>
        </w:rPr>
        <w:t>（如图</w:t>
      </w:r>
      <w:r>
        <w:rPr>
          <w:rFonts w:ascii="仿宋_GB2312" w:hAnsi="Times New Roman" w:eastAsia="仿宋_GB2312" w:cs="DengXian-Regular"/>
          <w:sz w:val="32"/>
          <w:szCs w:val="32"/>
        </w:rPr>
        <w:t>4</w:t>
      </w:r>
      <w:r>
        <w:rPr>
          <w:rFonts w:hint="eastAsia" w:ascii="仿宋_GB2312" w:hAnsi="Times New Roman" w:eastAsia="仿宋_GB2312" w:cs="DengXian-Regular"/>
          <w:sz w:val="32"/>
          <w:szCs w:val="32"/>
        </w:rPr>
        <w:t>）</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比年初预算增加</w:t>
      </w:r>
      <w:r>
        <w:rPr>
          <w:rFonts w:ascii="仿宋_GB2312" w:hAnsi="Times New Roman" w:eastAsia="仿宋_GB2312" w:cs="DengXian-Regular"/>
          <w:sz w:val="32"/>
          <w:szCs w:val="32"/>
        </w:rPr>
        <w:t>8.28</w:t>
      </w:r>
      <w:r>
        <w:rPr>
          <w:rFonts w:hint="eastAsia" w:ascii="仿宋_GB2312" w:hAnsi="Times New Roman" w:eastAsia="仿宋_GB2312" w:cs="DengXian-Regular"/>
          <w:sz w:val="32"/>
          <w:szCs w:val="32"/>
        </w:rPr>
        <w:t>万元，决算数大于预算数主要原因是正常晋级、岗位晋升导致人员经费比照预算增加；本年支出</w:t>
      </w:r>
      <w:r>
        <w:rPr>
          <w:rFonts w:ascii="仿宋_GB2312" w:hAnsi="Times New Roman" w:eastAsia="仿宋_GB2312" w:cs="DengXian-Regular"/>
          <w:sz w:val="32"/>
          <w:szCs w:val="32"/>
        </w:rPr>
        <w:t>208.62</w:t>
      </w:r>
      <w:r>
        <w:rPr>
          <w:rFonts w:hint="eastAsia" w:ascii="仿宋_GB2312" w:hAnsi="Times New Roman" w:eastAsia="仿宋_GB2312" w:cs="DengXian-Regular"/>
          <w:sz w:val="32"/>
          <w:szCs w:val="32"/>
        </w:rPr>
        <w:t>万元，完成年初预算的</w:t>
      </w:r>
      <w:r>
        <w:rPr>
          <w:rFonts w:ascii="仿宋_GB2312" w:hAnsi="Times New Roman" w:eastAsia="仿宋_GB2312" w:cs="DengXian-Regular"/>
          <w:sz w:val="32"/>
          <w:szCs w:val="32"/>
        </w:rPr>
        <w:t>96.67%,</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7.19</w:t>
      </w:r>
      <w:r>
        <w:rPr>
          <w:rFonts w:hint="eastAsia" w:ascii="仿宋_GB2312" w:hAnsi="Times New Roman" w:eastAsia="仿宋_GB2312" w:cs="DengXian-Regular"/>
          <w:sz w:val="32"/>
          <w:szCs w:val="32"/>
        </w:rPr>
        <w:t>万元，决算数小于预算数主要原因是主要是本年度开始执行政府会计制度，决算以预算会计的收付实现制为基础，因社保政策原因导致的职业年金单位负担部分未能缴纳，本年未列支出。</w:t>
      </w:r>
    </w:p>
    <w:p>
      <w:pPr>
        <w:adjustRightInd w:val="0"/>
        <w:snapToGrid w:val="0"/>
        <w:spacing w:line="580" w:lineRule="exact"/>
        <w:ind w:firstLine="420" w:firstLineChars="200"/>
        <w:rPr>
          <w:rFonts w:ascii="仿宋_GB2312" w:hAnsi="Times New Roman" w:eastAsia="仿宋_GB2312" w:cs="DengXian-Regular"/>
          <w:sz w:val="32"/>
          <w:szCs w:val="32"/>
        </w:rPr>
      </w:pPr>
      <w:r>
        <w:pict>
          <v:shape id="_x0000_s1041" o:spid="_x0000_s1041" o:spt="75" type="#_x0000_t75" style="position:absolute;left:0pt;margin-left:27pt;margin-top:15.6pt;height:178.85pt;width:432pt;mso-wrap-distance-bottom:0pt;mso-wrap-distance-left:9pt;mso-wrap-distance-right:9pt;mso-wrap-distance-top:0pt;z-index:251664384;mso-width-relative:page;mso-height-relative:page;" filled="f" o:preferrelative="t" stroked="f" coordsize="21600,21600">
            <v:path/>
            <v:fill on="f" focussize="0,0"/>
            <v:stroke on="f" joinstyle="miter"/>
            <v:imagedata r:id="rId12" o:title=""/>
            <o:lock v:ext="edit" aspectratio="t"/>
            <w10:wrap type="square"/>
          </v:shape>
        </w:pic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w:t>
      </w:r>
      <w:r>
        <w:rPr>
          <w:rFonts w:ascii="楷体_GB2312" w:hAnsi="Times New Roman" w:eastAsia="楷体_GB2312" w:cs="DengXian-Bold"/>
          <w:b/>
          <w:bCs/>
          <w:sz w:val="32"/>
          <w:szCs w:val="32"/>
        </w:rPr>
        <w:t>(</w:t>
      </w:r>
      <w:r>
        <w:rPr>
          <w:rFonts w:hint="eastAsia" w:ascii="楷体_GB2312" w:hAnsi="Times New Roman" w:eastAsia="楷体_GB2312" w:cs="DengXian-Bold"/>
          <w:b/>
          <w:bCs/>
          <w:sz w:val="32"/>
          <w:szCs w:val="32"/>
        </w:rPr>
        <w:t>三</w:t>
      </w:r>
      <w:r>
        <w:rPr>
          <w:rFonts w:ascii="楷体_GB2312" w:hAnsi="Times New Roman" w:eastAsia="楷体_GB2312" w:cs="DengXian-Bold"/>
          <w:b/>
          <w:bCs/>
          <w:sz w:val="32"/>
          <w:szCs w:val="32"/>
        </w:rPr>
        <w:t>)</w:t>
      </w: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年度财政拨款支出</w:t>
      </w:r>
      <w:r>
        <w:rPr>
          <w:rFonts w:ascii="仿宋_GB2312" w:hAnsi="Times New Roman" w:eastAsia="仿宋_GB2312" w:cs="DengXian-Regular"/>
          <w:sz w:val="32"/>
          <w:szCs w:val="32"/>
        </w:rPr>
        <w:t>208.62</w:t>
      </w:r>
      <w:r>
        <w:rPr>
          <w:rFonts w:hint="eastAsia" w:ascii="仿宋_GB2312" w:hAnsi="Times New Roman" w:eastAsia="仿宋_GB2312" w:cs="DengXian-Regular"/>
          <w:sz w:val="32"/>
          <w:szCs w:val="32"/>
        </w:rPr>
        <w:t>万元，主要用于以下方面：一般公共服务（类）支出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，；公共安全类（类）支出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；教育（类）支出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；科学技术（类）支出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 xml:space="preserve"> 0%</w:t>
      </w:r>
      <w:r>
        <w:rPr>
          <w:rFonts w:hint="eastAsia" w:ascii="仿宋_GB2312" w:hAnsi="Times New Roman" w:eastAsia="仿宋_GB2312" w:cs="DengXian-Regular"/>
          <w:sz w:val="32"/>
          <w:szCs w:val="32"/>
        </w:rPr>
        <w:t>；社会保障和就业（类）支出</w:t>
      </w:r>
      <w:r>
        <w:rPr>
          <w:rFonts w:ascii="仿宋_GB2312" w:hAnsi="Times New Roman" w:eastAsia="仿宋_GB2312" w:cs="DengXian-Regular"/>
          <w:sz w:val="32"/>
          <w:szCs w:val="32"/>
        </w:rPr>
        <w:t xml:space="preserve"> 175.38</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84.07%</w:t>
      </w:r>
      <w:r>
        <w:rPr>
          <w:rFonts w:hint="eastAsia" w:ascii="仿宋_GB2312" w:hAnsi="Times New Roman" w:eastAsia="仿宋_GB2312" w:cs="DengXian-Regular"/>
          <w:sz w:val="32"/>
          <w:szCs w:val="32"/>
        </w:rPr>
        <w:t>；住房保障（类）支出</w:t>
      </w:r>
      <w:r>
        <w:rPr>
          <w:rFonts w:ascii="仿宋_GB2312" w:hAnsi="Times New Roman" w:eastAsia="仿宋_GB2312" w:cs="DengXian-Regular"/>
          <w:sz w:val="32"/>
          <w:szCs w:val="32"/>
        </w:rPr>
        <w:t>13.87</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 xml:space="preserve"> 6.65%;</w:t>
      </w:r>
      <w:r>
        <w:rPr>
          <w:rFonts w:hint="eastAsia" w:ascii="仿宋_GB2312" w:hAnsi="Times New Roman" w:eastAsia="仿宋_GB2312" w:cs="DengXian-Regular"/>
          <w:sz w:val="32"/>
          <w:szCs w:val="32"/>
        </w:rPr>
        <w:t>卫生健康支出</w:t>
      </w:r>
      <w:r>
        <w:rPr>
          <w:rFonts w:ascii="仿宋_GB2312" w:hAnsi="Times New Roman" w:eastAsia="仿宋_GB2312" w:cs="DengXian-Regular"/>
          <w:sz w:val="32"/>
          <w:szCs w:val="32"/>
        </w:rPr>
        <w:t>19.37</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9.28%</w:t>
      </w:r>
      <w:r>
        <w:rPr>
          <w:rFonts w:hint="eastAsia" w:ascii="仿宋_GB2312" w:hAnsi="Times New Roman" w:eastAsia="仿宋_GB2312" w:cs="DengXian-Regular"/>
          <w:sz w:val="32"/>
          <w:szCs w:val="32"/>
        </w:rPr>
        <w:t>。</w:t>
      </w:r>
    </w:p>
    <w:p>
      <w:pPr>
        <w:adjustRightInd w:val="0"/>
        <w:snapToGrid w:val="0"/>
        <w:spacing w:line="580" w:lineRule="exact"/>
        <w:rPr>
          <w:rFonts w:ascii="楷体_GB2312" w:hAnsi="Times New Roman" w:eastAsia="楷体_GB2312" w:cs="DengXian-Bold"/>
          <w:b/>
          <w:bCs/>
          <w:sz w:val="32"/>
          <w:szCs w:val="32"/>
        </w:rPr>
      </w:pPr>
      <w:r>
        <w:pict>
          <v:shape id="_x0000_s1042" o:spid="_x0000_s1042" o:spt="75" type="#_x0000_t75" style="position:absolute;left:0pt;margin-left:9pt;margin-top:27.4pt;height:183pt;width:441.85pt;mso-wrap-distance-left:9pt;mso-wrap-distance-right:9pt;z-index:-251651072;mso-width-relative:page;mso-height-relative:page;" filled="f" o:preferrelative="t" stroked="f" coordsize="21600,21600" wrapcoords="147 443 147 21069 21380 21069 21380 443 147 443">
            <v:path/>
            <v:fill on="f" focussize="0,0"/>
            <v:stroke on="f" joinstyle="miter"/>
            <v:imagedata r:id="rId13" o:title=""/>
            <o:lock v:ext="edit" aspectratio="t"/>
            <w10:wrap type="tight"/>
          </v:shape>
        </w:pict>
      </w:r>
    </w:p>
    <w:p>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年度财政拨款基本支出</w:t>
      </w:r>
      <w:r>
        <w:rPr>
          <w:rFonts w:ascii="仿宋_GB2312" w:hAnsi="Times New Roman" w:eastAsia="仿宋_GB2312" w:cs="DengXian-Regular"/>
          <w:sz w:val="32"/>
          <w:szCs w:val="32"/>
        </w:rPr>
        <w:t>208.62</w:t>
      </w:r>
      <w:r>
        <w:rPr>
          <w:rFonts w:hint="eastAsia" w:ascii="仿宋_GB2312" w:hAnsi="Times New Roman" w:eastAsia="仿宋_GB2312" w:cs="DengXian-Regular"/>
          <w:sz w:val="32"/>
          <w:szCs w:val="32"/>
        </w:rPr>
        <w:t>万元，其中：人员经费</w:t>
      </w:r>
      <w:r>
        <w:rPr>
          <w:rFonts w:ascii="仿宋_GB2312" w:hAnsi="Times New Roman" w:eastAsia="仿宋_GB2312" w:cs="DengXian-Regular"/>
          <w:sz w:val="32"/>
          <w:szCs w:val="32"/>
        </w:rPr>
        <w:t xml:space="preserve"> 192.64</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hAnsi="Times New Roman" w:eastAsia="仿宋_GB2312" w:cs="DengXian-Regular"/>
          <w:sz w:val="32"/>
          <w:szCs w:val="32"/>
        </w:rPr>
        <w:t>15.98</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五、一般公共预算“三公”</w:t>
      </w:r>
      <w:r>
        <w:rPr>
          <w:rFonts w:ascii="黑体" w:hAnsi="Calibri" w:eastAsia="黑体"/>
          <w:sz w:val="32"/>
          <w:szCs w:val="32"/>
        </w:rPr>
        <w:t xml:space="preserve"> </w:t>
      </w:r>
      <w:r>
        <w:rPr>
          <w:rFonts w:hint="eastAsia" w:ascii="黑体" w:hAnsi="Calibri" w:eastAsia="黑体"/>
          <w:sz w:val="32"/>
          <w:szCs w:val="32"/>
        </w:rPr>
        <w:t>经费支出决算情况说明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年度“三公”经费支出共计</w:t>
      </w:r>
      <w:r>
        <w:rPr>
          <w:rFonts w:ascii="仿宋_GB2312" w:hAnsi="Times New Roman" w:eastAsia="仿宋_GB2312" w:cs="DengXian-Regular"/>
          <w:sz w:val="32"/>
          <w:szCs w:val="32"/>
        </w:rPr>
        <w:t>4.82</w:t>
      </w:r>
      <w:r>
        <w:rPr>
          <w:rFonts w:hint="eastAsia" w:ascii="仿宋_GB2312" w:hAnsi="Times New Roman" w:eastAsia="仿宋_GB2312" w:cs="DengXian-Regular"/>
          <w:sz w:val="32"/>
          <w:szCs w:val="32"/>
        </w:rPr>
        <w:t>万元，完成预算的</w:t>
      </w:r>
      <w:r>
        <w:rPr>
          <w:rFonts w:ascii="仿宋_GB2312" w:hAnsi="Times New Roman" w:eastAsia="仿宋_GB2312" w:cs="DengXian-Regular"/>
          <w:sz w:val="32"/>
          <w:szCs w:val="32"/>
        </w:rPr>
        <w:t>80.33%,</w:t>
      </w:r>
      <w:r>
        <w:rPr>
          <w:rFonts w:hint="eastAsia" w:ascii="仿宋_GB2312" w:hAnsi="Times New Roman" w:eastAsia="仿宋_GB2312" w:cs="DengXian-Regular"/>
          <w:sz w:val="32"/>
          <w:szCs w:val="32"/>
        </w:rPr>
        <w:t>较预算减少</w:t>
      </w:r>
      <w:r>
        <w:rPr>
          <w:rFonts w:ascii="仿宋_GB2312" w:hAnsi="Times New Roman" w:eastAsia="仿宋_GB2312" w:cs="DengXian-Regular"/>
          <w:sz w:val="32"/>
          <w:szCs w:val="32"/>
        </w:rPr>
        <w:t>1.18</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19.67%</w:t>
      </w:r>
      <w:r>
        <w:rPr>
          <w:rFonts w:hint="eastAsia" w:ascii="仿宋_GB2312" w:hAnsi="Times New Roman" w:eastAsia="仿宋_GB2312" w:cs="DengXian-Regular"/>
          <w:sz w:val="32"/>
          <w:szCs w:val="32"/>
        </w:rPr>
        <w:t>，主要是本年度我单位</w:t>
      </w:r>
      <w:r>
        <w:rPr>
          <w:rFonts w:hint="eastAsia" w:ascii="仿宋_GB2312" w:eastAsia="仿宋_GB2312" w:cs="DengXian-Regular"/>
          <w:sz w:val="32"/>
          <w:szCs w:val="32"/>
        </w:rPr>
        <w:t>严格控制开支，节约三公经费导致</w:t>
      </w:r>
      <w:r>
        <w:rPr>
          <w:rFonts w:hint="eastAsia" w:ascii="仿宋_GB2312" w:hAnsi="Times New Roman" w:eastAsia="仿宋_GB2312" w:cs="DengXian-Regular"/>
          <w:sz w:val="32"/>
          <w:szCs w:val="32"/>
        </w:rPr>
        <w:t>；较</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hAnsi="Times New Roman" w:eastAsia="仿宋_GB2312" w:cs="DengXian-Regular"/>
          <w:sz w:val="32"/>
          <w:szCs w:val="32"/>
        </w:rPr>
        <w:t>5.93</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1.11</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18.72%</w:t>
      </w:r>
      <w:r>
        <w:rPr>
          <w:rFonts w:hint="eastAsia" w:ascii="仿宋_GB2312" w:hAnsi="Times New Roman" w:eastAsia="仿宋_GB2312" w:cs="DengXian-Regular"/>
          <w:sz w:val="32"/>
          <w:szCs w:val="32"/>
        </w:rPr>
        <w:t>，主要是本年度我单位</w:t>
      </w:r>
      <w:r>
        <w:rPr>
          <w:rFonts w:hint="eastAsia" w:ascii="仿宋_GB2312" w:eastAsia="仿宋_GB2312" w:cs="DengXian-Regular"/>
          <w:sz w:val="32"/>
          <w:szCs w:val="32"/>
        </w:rPr>
        <w:t>严格控制开支，节约三公经费</w:t>
      </w:r>
      <w:r>
        <w:rPr>
          <w:rFonts w:hint="eastAsia" w:ascii="仿宋_GB2312" w:hAnsi="Times New Roman" w:eastAsia="仿宋_GB2312" w:cs="DengXian-Regular"/>
          <w:sz w:val="32"/>
          <w:szCs w:val="32"/>
        </w:rPr>
        <w:t>。具体情况如下：</w:t>
      </w: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w:t>
      </w:r>
      <w:r>
        <w:rPr>
          <w:rFonts w:ascii="楷体_GB2312" w:hAnsi="Times New Roman" w:eastAsia="楷体_GB2312" w:cs="DengXian-Bold"/>
          <w:b/>
          <w:bCs/>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无本单位组织的出国（境）团组。因公出国（境）费支出与预算持平；与上年持平。</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（二）公务用车购置及运行维护费支出</w:t>
      </w:r>
      <w:r>
        <w:rPr>
          <w:rFonts w:ascii="楷体_GB2312" w:hAnsi="Times New Roman" w:eastAsia="楷体_GB2312" w:cs="DengXian-Bold"/>
          <w:b/>
          <w:bCs/>
          <w:sz w:val="32"/>
          <w:szCs w:val="32"/>
        </w:rPr>
        <w:t>4.82</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年度公务用车购置及运行维护费</w:t>
      </w:r>
      <w:r>
        <w:rPr>
          <w:rFonts w:ascii="仿宋_GB2312" w:hAnsi="Times New Roman" w:eastAsia="仿宋_GB2312" w:cs="DengXian-Regular"/>
          <w:sz w:val="32"/>
          <w:szCs w:val="32"/>
        </w:rPr>
        <w:t>4.82</w:t>
      </w:r>
      <w:r>
        <w:rPr>
          <w:rFonts w:hint="eastAsia" w:ascii="仿宋_GB2312" w:hAnsi="Times New Roman" w:eastAsia="仿宋_GB2312" w:cs="DengXian-Regular"/>
          <w:sz w:val="32"/>
          <w:szCs w:val="32"/>
        </w:rPr>
        <w:t>万元，较预算减少</w:t>
      </w:r>
      <w:r>
        <w:rPr>
          <w:rFonts w:ascii="仿宋_GB2312" w:hAnsi="Times New Roman" w:eastAsia="仿宋_GB2312" w:cs="DengXian-Regular"/>
          <w:sz w:val="32"/>
          <w:szCs w:val="32"/>
        </w:rPr>
        <w:t>1.18</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19.67%,</w:t>
      </w:r>
      <w:r>
        <w:rPr>
          <w:rFonts w:hint="eastAsia" w:ascii="仿宋_GB2312" w:hAnsi="Times New Roman" w:eastAsia="仿宋_GB2312" w:cs="DengXian-Regular"/>
          <w:sz w:val="32"/>
          <w:szCs w:val="32"/>
        </w:rPr>
        <w:t>主要是本年度我单位</w:t>
      </w:r>
      <w:r>
        <w:rPr>
          <w:rFonts w:hint="eastAsia" w:ascii="仿宋_GB2312" w:eastAsia="仿宋_GB2312" w:cs="DengXian-Regular"/>
          <w:sz w:val="32"/>
          <w:szCs w:val="32"/>
        </w:rPr>
        <w:t>严格控制开支，节约三公经费</w:t>
      </w:r>
      <w:r>
        <w:rPr>
          <w:rFonts w:hint="eastAsia" w:ascii="仿宋_GB2312" w:hAnsi="Times New Roman" w:eastAsia="仿宋_GB2312" w:cs="DengXian-Regular"/>
          <w:sz w:val="32"/>
          <w:szCs w:val="32"/>
        </w:rPr>
        <w:t>；较上年减少</w:t>
      </w:r>
      <w:r>
        <w:rPr>
          <w:rFonts w:ascii="仿宋_GB2312" w:hAnsi="Times New Roman" w:eastAsia="仿宋_GB2312" w:cs="DengXian-Regular"/>
          <w:sz w:val="32"/>
          <w:szCs w:val="32"/>
        </w:rPr>
        <w:t>1.11</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18.72%</w:t>
      </w:r>
      <w:r>
        <w:rPr>
          <w:rFonts w:hint="eastAsia" w:ascii="仿宋_GB2312" w:hAnsi="Times New Roman" w:eastAsia="仿宋_GB2312" w:cs="DengXian-Regular"/>
          <w:sz w:val="32"/>
          <w:szCs w:val="32"/>
        </w:rPr>
        <w:t>，主要是本年度我单位</w:t>
      </w:r>
      <w:r>
        <w:rPr>
          <w:rFonts w:hint="eastAsia" w:ascii="仿宋_GB2312" w:eastAsia="仿宋_GB2312" w:cs="DengXian-Regular"/>
          <w:sz w:val="32"/>
          <w:szCs w:val="32"/>
        </w:rPr>
        <w:t>严格控制开支，节约三公经费</w:t>
      </w:r>
      <w:r>
        <w:rPr>
          <w:rFonts w:hint="eastAsia" w:ascii="仿宋_GB2312" w:hAnsi="Times New Roman" w:eastAsia="仿宋_GB2312" w:cs="DengXian-Regular"/>
          <w:sz w:val="32"/>
          <w:szCs w:val="32"/>
        </w:rPr>
        <w:t>。</w:t>
      </w:r>
      <w:r>
        <w:rPr>
          <w:rFonts w:hint="eastAsia" w:ascii="仿宋_GB2312" w:hAnsi="Times New Roman" w:eastAsia="仿宋_GB2312" w:cs="DengXian-Bold"/>
          <w:b/>
          <w:bCs/>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年度公务用车购置量</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辆，发生“公务用车购置”经费支出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万元。公务用车购置费支出与预算持平；与上年持平。</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年度单位公务用车保有量</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辆。公车运行维护费支出</w:t>
      </w:r>
      <w:r>
        <w:rPr>
          <w:rFonts w:ascii="仿宋_GB2312" w:hAnsi="Times New Roman" w:eastAsia="仿宋_GB2312" w:cs="DengXian-Regular"/>
          <w:sz w:val="32"/>
          <w:szCs w:val="32"/>
        </w:rPr>
        <w:t>4.82</w:t>
      </w:r>
      <w:r>
        <w:rPr>
          <w:rFonts w:hint="eastAsia" w:ascii="仿宋_GB2312" w:hAnsi="Times New Roman" w:eastAsia="仿宋_GB2312" w:cs="DengXian-Regular"/>
          <w:sz w:val="32"/>
          <w:szCs w:val="32"/>
        </w:rPr>
        <w:t>万元，较预算减少</w:t>
      </w:r>
      <w:r>
        <w:rPr>
          <w:rFonts w:ascii="仿宋_GB2312" w:hAnsi="Times New Roman" w:eastAsia="仿宋_GB2312" w:cs="DengXian-Regular"/>
          <w:sz w:val="32"/>
          <w:szCs w:val="32"/>
        </w:rPr>
        <w:t>1.18</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19.67%,</w:t>
      </w:r>
      <w:r>
        <w:rPr>
          <w:rFonts w:hint="eastAsia" w:ascii="仿宋_GB2312" w:hAnsi="Times New Roman" w:eastAsia="仿宋_GB2312" w:cs="DengXian-Regular"/>
          <w:sz w:val="32"/>
          <w:szCs w:val="32"/>
        </w:rPr>
        <w:t>主要是本年度我单位</w:t>
      </w:r>
      <w:r>
        <w:rPr>
          <w:rFonts w:hint="eastAsia" w:ascii="仿宋_GB2312" w:eastAsia="仿宋_GB2312" w:cs="DengXian-Regular"/>
          <w:sz w:val="32"/>
          <w:szCs w:val="32"/>
        </w:rPr>
        <w:t>严格控制开支，节约三公经费</w:t>
      </w:r>
      <w:r>
        <w:rPr>
          <w:rFonts w:hint="eastAsia" w:ascii="仿宋_GB2312" w:hAnsi="Times New Roman" w:eastAsia="仿宋_GB2312" w:cs="DengXian-Regular"/>
          <w:sz w:val="32"/>
          <w:szCs w:val="32"/>
        </w:rPr>
        <w:t>；较上年减少</w:t>
      </w:r>
      <w:r>
        <w:rPr>
          <w:rFonts w:ascii="仿宋_GB2312" w:hAnsi="Times New Roman" w:eastAsia="仿宋_GB2312" w:cs="DengXian-Regular"/>
          <w:sz w:val="32"/>
          <w:szCs w:val="32"/>
        </w:rPr>
        <w:t>1.11</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18.72%</w:t>
      </w:r>
      <w:r>
        <w:rPr>
          <w:rFonts w:hint="eastAsia" w:ascii="仿宋_GB2312" w:hAnsi="Times New Roman" w:eastAsia="仿宋_GB2312" w:cs="DengXian-Regular"/>
          <w:sz w:val="32"/>
          <w:szCs w:val="32"/>
        </w:rPr>
        <w:t>，主要是本年度我单位</w:t>
      </w:r>
      <w:r>
        <w:rPr>
          <w:rFonts w:hint="eastAsia" w:ascii="仿宋_GB2312" w:eastAsia="仿宋_GB2312" w:cs="DengXian-Regular"/>
          <w:sz w:val="32"/>
          <w:szCs w:val="32"/>
        </w:rPr>
        <w:t>严格控制开支，节约三公经费</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w:t>
      </w:r>
      <w:r>
        <w:rPr>
          <w:rFonts w:ascii="楷体_GB2312" w:hAnsi="Times New Roman" w:eastAsia="楷体_GB2312" w:cs="DengXian-Bold"/>
          <w:b/>
          <w:bCs/>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年度公务接待共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批次、</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人次。公务接待费支出与预算持平；与上年持平。</w:t>
      </w:r>
    </w:p>
    <w:p>
      <w:pPr>
        <w:adjustRightInd w:val="0"/>
        <w:snapToGrid w:val="0"/>
        <w:spacing w:line="580" w:lineRule="exact"/>
        <w:ind w:firstLine="640" w:firstLineChars="200"/>
        <w:rPr>
          <w:rFonts w:ascii="黑体" w:hAnsi="Times New Roman" w:eastAsia="黑体"/>
          <w:sz w:val="32"/>
          <w:szCs w:val="40"/>
        </w:rPr>
      </w:pPr>
      <w:r>
        <w:rPr>
          <w:rFonts w:hint="eastAsia" w:ascii="黑体" w:hAnsi="Times New Roman"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eastAsia="仿宋_GB2312" w:cs="DengXian-Regular"/>
          <w:sz w:val="32"/>
          <w:szCs w:val="32"/>
        </w:rPr>
        <w:t>我单位严格按照绩效管理工作要求，在年初按照三定方案和单位职能科学合理编制了社保方面预算项目的绩效指标、绩效评价标准，保证绩效评价的可量化、准确性、全面性。预算执行过程中，领导和各部门高度重视绩效管理，严格按照绩效管理要求，业务部门在完成工作任务过程中严格控制收支，在人力资源和社会保障业务领域达到利民惠民的同时有效利用财政资金，力求使财政资金的利用效益最大化。</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2019</w:t>
      </w:r>
      <w:r>
        <w:rPr>
          <w:rFonts w:hint="eastAsia" w:ascii="仿宋_GB2312" w:hAnsi="仿宋_GB2312" w:eastAsia="仿宋_GB2312" w:cs="仿宋_GB2312"/>
          <w:sz w:val="32"/>
          <w:szCs w:val="32"/>
        </w:rPr>
        <w:t>年度一般公共预算项支出全面开展绩效自评。</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widowControl/>
        <w:spacing w:line="448" w:lineRule="atLeast"/>
        <w:ind w:firstLine="472"/>
        <w:rPr>
          <w:rFonts w:hint="eastAsia" w:ascii="仿宋_GB2312" w:eastAsia="仿宋_GB2312" w:cs="DengXian-Regular"/>
          <w:sz w:val="32"/>
          <w:szCs w:val="32"/>
        </w:rPr>
      </w:pPr>
      <w:r>
        <w:rPr>
          <w:rFonts w:hint="eastAsia" w:ascii="仿宋_GB2312" w:eastAsia="仿宋_GB2312" w:cs="DengXian-Regular"/>
          <w:sz w:val="32"/>
          <w:szCs w:val="32"/>
        </w:rPr>
        <w:t>承担的国开区综评指标，职业技能培训机构数量达到</w:t>
      </w:r>
      <w:r>
        <w:rPr>
          <w:rFonts w:ascii="仿宋_GB2312" w:eastAsia="仿宋_GB2312" w:cs="DengXian-Regular"/>
          <w:sz w:val="32"/>
          <w:szCs w:val="32"/>
        </w:rPr>
        <w:t>10</w:t>
      </w:r>
      <w:r>
        <w:rPr>
          <w:rFonts w:hint="eastAsia" w:ascii="仿宋_GB2312" w:eastAsia="仿宋_GB2312" w:cs="DengXian-Regular"/>
          <w:sz w:val="32"/>
          <w:szCs w:val="32"/>
        </w:rPr>
        <w:t>家，硕士及以上学历人才占比</w:t>
      </w:r>
      <w:r>
        <w:rPr>
          <w:rFonts w:ascii="仿宋_GB2312" w:eastAsia="仿宋_GB2312" w:cs="DengXian-Regular"/>
          <w:sz w:val="32"/>
          <w:szCs w:val="32"/>
        </w:rPr>
        <w:t>10.9%</w:t>
      </w:r>
      <w:r>
        <w:rPr>
          <w:rFonts w:hint="eastAsia" w:ascii="仿宋_GB2312" w:eastAsia="仿宋_GB2312" w:cs="DengXian-Regular"/>
          <w:sz w:val="32"/>
          <w:szCs w:val="32"/>
        </w:rPr>
        <w:t>，具有高级职称的专业技术人才占比</w:t>
      </w:r>
      <w:r>
        <w:rPr>
          <w:rFonts w:ascii="仿宋_GB2312" w:eastAsia="仿宋_GB2312" w:cs="DengXian-Regular"/>
          <w:sz w:val="32"/>
          <w:szCs w:val="32"/>
        </w:rPr>
        <w:t>10.6%</w:t>
      </w:r>
      <w:r>
        <w:rPr>
          <w:rFonts w:hint="eastAsia" w:ascii="仿宋_GB2312" w:eastAsia="仿宋_GB2312" w:cs="DengXian-Regular"/>
          <w:sz w:val="32"/>
          <w:szCs w:val="32"/>
        </w:rPr>
        <w:t>，高技能人才占比</w:t>
      </w:r>
      <w:r>
        <w:rPr>
          <w:rFonts w:ascii="仿宋_GB2312" w:eastAsia="仿宋_GB2312" w:cs="DengXian-Regular"/>
          <w:sz w:val="32"/>
          <w:szCs w:val="32"/>
        </w:rPr>
        <w:t>18.1%</w:t>
      </w:r>
      <w:r>
        <w:rPr>
          <w:rFonts w:hint="eastAsia" w:ascii="仿宋_GB2312" w:eastAsia="仿宋_GB2312" w:cs="DengXian-Regular"/>
          <w:sz w:val="32"/>
          <w:szCs w:val="32"/>
        </w:rPr>
        <w:t>，全部达到区政府下达指标要求。</w:t>
      </w:r>
      <w:bookmarkStart w:id="0" w:name="_GoBack"/>
      <w:bookmarkEnd w:id="0"/>
    </w:p>
    <w:p>
      <w:pPr>
        <w:adjustRightInd w:val="0"/>
        <w:snapToGrid w:val="0"/>
        <w:spacing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绩效评价结果：</w:t>
      </w:r>
    </w:p>
    <w:p>
      <w:pPr>
        <w:adjustRightInd w:val="0"/>
        <w:snapToGrid w:val="0"/>
        <w:spacing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highlight w:val="none"/>
          <w:lang w:val="en-US" w:eastAsia="zh-CN"/>
        </w:rPr>
        <w:t>2019年我单位在区委、区政府及上级主管部门领导下，通过全体人社干部的共同努力，</w:t>
      </w:r>
      <w:r>
        <w:rPr>
          <w:rFonts w:hint="eastAsia" w:ascii="仿宋_GB2312" w:eastAsia="仿宋_GB2312" w:cs="DengXian-Regular"/>
          <w:sz w:val="32"/>
          <w:szCs w:val="32"/>
          <w:highlight w:val="none"/>
        </w:rPr>
        <w:t>在人力资源和社会保障各项工作方面，我单位均保质保量按时完成了任务，</w:t>
      </w:r>
      <w:r>
        <w:rPr>
          <w:rFonts w:hint="eastAsia" w:ascii="仿宋_GB2312" w:eastAsia="仿宋_GB2312" w:cs="DengXian-Regular"/>
          <w:sz w:val="32"/>
          <w:szCs w:val="32"/>
          <w:highlight w:val="none"/>
          <w:lang w:val="en-US" w:eastAsia="zh-CN"/>
        </w:rPr>
        <w:t>按照年初预算绩效目标，强化资金绩效管理，使用项目资金产生了很大的社会效益，资金使用达到既定目标，</w:t>
      </w:r>
      <w:r>
        <w:rPr>
          <w:rFonts w:hint="eastAsia" w:ascii="仿宋_GB2312" w:eastAsia="仿宋_GB2312" w:cs="DengXian-Regular"/>
          <w:sz w:val="32"/>
          <w:szCs w:val="32"/>
          <w:highlight w:val="none"/>
        </w:rPr>
        <w:t>总体绩效评价为优秀。</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七、其他重要事项的说明</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年度机关运行经费支出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年度持平。</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年度政府采购支出总额</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 xml:space="preserve">0 </w:t>
      </w:r>
      <w:r>
        <w:rPr>
          <w:rFonts w:hint="eastAsia" w:ascii="仿宋_GB2312" w:hAnsi="仿宋_GB2312" w:eastAsia="仿宋_GB2312" w:cs="仿宋_GB2312"/>
          <w:color w:val="000000"/>
          <w:kern w:val="0"/>
          <w:sz w:val="32"/>
          <w:szCs w:val="32"/>
        </w:rPr>
        <w:t>万元、政府采购工程支出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0</w:t>
      </w:r>
      <w:r>
        <w:rPr>
          <w:rFonts w:hint="eastAsia" w:ascii="仿宋_GB2312" w:hAnsi="仿宋_GB2312" w:eastAsia="仿宋_GB2312" w:cs="仿宋_GB2312"/>
          <w:color w:val="000000"/>
          <w:kern w:val="0"/>
          <w:sz w:val="32"/>
          <w:szCs w:val="32"/>
        </w:rPr>
        <w:t>万元。授予中小企业合同金</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，其中授予小微企业合同金额</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日，本部门共有车辆</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辆，与上年持平。其中，副部（省）级及以上领导用车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辆，主要领导干部用车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辆，机要通信用车</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辆，应急保障用车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辆，执法执勤用车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辆，特种专业技术用车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辆，离退休干部用车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辆，其他用车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台（套），与上年持平</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台（套），与上年持平。</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1.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年度政府性基金预算财政拨款、国有资本经营预算财政拨款无收支及结转结余情况，故政府性基金预算财政拨款收入支出决算表、国有资本经营预算财政拨款支出决算表以空表列示。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docGrid w:type="lines" w:linePitch="312" w:charSpace="0"/>
        </w:sectPr>
      </w:pPr>
    </w:p>
    <w:p>
      <w:pPr>
        <w:jc w:val="center"/>
        <w:rPr>
          <w:rFonts w:ascii="黑体" w:hAnsi="黑体" w:eastAsia="黑体" w:cs="黑体"/>
          <w:sz w:val="56"/>
          <w:szCs w:val="72"/>
        </w:rPr>
      </w:pPr>
    </w:p>
    <w:p>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pP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sz w:val="72"/>
        </w:rPr>
      </w:pPr>
      <w:r>
        <w:pict>
          <v:shape id="_x0000_s1043" o:spid="_x0000_s1043" o:spt="202" type="#_x0000_t202" style="position:absolute;left:0pt;margin-left:-80.45pt;margin-top:34.8pt;height:263.1pt;width:613.65pt;z-index:251661312;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v:path/>
            <v:fill type="pattern" on="t" focussize="0,0"/>
            <v:stroke weight="0.5pt" color="#FFD966" joinstyle="round"/>
            <v:imagedata o:title=""/>
            <o:lock v:ext="edit"/>
            <v:textbox>
              <w:txbxContent>
                <w:p>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v:textbox>
          </v:shape>
        </w:pict>
      </w:r>
    </w:p>
    <w:p/>
    <w:p/>
    <w:p/>
    <w:p/>
    <w:p/>
    <w:p/>
    <w:p/>
    <w:p/>
    <w:p/>
    <w:p/>
    <w:p/>
    <w:p/>
    <w:p/>
    <w:p>
      <w:pPr>
        <w:tabs>
          <w:tab w:val="left" w:pos="886"/>
        </w:tabs>
        <w:jc w:val="left"/>
        <w:sectPr>
          <w:headerReference r:id="rId7" w:type="first"/>
          <w:pgSz w:w="11906" w:h="16838"/>
          <w:pgMar w:top="2041" w:right="1531" w:bottom="2041" w:left="1531" w:header="851" w:footer="992" w:gutter="0"/>
          <w:pgNumType w:fmt="numberInDash"/>
          <w:cols w:space="0" w:num="1"/>
          <w:titlePg/>
          <w:docGrid w:type="lines" w:linePitch="312" w:charSpace="0"/>
        </w:sectPr>
      </w:pPr>
    </w:p>
    <w:p>
      <w:pPr>
        <w:rPr>
          <w:rFonts w:ascii="仿宋_GB2312" w:hAnsi="宋体" w:eastAsia="仿宋_GB2312" w:cs="ArialUnicodeMS"/>
          <w:sz w:val="32"/>
          <w:szCs w:val="32"/>
          <w:highlight w:val="yellow"/>
        </w:rPr>
      </w:pPr>
      <w:r>
        <w:rPr>
          <w:rFonts w:ascii="仿宋_GB2312" w:hAnsi="宋体" w:eastAsia="仿宋_GB2312" w:cs="ArialUnicodeMS"/>
          <w:sz w:val="32"/>
          <w:szCs w:val="32"/>
          <w:highlight w:val="yellow"/>
        </w:rPr>
        <w:br w:type="page"/>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jc w:val="left"/>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
    <w:p/>
    <w:p/>
    <w:p/>
    <w:p/>
    <w:p/>
    <w:p/>
    <w:p/>
    <w:p/>
    <w:p/>
    <w:p>
      <w:pPr>
        <w:jc w:val="left"/>
        <w:sectPr>
          <w:headerReference r:id="rId8" w:type="default"/>
          <w:type w:val="continuous"/>
          <w:pgSz w:w="11906" w:h="16838"/>
          <w:pgMar w:top="2098" w:right="1474" w:bottom="1985" w:left="1588" w:header="851" w:footer="992" w:gutter="0"/>
          <w:pgNumType w:fmt="numberInDash"/>
          <w:cols w:space="425" w:num="1"/>
          <w:docGrid w:type="lines" w:linePitch="312" w:charSpace="0"/>
        </w:sectPr>
      </w:pPr>
    </w:p>
    <w:p>
      <w:pPr>
        <w:tabs>
          <w:tab w:val="left" w:pos="235"/>
        </w:tabs>
        <w:jc w:val="left"/>
        <w:sectPr>
          <w:pgSz w:w="11906" w:h="16838"/>
          <w:pgMar w:top="2098" w:right="1474" w:bottom="1985" w:left="1588" w:header="851" w:footer="992" w:gutter="0"/>
          <w:pgNumType w:fmt="numberInDash"/>
          <w:cols w:space="425" w:num="1"/>
          <w:docGrid w:type="lines" w:linePitch="312" w:charSpace="0"/>
        </w:sectPr>
      </w:pPr>
      <w:r>
        <w:pict>
          <v:shape id="_x0000_s1044" o:spid="_x0000_s1044" o:spt="202" type="#_x0000_t202" style="position:absolute;left:0pt;margin-left:-82.05pt;margin-top:135.85pt;height:263.1pt;width:613.65pt;z-index:-251665408;v-text-anchor:middle;mso-width-relative:page;mso-height-relative:page;" fillcolor="#FFD966" filled="t" stroked="t" coordsize="21600,21600" o:gfxdata="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6t8a3AAAAA0BAAAPAAAAAAAAAAEAIAAAACIAAABkcnMvZG93bnJldi54bWxQSwECFAAUAAAA&#10;CACHTuJAew5iW1wCAAC6BAAADgAAAAAAAAABACAAAAArAQAAZHJzL2Uyb0RvYy54bWxQSwUGAAAA&#10;AAYABgBZAQAA+QUAAAAA&#10;">
            <v:path/>
            <v:fill type="pattern" on="t" focussize="0,0"/>
            <v:stroke weight="0.5pt" color="#FFD966" joinstyle="round"/>
            <v:imagedata o:title=""/>
            <o:lock v:ext="edit"/>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v:textbox>
          </v:shape>
        </w:pict>
      </w:r>
    </w:p>
    <w:p>
      <w:pPr>
        <w:tabs>
          <w:tab w:val="left" w:pos="886"/>
        </w:tabs>
        <w:jc w:val="left"/>
      </w:pPr>
    </w:p>
    <w:p>
      <w:pPr>
        <w:jc w:val="left"/>
      </w:pPr>
    </w:p>
    <w:tbl>
      <w:tblPr>
        <w:tblStyle w:val="7"/>
        <w:tblpPr w:leftFromText="180" w:rightFromText="180" w:vertAnchor="text" w:horzAnchor="page" w:tblpXSpec="center" w:tblpY="31"/>
        <w:tblOverlap w:val="never"/>
        <w:tblW w:w="9517" w:type="dxa"/>
        <w:jc w:val="center"/>
        <w:tblInd w:w="0" w:type="dxa"/>
        <w:tblLayout w:type="fixed"/>
        <w:tblCellMar>
          <w:top w:w="0" w:type="dxa"/>
          <w:left w:w="0" w:type="dxa"/>
          <w:bottom w:w="0" w:type="dxa"/>
          <w:right w:w="0" w:type="dxa"/>
        </w:tblCellMar>
      </w:tblPr>
      <w:tblGrid>
        <w:gridCol w:w="3236"/>
        <w:gridCol w:w="516"/>
        <w:gridCol w:w="215"/>
        <w:gridCol w:w="691"/>
        <w:gridCol w:w="3474"/>
        <w:gridCol w:w="541"/>
        <w:gridCol w:w="844"/>
      </w:tblGrid>
      <w:tr>
        <w:tblPrEx>
          <w:tblLayout w:type="fixed"/>
          <w:tblCellMar>
            <w:top w:w="0" w:type="dxa"/>
            <w:left w:w="0" w:type="dxa"/>
            <w:bottom w:w="0" w:type="dxa"/>
            <w:right w:w="0" w:type="dxa"/>
          </w:tblCellMar>
        </w:tblPrEx>
        <w:trPr>
          <w:trHeight w:val="489" w:hRule="atLeast"/>
          <w:jc w:val="center"/>
        </w:trPr>
        <w:tc>
          <w:tcPr>
            <w:tcW w:w="9517" w:type="dxa"/>
            <w:gridSpan w:val="7"/>
            <w:tcBorders>
              <w:top w:val="nil"/>
              <w:left w:val="nil"/>
              <w:bottom w:val="nil"/>
              <w:right w:val="nil"/>
            </w:tcBorders>
            <w:tcMar>
              <w:top w:w="15" w:type="dxa"/>
              <w:left w:w="15" w:type="dxa"/>
              <w:right w:w="15" w:type="dxa"/>
            </w:tcMar>
            <w:vAlign w:val="bottom"/>
          </w:tcPr>
          <w:p>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tblPrEx>
          <w:tblLayout w:type="fixed"/>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3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859"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01</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Arial" w:hAnsi="Arial" w:cs="Arial"/>
                <w:color w:val="000000"/>
                <w:sz w:val="20"/>
                <w:szCs w:val="20"/>
              </w:rPr>
              <w:t>唐山市曹妃甸区就业服务局</w:t>
            </w:r>
          </w:p>
        </w:tc>
        <w:tc>
          <w:tcPr>
            <w:tcW w:w="73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859"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284" w:hRule="atLeast"/>
          <w:jc w:val="center"/>
        </w:trPr>
        <w:tc>
          <w:tcPr>
            <w:tcW w:w="465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859"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tblPrEx>
          <w:tblLayout w:type="fixed"/>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224.09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0.50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175.38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19.37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13.87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224.59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208.62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3.46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19.44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9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228.05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228.05 </w:t>
            </w:r>
          </w:p>
        </w:tc>
      </w:tr>
      <w:tr>
        <w:tblPrEx>
          <w:tblLayout w:type="fixed"/>
          <w:tblCellMar>
            <w:top w:w="0" w:type="dxa"/>
            <w:left w:w="0" w:type="dxa"/>
            <w:bottom w:w="0" w:type="dxa"/>
            <w:right w:w="0" w:type="dxa"/>
          </w:tblCellMar>
        </w:tblPrEx>
        <w:trPr>
          <w:trHeight w:val="213" w:hRule="atLeast"/>
          <w:jc w:val="center"/>
        </w:trPr>
        <w:tc>
          <w:tcPr>
            <w:tcW w:w="9517" w:type="dxa"/>
            <w:gridSpan w:val="7"/>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pPr>
              <w:widowControl/>
              <w:jc w:val="left"/>
              <w:textAlignment w:val="center"/>
              <w:rPr>
                <w:rFonts w:ascii="宋体" w:hAnsi="宋体" w:eastAsia="宋体" w:cs="宋体"/>
                <w:color w:val="000000"/>
                <w:kern w:val="0"/>
                <w:sz w:val="22"/>
              </w:rPr>
            </w:pPr>
          </w:p>
          <w:p>
            <w:pPr>
              <w:widowControl/>
              <w:jc w:val="left"/>
              <w:textAlignment w:val="center"/>
              <w:rPr>
                <w:rFonts w:ascii="宋体" w:hAnsi="宋体" w:eastAsia="宋体" w:cs="宋体"/>
                <w:color w:val="000000"/>
                <w:kern w:val="0"/>
                <w:sz w:val="22"/>
              </w:rPr>
            </w:pPr>
          </w:p>
        </w:tc>
      </w:tr>
    </w:tbl>
    <w:tbl>
      <w:tblPr>
        <w:tblStyle w:val="7"/>
        <w:tblW w:w="9581" w:type="dxa"/>
        <w:jc w:val="center"/>
        <w:tblInd w:w="0" w:type="dxa"/>
        <w:tblLayout w:type="fixed"/>
        <w:tblCellMar>
          <w:top w:w="0" w:type="dxa"/>
          <w:left w:w="0" w:type="dxa"/>
          <w:bottom w:w="0" w:type="dxa"/>
          <w:right w:w="0" w:type="dxa"/>
        </w:tblCellMar>
      </w:tblPr>
      <w:tblGrid>
        <w:gridCol w:w="1081"/>
        <w:gridCol w:w="86"/>
        <w:gridCol w:w="86"/>
        <w:gridCol w:w="3142"/>
        <w:gridCol w:w="900"/>
        <w:gridCol w:w="1080"/>
        <w:gridCol w:w="540"/>
        <w:gridCol w:w="540"/>
        <w:gridCol w:w="540"/>
        <w:gridCol w:w="616"/>
        <w:gridCol w:w="970"/>
      </w:tblGrid>
      <w:tr>
        <w:tblPrEx>
          <w:tblLayout w:type="fixed"/>
          <w:tblCellMar>
            <w:top w:w="0" w:type="dxa"/>
            <w:left w:w="0" w:type="dxa"/>
            <w:bottom w:w="0" w:type="dxa"/>
            <w:right w:w="0" w:type="dxa"/>
          </w:tblCellMar>
        </w:tblPrEx>
        <w:trPr>
          <w:trHeight w:val="670" w:hRule="atLeast"/>
          <w:jc w:val="center"/>
        </w:trPr>
        <w:tc>
          <w:tcPr>
            <w:tcW w:w="9581" w:type="dxa"/>
            <w:gridSpan w:val="11"/>
            <w:tcBorders>
              <w:top w:val="nil"/>
              <w:left w:val="nil"/>
              <w:bottom w:val="nil"/>
              <w:right w:val="nil"/>
            </w:tcBorders>
            <w:tcMar>
              <w:top w:w="15" w:type="dxa"/>
              <w:left w:w="15" w:type="dxa"/>
              <w:right w:w="15" w:type="dxa"/>
            </w:tcMar>
            <w:vAlign w:val="bottom"/>
          </w:tcPr>
          <w:p>
            <w:pPr>
              <w:widowControl/>
              <w:jc w:val="center"/>
              <w:textAlignment w:val="bottom"/>
              <w:rPr>
                <w:rFonts w:ascii="黑体" w:hAnsi="宋体" w:eastAsia="黑体" w:cs="黑体"/>
                <w:color w:val="000000"/>
                <w:kern w:val="0"/>
                <w:sz w:val="32"/>
                <w:szCs w:val="32"/>
              </w:rPr>
            </w:pPr>
          </w:p>
          <w:p>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tblPrEx>
          <w:tblLayout w:type="fixed"/>
          <w:tblCellMar>
            <w:top w:w="0" w:type="dxa"/>
            <w:left w:w="0" w:type="dxa"/>
            <w:bottom w:w="0" w:type="dxa"/>
            <w:right w:w="0" w:type="dxa"/>
          </w:tblCellMar>
        </w:tblPrEx>
        <w:trPr>
          <w:trHeight w:val="357" w:hRule="atLeast"/>
          <w:jc w:val="center"/>
        </w:trPr>
        <w:tc>
          <w:tcPr>
            <w:tcW w:w="108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14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0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08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54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54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54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86"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02</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359" w:hRule="atLeast"/>
          <w:jc w:val="center"/>
        </w:trPr>
        <w:tc>
          <w:tcPr>
            <w:tcW w:w="1081"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5662" w:type="dxa"/>
            <w:gridSpan w:val="4"/>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唐山市曹妃甸区就业服务局</w:t>
            </w:r>
          </w:p>
        </w:tc>
        <w:tc>
          <w:tcPr>
            <w:tcW w:w="54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126"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385" w:hRule="atLeast"/>
          <w:jc w:val="center"/>
        </w:trPr>
        <w:tc>
          <w:tcPr>
            <w:tcW w:w="439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9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108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5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5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5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61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9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tblPrEx>
          <w:tblLayout w:type="fixed"/>
          <w:tblCellMar>
            <w:top w:w="0" w:type="dxa"/>
            <w:left w:w="0" w:type="dxa"/>
            <w:bottom w:w="0" w:type="dxa"/>
            <w:right w:w="0" w:type="dxa"/>
          </w:tblCellMar>
        </w:tblPrEx>
        <w:trPr>
          <w:trHeight w:val="380" w:hRule="atLeast"/>
          <w:jc w:val="center"/>
        </w:trPr>
        <w:tc>
          <w:tcPr>
            <w:tcW w:w="125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14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8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1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0" w:hRule="atLeast"/>
          <w:jc w:val="center"/>
        </w:trPr>
        <w:tc>
          <w:tcPr>
            <w:tcW w:w="125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14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8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1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0" w:hRule="atLeast"/>
          <w:jc w:val="center"/>
        </w:trPr>
        <w:tc>
          <w:tcPr>
            <w:tcW w:w="125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14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8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1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4395"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r>
      <w:tr>
        <w:tblPrEx>
          <w:tblLayout w:type="fixed"/>
          <w:tblCellMar>
            <w:top w:w="0" w:type="dxa"/>
            <w:left w:w="0" w:type="dxa"/>
            <w:bottom w:w="0" w:type="dxa"/>
            <w:right w:w="0" w:type="dxa"/>
          </w:tblCellMar>
        </w:tblPrEx>
        <w:trPr>
          <w:trHeight w:val="385" w:hRule="atLeast"/>
          <w:jc w:val="center"/>
        </w:trPr>
        <w:tc>
          <w:tcPr>
            <w:tcW w:w="4395"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224.59</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224.09</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0.5</w:t>
            </w: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社会保障和就业支出</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191.35</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190.85</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0.5</w:t>
            </w: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人力资源和社会保障管理事务</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158.75</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158.25</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0.5</w:t>
            </w: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2080106</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就业管理事务</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158.75</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158.25</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0.5</w:t>
            </w: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行政事业单位离退休</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32.60</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32.60</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2080505</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机关事业单位基本养老保险缴费支出</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23.28</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23.28</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2080506</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机关事业单位职业年金缴费支出</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9.32</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9.32</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卫生健康支出</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行政事业单位医疗</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2101102</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事业单位医疗</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8.44</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8.44</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2101103</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公务员医疗补助</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10.94</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10.94</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住房保障支出</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住房改革支出</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2210201</w:t>
            </w:r>
          </w:p>
        </w:tc>
        <w:tc>
          <w:tcPr>
            <w:tcW w:w="3142"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住房公积金</w:t>
            </w: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54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61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97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85" w:hRule="atLeast"/>
          <w:jc w:val="center"/>
        </w:trPr>
        <w:tc>
          <w:tcPr>
            <w:tcW w:w="9581" w:type="dxa"/>
            <w:gridSpan w:val="11"/>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pPr>
    </w:p>
    <w:p>
      <w:r>
        <w:br w:type="page"/>
      </w:r>
    </w:p>
    <w:tbl>
      <w:tblPr>
        <w:tblStyle w:val="7"/>
        <w:tblW w:w="9680" w:type="dxa"/>
        <w:jc w:val="center"/>
        <w:tblInd w:w="0" w:type="dxa"/>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Layout w:type="fixed"/>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Layout w:type="fixed"/>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35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411" w:type="dxa"/>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03</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842" w:type="dxa"/>
            <w:gridSpan w:val="4"/>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唐山市曹妃甸区就业服务局</w:t>
            </w:r>
          </w:p>
        </w:tc>
        <w:tc>
          <w:tcPr>
            <w:tcW w:w="116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572"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14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tblPrEx>
          <w:tblLayout w:type="fixed"/>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3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35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35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Layout w:type="fixed"/>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208.62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208.62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社会保障和就业支出</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175.38</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175.38</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人力资源和社会保障管理事务</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154.85</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154.85</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2080106</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就业管理事务</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154.85</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154.85</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行政事业单位离退休</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20.52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20.52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2080505</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机关事业单位基本养老保险缴费支出</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20.52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20.52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卫生健康支出</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行政事业单位医疗</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2101102</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事业单位医疗</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8.44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8.44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2101103</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公务员医疗补助</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10.94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10.94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住房保障支出</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住房改革支出</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2210201</w:t>
            </w:r>
          </w:p>
        </w:tc>
        <w:tc>
          <w:tcPr>
            <w:tcW w:w="1359"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住房公积金</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r>
        <w:br w:type="page"/>
      </w:r>
    </w:p>
    <w:tbl>
      <w:tblPr>
        <w:tblStyle w:val="7"/>
        <w:tblW w:w="9935" w:type="dxa"/>
        <w:jc w:val="center"/>
        <w:tblInd w:w="0" w:type="dxa"/>
        <w:tblLayout w:type="fixed"/>
        <w:tblCellMar>
          <w:top w:w="0" w:type="dxa"/>
          <w:left w:w="0" w:type="dxa"/>
          <w:bottom w:w="0" w:type="dxa"/>
          <w:right w:w="0" w:type="dxa"/>
        </w:tblCellMar>
      </w:tblPr>
      <w:tblGrid>
        <w:gridCol w:w="2922"/>
        <w:gridCol w:w="425"/>
        <w:gridCol w:w="662"/>
        <w:gridCol w:w="2946"/>
        <w:gridCol w:w="507"/>
        <w:gridCol w:w="710"/>
        <w:gridCol w:w="964"/>
        <w:gridCol w:w="799"/>
      </w:tblGrid>
      <w:tr>
        <w:tblPrEx>
          <w:tblLayout w:type="fixed"/>
          <w:tblCellMar>
            <w:top w:w="0" w:type="dxa"/>
            <w:left w:w="0" w:type="dxa"/>
            <w:bottom w:w="0" w:type="dxa"/>
            <w:right w:w="0" w:type="dxa"/>
          </w:tblCellMar>
        </w:tblPrEx>
        <w:trPr>
          <w:trHeight w:val="451" w:hRule="atLeast"/>
          <w:jc w:val="center"/>
        </w:trPr>
        <w:tc>
          <w:tcPr>
            <w:tcW w:w="9935" w:type="dxa"/>
            <w:gridSpan w:val="8"/>
            <w:tcBorders>
              <w:top w:val="nil"/>
              <w:left w:val="nil"/>
              <w:bottom w:val="nil"/>
              <w:right w:val="nil"/>
            </w:tcBorders>
            <w:tcMar>
              <w:top w:w="15" w:type="dxa"/>
              <w:left w:w="15" w:type="dxa"/>
              <w:right w:w="15" w:type="dxa"/>
            </w:tcMar>
            <w:vAlign w:val="bottom"/>
          </w:tcPr>
          <w:p>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2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66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94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50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473"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04</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90" w:hRule="atLeast"/>
          <w:jc w:val="center"/>
        </w:trPr>
        <w:tc>
          <w:tcPr>
            <w:tcW w:w="6955" w:type="dxa"/>
            <w:gridSpan w:val="4"/>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0"/>
                <w:szCs w:val="20"/>
              </w:rPr>
              <w:t>部门：唐</w:t>
            </w:r>
            <w:r>
              <w:rPr>
                <w:rFonts w:hint="eastAsia" w:ascii="Arial" w:hAnsi="Arial" w:cs="Arial"/>
                <w:color w:val="000000"/>
                <w:sz w:val="20"/>
                <w:szCs w:val="20"/>
              </w:rPr>
              <w:t>山市曹妃甸区就业服务局</w:t>
            </w:r>
          </w:p>
        </w:tc>
        <w:tc>
          <w:tcPr>
            <w:tcW w:w="50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473"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90" w:hRule="atLeast"/>
          <w:jc w:val="center"/>
        </w:trPr>
        <w:tc>
          <w:tcPr>
            <w:tcW w:w="400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w:t>
            </w:r>
            <w:r>
              <w:rPr>
                <w:rFonts w:ascii="宋体" w:hAnsi="宋体" w:eastAsia="宋体" w:cs="宋体"/>
                <w:color w:val="000000"/>
                <w:kern w:val="0"/>
                <w:sz w:val="22"/>
              </w:rPr>
              <w:t xml:space="preserve">     </w:t>
            </w:r>
            <w:r>
              <w:rPr>
                <w:rFonts w:hint="eastAsia" w:ascii="宋体" w:hAnsi="宋体" w:eastAsia="宋体" w:cs="宋体"/>
                <w:color w:val="000000"/>
                <w:kern w:val="0"/>
                <w:sz w:val="22"/>
              </w:rPr>
              <w:t>入</w:t>
            </w:r>
          </w:p>
        </w:tc>
        <w:tc>
          <w:tcPr>
            <w:tcW w:w="5926"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w:t>
            </w:r>
            <w:r>
              <w:rPr>
                <w:rFonts w:ascii="宋体" w:hAnsi="宋体" w:eastAsia="宋体" w:cs="宋体"/>
                <w:color w:val="000000"/>
                <w:kern w:val="0"/>
                <w:sz w:val="22"/>
              </w:rPr>
              <w:t xml:space="preserve">     </w:t>
            </w:r>
            <w:r>
              <w:rPr>
                <w:rFonts w:hint="eastAsia" w:ascii="宋体" w:hAnsi="宋体" w:eastAsia="宋体" w:cs="宋体"/>
                <w:color w:val="000000"/>
                <w:kern w:val="0"/>
                <w:sz w:val="22"/>
              </w:rPr>
              <w:t>出</w:t>
            </w:r>
          </w:p>
        </w:tc>
      </w:tr>
      <w:tr>
        <w:tblPrEx>
          <w:tblLayout w:type="fixed"/>
          <w:tblCellMar>
            <w:top w:w="0" w:type="dxa"/>
            <w:left w:w="0" w:type="dxa"/>
            <w:bottom w:w="0" w:type="dxa"/>
            <w:right w:w="0" w:type="dxa"/>
          </w:tblCellMar>
        </w:tblPrEx>
        <w:trPr>
          <w:trHeight w:val="312" w:hRule="atLeast"/>
          <w:jc w:val="center"/>
        </w:trPr>
        <w:tc>
          <w:tcPr>
            <w:tcW w:w="2922"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6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94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0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71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6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7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tblPrEx>
          <w:tblLayout w:type="fixed"/>
          <w:tblCellMar>
            <w:top w:w="0" w:type="dxa"/>
            <w:left w:w="0" w:type="dxa"/>
            <w:bottom w:w="0" w:type="dxa"/>
            <w:right w:w="0" w:type="dxa"/>
          </w:tblCellMar>
        </w:tblPrEx>
        <w:trPr>
          <w:trHeight w:val="312" w:hRule="atLeast"/>
          <w:jc w:val="center"/>
        </w:trPr>
        <w:tc>
          <w:tcPr>
            <w:tcW w:w="292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2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6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94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507"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1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6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224.09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175.38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175.38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19.37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19.37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十八、自然资源海洋气象等支出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13.87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13.87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0"/>
                <w:szCs w:val="20"/>
              </w:rPr>
              <w:t>二十一、灾害防治及应急管理支出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224.09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208.62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208.62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3.46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18.94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18.94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3.46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57</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227.55 </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58</w:t>
            </w:r>
          </w:p>
        </w:tc>
        <w:tc>
          <w:tcPr>
            <w:tcW w:w="710"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227.55 </w:t>
            </w:r>
          </w:p>
        </w:tc>
        <w:tc>
          <w:tcPr>
            <w:tcW w:w="964"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227.55 </w:t>
            </w:r>
          </w:p>
        </w:tc>
        <w:tc>
          <w:tcPr>
            <w:tcW w:w="79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90" w:hRule="atLeast"/>
          <w:jc w:val="center"/>
        </w:trPr>
        <w:tc>
          <w:tcPr>
            <w:tcW w:w="9935" w:type="dxa"/>
            <w:gridSpan w:val="8"/>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注：本表反映部门本年度一般公共预算财政拨款和政府性基金预算财政拨款的总收支和年末结转结余情况。</w:t>
            </w:r>
          </w:p>
        </w:tc>
      </w:tr>
    </w:tbl>
    <w:p>
      <w:r>
        <w:br w:type="page"/>
      </w:r>
    </w:p>
    <w:tbl>
      <w:tblPr>
        <w:tblStyle w:val="7"/>
        <w:tblW w:w="9990" w:type="dxa"/>
        <w:jc w:val="center"/>
        <w:tblInd w:w="0" w:type="dxa"/>
        <w:tblLayout w:type="fixed"/>
        <w:tblCellMar>
          <w:top w:w="0" w:type="dxa"/>
          <w:left w:w="0" w:type="dxa"/>
          <w:bottom w:w="0" w:type="dxa"/>
          <w:right w:w="0" w:type="dxa"/>
        </w:tblCellMar>
      </w:tblPr>
      <w:tblGrid>
        <w:gridCol w:w="1201"/>
        <w:gridCol w:w="95"/>
        <w:gridCol w:w="95"/>
        <w:gridCol w:w="1734"/>
        <w:gridCol w:w="2288"/>
        <w:gridCol w:w="2288"/>
        <w:gridCol w:w="2289"/>
      </w:tblGrid>
      <w:tr>
        <w:tblPrEx>
          <w:tblLayout w:type="fixed"/>
          <w:tblCellMar>
            <w:top w:w="0" w:type="dxa"/>
            <w:left w:w="0" w:type="dxa"/>
            <w:bottom w:w="0" w:type="dxa"/>
            <w:right w:w="0" w:type="dxa"/>
          </w:tblCellMar>
        </w:tblPrEx>
        <w:trPr>
          <w:trHeight w:val="600" w:hRule="atLeast"/>
          <w:jc w:val="center"/>
        </w:trPr>
        <w:tc>
          <w:tcPr>
            <w:tcW w:w="9990" w:type="dxa"/>
            <w:gridSpan w:val="7"/>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tblPrEx>
          <w:tblLayout w:type="fixed"/>
          <w:tblCellMar>
            <w:top w:w="0" w:type="dxa"/>
            <w:left w:w="0" w:type="dxa"/>
            <w:bottom w:w="0" w:type="dxa"/>
            <w:right w:w="0" w:type="dxa"/>
          </w:tblCellMar>
        </w:tblPrEx>
        <w:trPr>
          <w:trHeight w:val="255" w:hRule="atLeast"/>
          <w:jc w:val="center"/>
        </w:trPr>
        <w:tc>
          <w:tcPr>
            <w:tcW w:w="12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73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288"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577"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05</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255" w:hRule="atLeast"/>
          <w:jc w:val="center"/>
        </w:trPr>
        <w:tc>
          <w:tcPr>
            <w:tcW w:w="1201"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4022"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唐山市曹妃甸区就业服务局</w:t>
            </w:r>
          </w:p>
        </w:tc>
        <w:tc>
          <w:tcPr>
            <w:tcW w:w="4577"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308" w:hRule="atLeast"/>
          <w:jc w:val="center"/>
        </w:trPr>
        <w:tc>
          <w:tcPr>
            <w:tcW w:w="312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686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Layout w:type="fixed"/>
          <w:tblCellMar>
            <w:top w:w="0" w:type="dxa"/>
            <w:left w:w="0" w:type="dxa"/>
            <w:bottom w:w="0" w:type="dxa"/>
            <w:right w:w="0" w:type="dxa"/>
          </w:tblCellMar>
        </w:tblPrEx>
        <w:trPr>
          <w:trHeight w:val="312" w:hRule="atLeast"/>
          <w:jc w:val="center"/>
        </w:trPr>
        <w:tc>
          <w:tcPr>
            <w:tcW w:w="1391"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73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22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22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228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Layout w:type="fixed"/>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73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8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8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8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73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8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8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8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3125"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tblPrEx>
          <w:tblLayout w:type="fixed"/>
          <w:tblCellMar>
            <w:top w:w="0" w:type="dxa"/>
            <w:left w:w="0" w:type="dxa"/>
            <w:bottom w:w="0" w:type="dxa"/>
            <w:right w:w="0" w:type="dxa"/>
          </w:tblCellMar>
        </w:tblPrEx>
        <w:trPr>
          <w:trHeight w:val="308" w:hRule="atLeast"/>
          <w:jc w:val="center"/>
        </w:trPr>
        <w:tc>
          <w:tcPr>
            <w:tcW w:w="3125"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208.62</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208.62</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w:t>
            </w:r>
          </w:p>
        </w:tc>
        <w:tc>
          <w:tcPr>
            <w:tcW w:w="173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社会保障和就业支出</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175.38</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175.38</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w:t>
            </w:r>
          </w:p>
        </w:tc>
        <w:tc>
          <w:tcPr>
            <w:tcW w:w="173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人力资源和社会保障管理事务</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154.85</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154.85</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2080106</w:t>
            </w:r>
          </w:p>
        </w:tc>
        <w:tc>
          <w:tcPr>
            <w:tcW w:w="173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就业管理事务</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154.85</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154.85</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w:t>
            </w:r>
          </w:p>
        </w:tc>
        <w:tc>
          <w:tcPr>
            <w:tcW w:w="173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行政事业单位离退休</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20.52</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20.52</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2080505</w:t>
            </w:r>
          </w:p>
        </w:tc>
        <w:tc>
          <w:tcPr>
            <w:tcW w:w="1734" w:type="dxa"/>
            <w:tcBorders>
              <w:top w:val="nil"/>
              <w:left w:val="nil"/>
              <w:bottom w:val="single" w:color="auto"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机关事业单位基本养老保险缴费支出</w:t>
            </w:r>
          </w:p>
        </w:tc>
        <w:tc>
          <w:tcPr>
            <w:tcW w:w="2288"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20.52</w:t>
            </w:r>
          </w:p>
        </w:tc>
        <w:tc>
          <w:tcPr>
            <w:tcW w:w="2288"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20.52</w:t>
            </w:r>
          </w:p>
        </w:tc>
        <w:tc>
          <w:tcPr>
            <w:tcW w:w="2289" w:type="dxa"/>
            <w:tcBorders>
              <w:top w:val="nil"/>
              <w:left w:val="nil"/>
              <w:bottom w:val="single" w:color="auto"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卫生健康支出</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行政事业单位医疗</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19.37</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2101102</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事业单位医疗</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8.44</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8.44</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2101103</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公务员医疗补助</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10.94</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10.94</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住房保障支出</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住房改革支出</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2210201</w:t>
            </w:r>
          </w:p>
        </w:tc>
        <w:tc>
          <w:tcPr>
            <w:tcW w:w="17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住房公积金</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13.87</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22"/>
              </w:rPr>
            </w:pPr>
          </w:p>
        </w:tc>
      </w:tr>
    </w:tbl>
    <w:p>
      <w:r>
        <w:br w:type="page"/>
      </w:r>
    </w:p>
    <w:tbl>
      <w:tblPr>
        <w:tblStyle w:val="7"/>
        <w:tblW w:w="10000" w:type="dxa"/>
        <w:jc w:val="center"/>
        <w:tblInd w:w="0" w:type="dxa"/>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tblPrEx>
          <w:tblLayout w:type="fixed"/>
          <w:tblCellMar>
            <w:top w:w="0" w:type="dxa"/>
            <w:left w:w="0" w:type="dxa"/>
            <w:bottom w:w="0" w:type="dxa"/>
            <w:right w:w="0" w:type="dxa"/>
          </w:tblCellMar>
        </w:tblPrEx>
        <w:trPr>
          <w:trHeight w:val="662" w:hRule="atLeast"/>
          <w:jc w:val="center"/>
        </w:trPr>
        <w:tc>
          <w:tcPr>
            <w:tcW w:w="1000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一般公共预算财政拨款基本支出决算表</w:t>
            </w:r>
          </w:p>
        </w:tc>
      </w:tr>
      <w:tr>
        <w:tblPrEx>
          <w:tblLayout w:type="fixed"/>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8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65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68"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4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w:t>
            </w:r>
            <w:r>
              <w:rPr>
                <w:rFonts w:ascii="宋体" w:hAnsi="宋体" w:eastAsia="宋体" w:cs="宋体"/>
                <w:color w:val="000000"/>
                <w:kern w:val="0"/>
                <w:sz w:val="18"/>
                <w:szCs w:val="18"/>
              </w:rPr>
              <w:t>06</w:t>
            </w:r>
            <w:r>
              <w:rPr>
                <w:rFonts w:hint="eastAsia" w:ascii="宋体" w:hAnsi="宋体" w:eastAsia="宋体" w:cs="宋体"/>
                <w:color w:val="000000"/>
                <w:kern w:val="0"/>
                <w:sz w:val="18"/>
                <w:szCs w:val="18"/>
              </w:rPr>
              <w:t>表</w:t>
            </w:r>
          </w:p>
        </w:tc>
      </w:tr>
      <w:tr>
        <w:tblPrEx>
          <w:tblLayout w:type="fixed"/>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969" w:type="dxa"/>
            <w:gridSpan w:val="4"/>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唐山市曹妃甸区就业服务局</w:t>
            </w:r>
          </w:p>
        </w:tc>
        <w:tc>
          <w:tcPr>
            <w:tcW w:w="768"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4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Layout w:type="fixed"/>
          <w:tblCellMar>
            <w:top w:w="0" w:type="dxa"/>
            <w:left w:w="0" w:type="dxa"/>
            <w:bottom w:w="0" w:type="dxa"/>
            <w:right w:w="0" w:type="dxa"/>
          </w:tblCellMar>
        </w:tblPrEx>
        <w:trPr>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6389"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tblPrEx>
          <w:tblLayout w:type="fixed"/>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9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8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65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6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74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Layout w:type="fixed"/>
          <w:tblCellMar>
            <w:top w:w="0" w:type="dxa"/>
            <w:left w:w="0" w:type="dxa"/>
            <w:bottom w:w="0" w:type="dxa"/>
            <w:right w:w="0" w:type="dxa"/>
          </w:tblCellMar>
        </w:tblPrEx>
        <w:trPr>
          <w:trHeight w:val="349" w:hRule="atLeast"/>
          <w:jc w:val="center"/>
        </w:trPr>
        <w:tc>
          <w:tcPr>
            <w:tcW w:w="8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9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8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5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6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4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190.37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15.98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基本工资</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59.21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1.98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国内债务付息</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津贴补贴</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8.74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印刷费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3.60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国外债务付息</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咨询费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伙食补助费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手续费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房屋建筑物购建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绩效工资</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66.09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水费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办公设备购置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机关事业单位基本养老保险缴费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20.52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电费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专用设备购置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职业年金缴费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邮电费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2.35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基础设施建设</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26"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16"/>
                <w:szCs w:val="16"/>
              </w:rPr>
              <w:t>职工基本医疗保险缴费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8.15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取暖费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大型修缮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6"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公务员医疗补助缴费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10.94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物业管理费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16"/>
                <w:szCs w:val="16"/>
              </w:rPr>
              <w:t>信息网络及软件购置更新</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1.67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差旅费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1.00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物资储备</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24"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13.87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因公出国（境）费用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土地补偿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维修（护）费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安置补助</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其他工资福利支出</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1.20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租赁费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地上附着物和青苗补偿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2.27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会议费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拆迁补偿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离休费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培训费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公务用车购置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退休费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2.25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公务接待费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其他交通工具购置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退职（役）费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专用材料费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文物和陈列品购置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抚恤金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被装购置费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无形资产购置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30305</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生活补助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专用燃料费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其他资本性支出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救济费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劳务费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委托业务费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赠与</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助学金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工会经费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国家赔偿费用支出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奖励金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0.01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r>
              <w:rPr>
                <w:rFonts w:hint="eastAsia" w:ascii="宋体" w:hAnsi="宋体" w:eastAsia="宋体" w:cs="宋体"/>
                <w:color w:val="000000"/>
                <w:kern w:val="0"/>
                <w:sz w:val="16"/>
                <w:szCs w:val="16"/>
              </w:rPr>
              <w:t>福利费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1.21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对民间非营利组织和群众性自治组织补贴</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57"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个人农业生产补贴</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公务用车运行维护费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4.82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16"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其他对个人和家庭的补助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1.04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税金及附加费用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30299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其他商品和服务支出</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17" w:hRule="atLeast"/>
          <w:jc w:val="center"/>
        </w:trPr>
        <w:tc>
          <w:tcPr>
            <w:tcW w:w="2828"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192.64 </w:t>
            </w:r>
          </w:p>
        </w:tc>
        <w:tc>
          <w:tcPr>
            <w:tcW w:w="5657"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 xml:space="preserve"> 15.98 </w:t>
            </w:r>
          </w:p>
        </w:tc>
      </w:tr>
    </w:tbl>
    <w:p>
      <w:r>
        <w:br w:type="page"/>
      </w:r>
    </w:p>
    <w:tbl>
      <w:tblPr>
        <w:tblStyle w:val="7"/>
        <w:tblW w:w="9220" w:type="dxa"/>
        <w:jc w:val="center"/>
        <w:tblInd w:w="0" w:type="dxa"/>
        <w:tblLayout w:type="fixed"/>
        <w:tblCellMar>
          <w:top w:w="0" w:type="dxa"/>
          <w:left w:w="0" w:type="dxa"/>
          <w:bottom w:w="0" w:type="dxa"/>
          <w:right w:w="0" w:type="dxa"/>
        </w:tblCellMar>
      </w:tblPr>
      <w:tblGrid>
        <w:gridCol w:w="1267"/>
        <w:gridCol w:w="1686"/>
        <w:gridCol w:w="1565"/>
        <w:gridCol w:w="1565"/>
        <w:gridCol w:w="1565"/>
        <w:gridCol w:w="1572"/>
      </w:tblGrid>
      <w:tr>
        <w:tblPrEx>
          <w:tblLayout w:type="fixed"/>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tblPrEx>
          <w:tblLayout w:type="fixed"/>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6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07</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816" w:type="dxa"/>
            <w:gridSpan w:val="3"/>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唐山市曹妃甸区就业服务局</w:t>
            </w: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tblPrEx>
          <w:tblLayout w:type="fixed"/>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Layout w:type="fixed"/>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6.00 </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6.00 </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6.00 </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r>
        <w:tblPrEx>
          <w:tblLayout w:type="fixed"/>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Layout w:type="fixed"/>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Layout w:type="fixed"/>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r>
      <w:tr>
        <w:tblPrEx>
          <w:tblLayout w:type="fixed"/>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4.82 </w:t>
            </w:r>
          </w:p>
        </w:tc>
        <w:tc>
          <w:tcPr>
            <w:tcW w:w="1686"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4.82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4.82 </w:t>
            </w:r>
          </w:p>
        </w:tc>
        <w:tc>
          <w:tcPr>
            <w:tcW w:w="1572" w:type="dxa"/>
            <w:tcBorders>
              <w:top w:val="nil"/>
              <w:left w:val="nil"/>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   </w:t>
            </w:r>
          </w:p>
        </w:tc>
      </w:tr>
    </w:tbl>
    <w:p>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hAnsi="仿宋_GB2312" w:eastAsia="仿宋_GB2312" w:cs="仿宋_GB2312"/>
        </w:rPr>
        <w:tab/>
      </w:r>
      <w:r>
        <w:tab/>
      </w:r>
      <w:r>
        <w:tab/>
      </w:r>
      <w:r>
        <w:tab/>
      </w:r>
      <w:r>
        <w:tab/>
      </w:r>
      <w:r>
        <w:tab/>
      </w:r>
      <w:r>
        <w:tab/>
      </w:r>
      <w:r>
        <w:tab/>
      </w:r>
      <w:r>
        <w:tab/>
      </w:r>
      <w:r>
        <w:tab/>
      </w:r>
      <w:r>
        <w:tab/>
      </w:r>
      <w:r>
        <w:br w:type="page"/>
      </w:r>
    </w:p>
    <w:tbl>
      <w:tblPr>
        <w:tblStyle w:val="7"/>
        <w:tblW w:w="9512" w:type="dxa"/>
        <w:jc w:val="center"/>
        <w:tblInd w:w="0" w:type="dxa"/>
        <w:tblLayout w:type="fixed"/>
        <w:tblCellMar>
          <w:top w:w="0" w:type="dxa"/>
          <w:left w:w="0" w:type="dxa"/>
          <w:bottom w:w="0" w:type="dxa"/>
          <w:right w:w="0" w:type="dxa"/>
        </w:tblCellMar>
      </w:tblPr>
      <w:tblGrid>
        <w:gridCol w:w="1093"/>
        <w:gridCol w:w="87"/>
        <w:gridCol w:w="87"/>
        <w:gridCol w:w="1579"/>
        <w:gridCol w:w="1111"/>
        <w:gridCol w:w="1111"/>
        <w:gridCol w:w="1111"/>
        <w:gridCol w:w="1111"/>
        <w:gridCol w:w="1111"/>
        <w:gridCol w:w="1111"/>
      </w:tblGrid>
      <w:tr>
        <w:tblPrEx>
          <w:tblLayout w:type="fixed"/>
          <w:tblCellMar>
            <w:top w:w="0" w:type="dxa"/>
            <w:left w:w="0" w:type="dxa"/>
            <w:bottom w:w="0" w:type="dxa"/>
            <w:right w:w="0" w:type="dxa"/>
          </w:tblCellMar>
        </w:tblPrEx>
        <w:trPr>
          <w:trHeight w:val="780" w:hRule="atLeast"/>
          <w:jc w:val="center"/>
        </w:trPr>
        <w:tc>
          <w:tcPr>
            <w:tcW w:w="9512" w:type="dxa"/>
            <w:gridSpan w:val="10"/>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Layout w:type="fixed"/>
          <w:tblCellMar>
            <w:top w:w="0" w:type="dxa"/>
            <w:left w:w="0" w:type="dxa"/>
            <w:bottom w:w="0" w:type="dxa"/>
            <w:right w:w="0" w:type="dxa"/>
          </w:tblCellMar>
        </w:tblPrEx>
        <w:trPr>
          <w:trHeight w:val="255" w:hRule="atLeast"/>
          <w:jc w:val="center"/>
        </w:trPr>
        <w:tc>
          <w:tcPr>
            <w:tcW w:w="109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57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222"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08</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255" w:hRule="atLeast"/>
          <w:jc w:val="center"/>
        </w:trPr>
        <w:tc>
          <w:tcPr>
            <w:tcW w:w="1093"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801" w:type="dxa"/>
            <w:gridSpan w:val="3"/>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唐山市曹妃甸区就业服务局</w:t>
            </w: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2222"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33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tblPrEx>
          <w:tblLayout w:type="fixed"/>
          <w:tblCellMar>
            <w:top w:w="0" w:type="dxa"/>
            <w:left w:w="0" w:type="dxa"/>
            <w:bottom w:w="0" w:type="dxa"/>
            <w:right w:w="0" w:type="dxa"/>
          </w:tblCellMar>
        </w:tblPrEx>
        <w:trPr>
          <w:trHeight w:val="312" w:hRule="atLeast"/>
          <w:jc w:val="center"/>
        </w:trPr>
        <w:tc>
          <w:tcPr>
            <w:tcW w:w="1267"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57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12" w:hRule="atLeast"/>
          <w:jc w:val="center"/>
        </w:trPr>
        <w:tc>
          <w:tcPr>
            <w:tcW w:w="126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7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12" w:hRule="atLeast"/>
          <w:jc w:val="center"/>
        </w:trPr>
        <w:tc>
          <w:tcPr>
            <w:tcW w:w="126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7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bl>
    <w:p>
      <w:r>
        <w:rPr>
          <w:rFonts w:hint="eastAsia"/>
        </w:rPr>
        <w:t>备注：本单位本年度无相关收支情况，按要求空表列式。</w:t>
      </w:r>
      <w:r>
        <w:br w:type="page"/>
      </w:r>
    </w:p>
    <w:tbl>
      <w:tblPr>
        <w:tblStyle w:val="7"/>
        <w:tblW w:w="9915" w:type="dxa"/>
        <w:jc w:val="center"/>
        <w:tblInd w:w="0" w:type="dxa"/>
        <w:tblLayout w:type="fixed"/>
        <w:tblCellMar>
          <w:top w:w="0" w:type="dxa"/>
          <w:left w:w="0" w:type="dxa"/>
          <w:bottom w:w="0" w:type="dxa"/>
          <w:right w:w="0" w:type="dxa"/>
        </w:tblCellMar>
      </w:tblPr>
      <w:tblGrid>
        <w:gridCol w:w="1277"/>
        <w:gridCol w:w="101"/>
        <w:gridCol w:w="101"/>
        <w:gridCol w:w="3792"/>
        <w:gridCol w:w="953"/>
        <w:gridCol w:w="1845"/>
        <w:gridCol w:w="1846"/>
      </w:tblGrid>
      <w:tr>
        <w:tblPrEx>
          <w:tblLayout w:type="fixed"/>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tblPrEx>
          <w:tblLayout w:type="fixed"/>
          <w:tblCellMar>
            <w:top w:w="0" w:type="dxa"/>
            <w:left w:w="0" w:type="dxa"/>
            <w:bottom w:w="0" w:type="dxa"/>
            <w:right w:w="0" w:type="dxa"/>
          </w:tblCellMar>
        </w:tblPrEx>
        <w:trPr>
          <w:trHeight w:val="255" w:hRule="atLeast"/>
          <w:jc w:val="center"/>
        </w:trPr>
        <w:tc>
          <w:tcPr>
            <w:tcW w:w="127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79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691"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09</w:t>
            </w:r>
            <w:r>
              <w:rPr>
                <w:rFonts w:hint="eastAsia" w:ascii="宋体" w:hAnsi="宋体" w:eastAsia="宋体" w:cs="宋体"/>
                <w:color w:val="000000"/>
                <w:kern w:val="0"/>
                <w:sz w:val="20"/>
                <w:szCs w:val="20"/>
              </w:rPr>
              <w:t>表</w:t>
            </w:r>
          </w:p>
        </w:tc>
      </w:tr>
      <w:tr>
        <w:tblPrEx>
          <w:tblLayout w:type="fixed"/>
          <w:tblCellMar>
            <w:top w:w="0" w:type="dxa"/>
            <w:left w:w="0" w:type="dxa"/>
            <w:bottom w:w="0" w:type="dxa"/>
            <w:right w:w="0" w:type="dxa"/>
          </w:tblCellMar>
        </w:tblPrEx>
        <w:trPr>
          <w:trHeight w:val="255" w:hRule="atLeast"/>
          <w:jc w:val="center"/>
        </w:trPr>
        <w:tc>
          <w:tcPr>
            <w:tcW w:w="1277"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79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唐山市曹妃甸区就业服务局</w:t>
            </w:r>
          </w:p>
        </w:tc>
        <w:tc>
          <w:tcPr>
            <w:tcW w:w="9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3691"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4644"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Layout w:type="fixed"/>
          <w:tblCellMar>
            <w:top w:w="0" w:type="dxa"/>
            <w:left w:w="0" w:type="dxa"/>
            <w:bottom w:w="0" w:type="dxa"/>
            <w:right w:w="0" w:type="dxa"/>
          </w:tblCellMar>
        </w:tblPrEx>
        <w:trPr>
          <w:trHeight w:val="615"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rPr>
            </w:pPr>
          </w:p>
        </w:tc>
      </w:tr>
    </w:tbl>
    <w:p>
      <w:r>
        <w:rPr>
          <w:rFonts w:hint="eastAsia"/>
        </w:rPr>
        <w:t>备注：本单位本年度无相关收支情况，按要求空表列式。</w:t>
      </w:r>
    </w:p>
    <w:p/>
    <w:p/>
    <w:p/>
    <w:p/>
    <w:p/>
    <w:p/>
    <w:p/>
    <w:p/>
    <w:p/>
    <w:p/>
    <w:p/>
    <w:p/>
    <w:p>
      <w:r>
        <w:pict>
          <v:shape id="_x0000_i1026" o:spt="75" type="#_x0000_t75" style="height:646.8pt;width:448.8pt;" filled="f" o:preferrelative="t" stroked="f" coordsize="21600,21600">
            <v:path/>
            <v:fill on="f" focussize="0,0"/>
            <v:stroke on="f" joinstyle="miter"/>
            <v:imagedata r:id="rId14" o:title=""/>
            <o:lock v:ext="edit" aspectratio="t"/>
            <w10:wrap type="none"/>
            <w10:anchorlock/>
          </v:shape>
        </w:pict>
      </w:r>
    </w:p>
    <w:p/>
    <w:p>
      <w:r>
        <w:pict>
          <v:shape id="_x0000_i1027" o:spt="75" type="#_x0000_t75" style="height:619.8pt;width:452.4pt;" filled="f" o:preferrelative="t" stroked="f" coordsize="21600,21600">
            <v:path/>
            <v:fill on="f" focussize="0,0"/>
            <v:stroke on="f" joinstyle="miter"/>
            <v:imagedata r:id="rId15" o:title=""/>
            <o:lock v:ext="edit" aspectratio="t"/>
            <w10:wrap type="none"/>
            <w10:anchorlock/>
          </v:shape>
        </w:pict>
      </w:r>
    </w:p>
    <w:p>
      <w:r>
        <w:br w:type="page"/>
      </w:r>
    </w:p>
    <w:p>
      <w:r>
        <w:pict>
          <v:rect id="_x0000_s1045" o:spid="_x0000_s1045" o:spt="1" style="position:absolute;left:0pt;margin-left:-70.5pt;margin-top:-85.25pt;height:841.15pt;width:595.1pt;z-index:251662336;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v:path/>
            <v:fill on="t" focussize="0,0"/>
            <v:stroke on="f" weight="1pt"/>
            <v:imagedata o:title=""/>
            <o:lock v:ext="edit"/>
          </v:rect>
        </w:pict>
      </w:r>
    </w:p>
    <w:sectPr>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0" w:usb1="00000000" w:usb2="00000000" w:usb3="00000000" w:csb0="00000000" w:csb1="00000000"/>
  </w:font>
  <w:font w:name="Yu Gothic UI Semibold">
    <w:panose1 w:val="020B0700000000000000"/>
    <w:charset w:val="80"/>
    <w:family w:val="swiss"/>
    <w:pitch w:val="default"/>
    <w:sig w:usb0="E00002FF" w:usb1="2AC7FDFF" w:usb2="00000016" w:usb3="00000000" w:csb0="2002009F" w:csb1="00000000"/>
  </w:font>
  <w:font w:name="思源黑体 HW Bold">
    <w:altName w:val="黑体"/>
    <w:panose1 w:val="00000000000000000000"/>
    <w:charset w:val="86"/>
    <w:family w:val="swiss"/>
    <w:pitch w:val="default"/>
    <w:sig w:usb0="00000000" w:usb1="00000000" w:usb2="00000010" w:usb3="00000000" w:csb0="00040000" w:csb1="00000000"/>
  </w:font>
  <w:font w:name="ArialUnicodeMS">
    <w:altName w:val="Malgun Gothic"/>
    <w:panose1 w:val="00000000000000000000"/>
    <w:charset w:val="81"/>
    <w:family w:val="auto"/>
    <w:pitch w:val="default"/>
    <w:sig w:usb0="00000000" w:usb1="00000000" w:usb2="00000010" w:usb3="00000000" w:csb0="00080000"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DengXian-Bold">
    <w:altName w:val="宋体"/>
    <w:panose1 w:val="00000000000000000000"/>
    <w:charset w:val="86"/>
    <w:family w:val="auto"/>
    <w:pitch w:val="default"/>
    <w:sig w:usb0="00000000" w:usb1="00000000" w:usb2="00000010" w:usb3="00000000" w:csb0="00040000"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 w:name="Arial">
    <w:panose1 w:val="020B0604020202020204"/>
    <w:charset w:val="00"/>
    <w:family w:val="swiss"/>
    <w:pitch w:val="default"/>
    <w:sig w:usb0="E0002EFF" w:usb1="C0007843" w:usb2="00000009" w:usb3="00000000" w:csb0="400001FF" w:csb1="FFFF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attachedTemplate r:id="rId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6AAF1C96"/>
    <w:rsid w:val="0007063E"/>
    <w:rsid w:val="00073392"/>
    <w:rsid w:val="00073F4E"/>
    <w:rsid w:val="00080115"/>
    <w:rsid w:val="00086C89"/>
    <w:rsid w:val="000A39FB"/>
    <w:rsid w:val="000A6CB8"/>
    <w:rsid w:val="00117746"/>
    <w:rsid w:val="00117ECC"/>
    <w:rsid w:val="0012327B"/>
    <w:rsid w:val="00163F95"/>
    <w:rsid w:val="0017754F"/>
    <w:rsid w:val="00180A9A"/>
    <w:rsid w:val="001829C0"/>
    <w:rsid w:val="00184809"/>
    <w:rsid w:val="00192112"/>
    <w:rsid w:val="001B0127"/>
    <w:rsid w:val="001B0C6D"/>
    <w:rsid w:val="001C12D5"/>
    <w:rsid w:val="001C69F7"/>
    <w:rsid w:val="001C76F3"/>
    <w:rsid w:val="001D5E72"/>
    <w:rsid w:val="002650EC"/>
    <w:rsid w:val="002A6C46"/>
    <w:rsid w:val="002C19B5"/>
    <w:rsid w:val="002F6E28"/>
    <w:rsid w:val="003A4EE8"/>
    <w:rsid w:val="004150A4"/>
    <w:rsid w:val="00442CC2"/>
    <w:rsid w:val="00446244"/>
    <w:rsid w:val="00473C20"/>
    <w:rsid w:val="00480DA8"/>
    <w:rsid w:val="004A7E32"/>
    <w:rsid w:val="004D61CB"/>
    <w:rsid w:val="004E7375"/>
    <w:rsid w:val="005011D6"/>
    <w:rsid w:val="00503F2E"/>
    <w:rsid w:val="00552226"/>
    <w:rsid w:val="00566120"/>
    <w:rsid w:val="00582E6D"/>
    <w:rsid w:val="005954D5"/>
    <w:rsid w:val="005A53FA"/>
    <w:rsid w:val="005D1293"/>
    <w:rsid w:val="006211F7"/>
    <w:rsid w:val="00644D5F"/>
    <w:rsid w:val="006727AD"/>
    <w:rsid w:val="00691425"/>
    <w:rsid w:val="006A516E"/>
    <w:rsid w:val="006A5810"/>
    <w:rsid w:val="006B0830"/>
    <w:rsid w:val="006F3FD1"/>
    <w:rsid w:val="006F5B67"/>
    <w:rsid w:val="00716E2B"/>
    <w:rsid w:val="00770F18"/>
    <w:rsid w:val="00773B74"/>
    <w:rsid w:val="0078290C"/>
    <w:rsid w:val="007C06CA"/>
    <w:rsid w:val="008163FB"/>
    <w:rsid w:val="0082605B"/>
    <w:rsid w:val="00855C36"/>
    <w:rsid w:val="00857DBE"/>
    <w:rsid w:val="008701BC"/>
    <w:rsid w:val="00883D92"/>
    <w:rsid w:val="008A5362"/>
    <w:rsid w:val="008F21F1"/>
    <w:rsid w:val="008F221B"/>
    <w:rsid w:val="008F5A2D"/>
    <w:rsid w:val="00921602"/>
    <w:rsid w:val="009368A2"/>
    <w:rsid w:val="00957EA1"/>
    <w:rsid w:val="00966E5B"/>
    <w:rsid w:val="009B4EF0"/>
    <w:rsid w:val="009D271F"/>
    <w:rsid w:val="00A04A1D"/>
    <w:rsid w:val="00A929C2"/>
    <w:rsid w:val="00AD097F"/>
    <w:rsid w:val="00B3069E"/>
    <w:rsid w:val="00B844F4"/>
    <w:rsid w:val="00BA06A1"/>
    <w:rsid w:val="00BA770A"/>
    <w:rsid w:val="00BC7007"/>
    <w:rsid w:val="00C054DE"/>
    <w:rsid w:val="00C363CE"/>
    <w:rsid w:val="00C679A9"/>
    <w:rsid w:val="00C74914"/>
    <w:rsid w:val="00C7541C"/>
    <w:rsid w:val="00C764E0"/>
    <w:rsid w:val="00CC0FAA"/>
    <w:rsid w:val="00CD0736"/>
    <w:rsid w:val="00D1570F"/>
    <w:rsid w:val="00D32830"/>
    <w:rsid w:val="00DB7153"/>
    <w:rsid w:val="00DB7F05"/>
    <w:rsid w:val="00DD3262"/>
    <w:rsid w:val="00E028C3"/>
    <w:rsid w:val="00E14F77"/>
    <w:rsid w:val="00E1610E"/>
    <w:rsid w:val="00E3076B"/>
    <w:rsid w:val="00E36978"/>
    <w:rsid w:val="00E67377"/>
    <w:rsid w:val="00E82A1E"/>
    <w:rsid w:val="00EB2D9E"/>
    <w:rsid w:val="00EB75AF"/>
    <w:rsid w:val="00EC06F4"/>
    <w:rsid w:val="00EE4E36"/>
    <w:rsid w:val="00F665F4"/>
    <w:rsid w:val="00FA1DA8"/>
    <w:rsid w:val="00FD225F"/>
    <w:rsid w:val="0A5B5F57"/>
    <w:rsid w:val="0D9B31C9"/>
    <w:rsid w:val="0DE82DB6"/>
    <w:rsid w:val="124A022F"/>
    <w:rsid w:val="16954E41"/>
    <w:rsid w:val="232D2821"/>
    <w:rsid w:val="241E755A"/>
    <w:rsid w:val="31C2036A"/>
    <w:rsid w:val="320D02A5"/>
    <w:rsid w:val="348E566F"/>
    <w:rsid w:val="37313BD6"/>
    <w:rsid w:val="3A226944"/>
    <w:rsid w:val="3AEE6A48"/>
    <w:rsid w:val="3C1620AA"/>
    <w:rsid w:val="3D8F080F"/>
    <w:rsid w:val="3E9A07DE"/>
    <w:rsid w:val="44CE1FA4"/>
    <w:rsid w:val="487F73ED"/>
    <w:rsid w:val="496054F3"/>
    <w:rsid w:val="4A347EAE"/>
    <w:rsid w:val="52600405"/>
    <w:rsid w:val="529B4319"/>
    <w:rsid w:val="57773DD6"/>
    <w:rsid w:val="578B79AB"/>
    <w:rsid w:val="5BA85E1D"/>
    <w:rsid w:val="5CCD3FD5"/>
    <w:rsid w:val="61FA5F9D"/>
    <w:rsid w:val="626C6C12"/>
    <w:rsid w:val="64CD6910"/>
    <w:rsid w:val="6789158D"/>
    <w:rsid w:val="67D81BA4"/>
    <w:rsid w:val="6AAF1C96"/>
    <w:rsid w:val="70DD6B24"/>
    <w:rsid w:val="713665F0"/>
    <w:rsid w:val="75681757"/>
    <w:rsid w:val="75A346A8"/>
    <w:rsid w:val="79B9382C"/>
    <w:rsid w:val="7B043B76"/>
    <w:rsid w:val="7C041A6A"/>
    <w:rsid w:val="7C671A58"/>
    <w:rsid w:val="7E32757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6">
    <w:name w:val="Default Paragraph Font"/>
    <w:semiHidden/>
    <w:uiPriority w:val="99"/>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10"/>
    <w:uiPriority w:val="99"/>
    <w:rPr>
      <w:rFonts w:ascii="仿宋_GB2312" w:hAnsi="仿宋_GB2312" w:eastAsia="仿宋_GB2312" w:cs="仿宋_GB2312"/>
      <w:sz w:val="32"/>
      <w:szCs w:val="32"/>
      <w:lang w:val="zh-CN"/>
    </w:rPr>
  </w:style>
  <w:style w:type="paragraph" w:styleId="4">
    <w:name w:val="footer"/>
    <w:basedOn w:val="1"/>
    <w:link w:val="11"/>
    <w:uiPriority w:val="99"/>
    <w:pPr>
      <w:tabs>
        <w:tab w:val="center" w:pos="4153"/>
        <w:tab w:val="right" w:pos="8306"/>
      </w:tabs>
      <w:snapToGrid w:val="0"/>
      <w:jc w:val="left"/>
    </w:pPr>
    <w:rPr>
      <w:sz w:val="18"/>
      <w:szCs w:val="18"/>
    </w:rPr>
  </w:style>
  <w:style w:type="paragraph" w:styleId="5">
    <w:name w:val="header"/>
    <w:basedOn w:val="1"/>
    <w:link w:val="12"/>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8">
    <w:name w:val="Table Grid"/>
    <w:basedOn w:val="7"/>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9">
    <w:name w:val="Heading 1 Char"/>
    <w:basedOn w:val="6"/>
    <w:link w:val="2"/>
    <w:locked/>
    <w:uiPriority w:val="99"/>
    <w:rPr>
      <w:rFonts w:ascii="等线" w:hAnsi="等线" w:eastAsia="等线" w:cs="Times New Roman"/>
      <w:b/>
      <w:bCs/>
      <w:kern w:val="44"/>
      <w:sz w:val="44"/>
      <w:szCs w:val="44"/>
    </w:rPr>
  </w:style>
  <w:style w:type="character" w:customStyle="1" w:styleId="10">
    <w:name w:val="Body Text Char"/>
    <w:basedOn w:val="6"/>
    <w:link w:val="3"/>
    <w:semiHidden/>
    <w:locked/>
    <w:uiPriority w:val="99"/>
    <w:rPr>
      <w:rFonts w:ascii="等线" w:hAnsi="等线" w:eastAsia="等线" w:cs="Times New Roman"/>
    </w:rPr>
  </w:style>
  <w:style w:type="character" w:customStyle="1" w:styleId="11">
    <w:name w:val="Footer Char"/>
    <w:basedOn w:val="6"/>
    <w:link w:val="4"/>
    <w:locked/>
    <w:uiPriority w:val="99"/>
    <w:rPr>
      <w:rFonts w:cs="Times New Roman"/>
      <w:sz w:val="18"/>
      <w:szCs w:val="18"/>
    </w:rPr>
  </w:style>
  <w:style w:type="character" w:customStyle="1" w:styleId="12">
    <w:name w:val="Header Char"/>
    <w:basedOn w:val="6"/>
    <w:link w:val="5"/>
    <w:locked/>
    <w:uiPriority w:val="99"/>
    <w:rPr>
      <w:rFonts w:ascii="等线" w:hAnsi="等线" w:eastAsia="等线" w:cs="Times New Roman"/>
      <w:sz w:val="18"/>
      <w:szCs w:val="18"/>
    </w:rPr>
  </w:style>
  <w:style w:type="paragraph" w:customStyle="1" w:styleId="13">
    <w:name w:val="List Paragraph1"/>
    <w:basedOn w:val="1"/>
    <w:uiPriority w:val="99"/>
    <w:pPr>
      <w:spacing w:before="2"/>
      <w:ind w:left="119" w:right="434" w:firstLine="643"/>
    </w:pPr>
    <w:rPr>
      <w:rFonts w:ascii="仿宋_GB2312" w:hAnsi="仿宋_GB2312" w:eastAsia="仿宋_GB2312" w:cs="仿宋_GB2312"/>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1"/>
    <customShpInfo spid="_x0000_s1032"/>
    <customShpInfo spid="_x0000_s1030"/>
    <customShpInfo spid="_x0000_s1034"/>
    <customShpInfo spid="_x0000_s1035"/>
    <customShpInfo spid="_x0000_s1033"/>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33</Pages>
  <Words>1705</Words>
  <Characters>9724</Characters>
  <Lines>0</Lines>
  <Paragraphs>0</Paragraphs>
  <TotalTime>0</TotalTime>
  <ScaleCrop>false</ScaleCrop>
  <LinksUpToDate>false</LinksUpToDate>
  <CharactersWithSpaces>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Marathon</cp:lastModifiedBy>
  <cp:lastPrinted>2020-08-21T07:36:00Z</cp:lastPrinted>
  <dcterms:modified xsi:type="dcterms:W3CDTF">2021-07-19T09:06:55Z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