
<file path=[Content_Types].xml><?xml version="1.0" encoding="utf-8"?>
<Types xmlns="http://schemas.openxmlformats.org/package/2006/content-types">
  <Default Extension="xml" ContentType="application/xml"/>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pgSz w:w="11906" w:h="16838"/>
          <w:pgMar w:top="0" w:right="0" w:bottom="0" w:left="0" w:header="851" w:footer="992" w:gutter="0"/>
          <w:cols w:space="425" w:num="1"/>
          <w:titlePg/>
          <w:docGrid w:type="lines" w:linePitch="312" w:charSpace="0"/>
        </w:sectPr>
      </w:pPr>
      <w:r>
        <w:pict>
          <v:shape id="文本框 10" o:spid="_x0000_s1026" o:spt="202" type="#_x0000_t202" style="position:absolute;left:0pt;margin-left:106.25pt;margin-top:693.55pt;height:79.95pt;width:404.15pt;z-index:251654144;mso-width-relative:page;mso-height-relative:page;" filled="f" stroked="f" coordsize="21600,21600" o:gfxdata="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i9lks2QAAAA4BAAAPAAAAAAAA&#10;AAEAIAAAACIAAABkcnMvZG93bnJldi54bWxQSwECFAAUAAAACACHTuJA62B+R58BAAARAwAADgAA&#10;AAAAAAABACAAAAAoAQAAZHJzL2Uyb0RvYy54bWxQSwUGAAAAAAYABgBZAQAAOQUAAAAA&#10;">
            <v:path/>
            <v:fill on="f" focussize="0,0"/>
            <v:stroke on="f" joinstyle="miter"/>
            <v:imagedata o:title=""/>
            <o:lock v:ext="edit"/>
            <v:textbox style="mso-fit-shape-to-text:t;">
              <w:txbxContent>
                <w:p>
                  <w:pPr>
                    <w:jc w:val="center"/>
                    <w:rPr>
                      <w:rFonts w:ascii="楷体_GB2312" w:hAnsi="楷体_GB2312" w:eastAsia="楷体_GB2312" w:cs="楷体_GB2312"/>
                      <w:color w:val="000000"/>
                      <w:kern w:val="0"/>
                      <w:sz w:val="44"/>
                      <w:szCs w:val="44"/>
                    </w:rPr>
                  </w:pPr>
                  <w:r>
                    <w:rPr>
                      <w:rFonts w:hint="eastAsia" w:ascii="楷体_GB2312" w:hAnsi="楷体_GB2312" w:eastAsia="楷体_GB2312" w:cs="楷体_GB2312"/>
                      <w:color w:val="000000"/>
                      <w:kern w:val="0"/>
                      <w:sz w:val="44"/>
                      <w:szCs w:val="44"/>
                    </w:rPr>
                    <w:t>二〇二〇年七月</w:t>
                  </w:r>
                </w:p>
              </w:txbxContent>
            </v:textbox>
          </v:shape>
        </w:pict>
      </w:r>
      <w:r>
        <w:pict>
          <v:shape id="椭圆 8" o:spid="_x0000_s1027" o:spt="3" type="#_x0000_t3" style="position:absolute;left:0pt;margin-left:53.5pt;margin-top:232.45pt;height:121.95pt;width:121.95pt;z-index:251651072;v-text-anchor:middle;mso-width-relative:page;mso-height-relative:page;" stroked="f" coordsize="21600,21600" o:gfxdata="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hslzntkAAAALAQAADwAAAAAAAAABACAAAAAi&#10;AAAAZHJzL2Rvd25yZXYueG1sUEsBAhQAFAAAAAgAh07iQM5yFTvQAQAAfAMAAA4AAAAAAAAAAQAg&#10;AAAAKAEAAGRycy9lMm9Eb2MueG1sUEsFBgAAAAAGAAYAWQEAAGoFAAAAAA==&#10;">
            <v:path/>
            <v:fill focussize="0,0"/>
            <v:stroke on="f" weight="1pt" joinstyle="miter"/>
            <v:imagedata o:title=""/>
            <o:lock v:ext="edit"/>
          </v:shape>
        </w:pict>
      </w:r>
      <w:r>
        <w:pict>
          <v:rect id="矩形 14" o:spid="_x0000_s1028" o:spt="1" style="position:absolute;left:0pt;margin-left:33.6pt;margin-top:256.75pt;height:69.6pt;width:160.65pt;z-index:251656192;mso-width-relative:page;mso-height-relative:page;" filled="f" stroked="f" coordsize="21600,21600" o:gfxdata="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qVam52QAAAAoBAAAPAAAAAAAAAAEAIAAAACIA&#10;AABkcnMvZG93bnJldi54bWxQSwECFAAUAAAACACHTuJAUowsHJYBAAD5AgAADgAAAAAAAAABACAA&#10;AAAoAQAAZHJzL2Uyb0RvYy54bWxQSwUGAAAAAAYABgBZAQAAMAUAAAAA&#10;">
            <v:path/>
            <v:fill on="f" focussize="0,0"/>
            <v:stroke on="f"/>
            <v:imagedata o:title=""/>
            <o:lock v:ext="edit"/>
            <v:textbox style="mso-fit-shape-to-text:t;">
              <w:txbxContent>
                <w:p>
                  <w:pPr>
                    <w:spacing w:line="360" w:lineRule="auto"/>
                    <w:jc w:val="center"/>
                    <w:rPr>
                      <w:kern w:val="0"/>
                      <w:sz w:val="28"/>
                      <w:szCs w:val="28"/>
                    </w:rPr>
                  </w:pPr>
                  <w:r>
                    <w:rPr>
                      <w:rFonts w:ascii="Yu Gothic UI Semibold" w:hAnsi="Yu Gothic UI Semibold" w:eastAsia="宋体"/>
                      <w:color w:val="C7EDCC"/>
                      <w:kern w:val="24"/>
                      <w:sz w:val="72"/>
                      <w:szCs w:val="72"/>
                    </w:rPr>
                    <w:t>2019</w:t>
                  </w:r>
                </w:p>
              </w:txbxContent>
            </v:textbox>
          </v:rect>
        </w:pict>
      </w:r>
      <w:r>
        <w:pict>
          <v:shape id="椭圆 9" o:spid="_x0000_s1029" o:spt="3" type="#_x0000_t3" style="position:absolute;left:0pt;margin-left:62.2pt;margin-top:242.75pt;height:103.45pt;width:103.45pt;z-index:251655168;v-text-anchor:middle;mso-width-relative:page;mso-height-relative:page;" fillcolor="#1F2959" filled="t" stroked="f" coordsize="21600,21600" o:gfxdata="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0Chgu2AAAAAsBAAAP&#10;AAAAAAAAAAEAIAAAACIAAABkcnMvZG93bnJldi54bWxQSwECFAAUAAAACACHTuJAurh2Fd8BAACI&#10;AwAADgAAAAAAAAABACAAAAAnAQAAZHJzL2Uyb0RvYy54bWxQSwUGAAAAAAYABgBZAQAAeAUAAAAA&#10;">
            <v:path/>
            <v:fill on="t" focussize="0,0"/>
            <v:stroke on="f" weight="1pt" joinstyle="miter"/>
            <v:imagedata o:title=""/>
            <o:lock v:ext="edit"/>
          </v:shape>
        </w:pict>
      </w:r>
      <w:r>
        <w:pict>
          <v:group id="_x0000_s1030" o:spid="_x0000_s1030" o:spt="203" style="position:absolute;left:0pt;margin-left:1.25pt;margin-top:821.7pt;height:21.45pt;width:595.25pt;z-index:251652096;mso-width-relative:page;mso-height-relative:page;" coordorigin="1483,16692" coordsize="11905,429" o:gfxdata="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01yfJdoAAAAMAQAADwAAAAAAAAABACAAAAAiAAAA&#10;ZHJzL2Rvd25yZXYueG1sUEsBAhQAFAAAAAgAh07iQGGYKE93AgAAlgYAAA4AAAAAAAAAAQAgAAAA&#10;KQEAAGRycy9lMm9Eb2MueG1sUEsFBgAAAAAGAAYAWQEAABIGAAAAAA==&#10;">
            <o:lock v:ext="edit"/>
            <v:rect id="矩形 6" o:spid="_x0000_s1031" o:spt="1" style="position:absolute;left:1483;top:16692;height:428;width:1125;v-text-anchor:middle;" fillcolor="#FDBC11" filled="t" stroked="f" coordsize="21600,21600" o:gfxdata="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k0zBvQAA&#10;ANoAAAAPAAAAAAAAAAEAIAAAACIAAABkcnMvZG93bnJldi54bWxQSwECFAAUAAAACACHTuJAMy8F&#10;njsAAAA5AAAAEAAAAAAAAAABACAAAAAMAQAAZHJzL3NoYXBleG1sLnhtbFBLBQYAAAAABgAGAFsB&#10;AAC2AwAAAAA=&#10;">
              <v:path/>
              <v:fill on="t" focussize="0,0"/>
              <v:stroke on="f" weight="1pt"/>
              <v:imagedata o:title=""/>
              <o:lock v:ext="edit"/>
            </v:rect>
            <v:rect id="矩形 7" o:spid="_x0000_s1032" o:spt="1" style="position:absolute;left:2608;top:16693;height:428;width:10780;v-text-anchor:middle;" fillcolor="#1F2959" filled="t" stroked="f" coordsize="21600,21600" o:gfxdata="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RMRQrUAAADaAAAADwAA&#10;AAAAAAABACAAAAAiAAAAZHJzL2Rvd25yZXYueG1sUEsBAhQAFAAAAAgAh07iQDMvBZ47AAAAOQAA&#10;ABAAAAAAAAAAAQAgAAAABAEAAGRycy9zaGFwZXhtbC54bWxQSwUGAAAAAAYABgBbAQAArgMAAAAA&#10;">
              <v:path/>
              <v:fill on="t" focussize="0,0"/>
              <v:stroke on="f" weight="1pt"/>
              <v:imagedata o:title=""/>
              <o:lock v:ext="edit"/>
            </v:rect>
          </v:group>
        </w:pict>
      </w:r>
      <w:r>
        <w:pict>
          <v:group id="_x0000_s1033" o:spid="_x0000_s1033" o:spt="203" style="position:absolute;left:0pt;margin-left:-2.5pt;margin-top:0pt;height:308.5pt;width:600.25pt;z-index:-251667456;mso-width-relative:page;mso-height-relative:page;" coordorigin="13622,283" coordsize="12005,6170" o:gfxdata="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0RH3X2QAAAAgBAAAPAAAAAAAAAAEAIAAAACIAAABkcnMv&#10;ZG93bnJldi54bWxQSwECFAAUAAAACACHTuJA16dyFK0CAAAvBgAADgAAAAAAAAABACAAAAAoAQAA&#10;ZHJzL2Uyb0RvYy54bWxQSwUGAAAAAAYABgBZAQAARwYAAAAA&#10;">
            <o:lock v:ext="edit"/>
            <v:rect id="矩形 5" o:spid="_x0000_s1034" o:spt="1" style="position:absolute;left:13622;top:283;height:6170;width:12005;v-text-anchor:middle;" fillcolor="#FDBC11" filled="t" stroked="f" coordsize="21600,21600" o:gfxdata="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f6Vq8AAAA&#10;2gAAAA8AAAAAAAAAAQAgAAAAIgAAAGRycy9kb3ducmV2LnhtbFBLAQIUABQAAAAIAIdO4kAzLwWe&#10;OwAAADkAAAAQAAAAAAAAAAEAIAAAAAsBAABkcnMvc2hhcGV4bWwueG1sUEsFBgAAAAAGAAYAWwEA&#10;ALUDAAAAAA==&#10;">
              <v:path/>
              <v:fill on="t" focussize="0,0"/>
              <v:stroke on="f" weight="1pt"/>
              <v:imagedata o:title=""/>
              <o:lock v:ext="edit"/>
            </v:rect>
            <v:shape id="_x0000_s1035" o:spid="_x0000_s1035" o:spt="202" type="#_x0000_t202" style="position:absolute;left:17229;top:5021;height:1392;width:8083;" filled="f" stroked="f" coordsize="21600,21600" o:gfxdata="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r8kay5AAAA2wAA&#10;AA8AAAAAAAAAAQAgAAAAIgAAAGRycy9kb3ducmV2LnhtbFBLAQIUABQAAAAIAIdO4kAzLwWeOwAA&#10;ADkAAAAQAAAAAAAAAAEAIAAAAAgBAABkcnMvc2hhcGV4bWwueG1sUEsFBgAAAAAGAAYAWwEAALID&#10;AAAAAA==&#10;">
              <v:path/>
              <v:fill on="f" focussize="0,0"/>
              <v:stroke on="f" joinstyle="miter"/>
              <v:imagedata o:title=""/>
              <o:lock v:ext="edit"/>
              <v:textbox style="mso-fit-shape-to-text:t;">
                <w:txbxContent>
                  <w:p>
                    <w:pPr>
                      <w:jc w:val="left"/>
                      <w:rPr>
                        <w:color w:val="000000"/>
                        <w:kern w:val="0"/>
                        <w:sz w:val="92"/>
                        <w:szCs w:val="92"/>
                      </w:rPr>
                    </w:pPr>
                    <w:r>
                      <w:rPr>
                        <w:rFonts w:hint="eastAsia" w:ascii="思源黑体 HW Bold" w:hAnsi="思源黑体 HW Bold" w:eastAsia="思源黑体 HW Bold"/>
                        <w:color w:val="000000"/>
                        <w:kern w:val="24"/>
                        <w:sz w:val="92"/>
                        <w:szCs w:val="92"/>
                      </w:rPr>
                      <w:t>部门决算公开文本</w:t>
                    </w:r>
                  </w:p>
                </w:txbxContent>
              </v:textbox>
            </v:shape>
          </v:group>
        </w:pict>
      </w:r>
      <w:r>
        <w:pict>
          <v:rect id="矩形 11" o:spid="_x0000_s1036" o:spt="1" style="position:absolute;left:0pt;margin-left:184.75pt;margin-top:286.6pt;height:31.25pt;width:339.65pt;mso-wrap-style:none;z-index:251653120;mso-width-relative:page;mso-height-relative:page;" filled="f" stroked="f" coordsize="21600,21600" o:gfxdata="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JZkF9HbAAAADAEAAA8AAAAAAAAAAQAgAAAAIgAAAGRycy9kb3ducmV2Lnht&#10;bFBLAQIUABQAAAAIAIdO4kDFNb7JhAEAAOwCAAAOAAAAAAAAAAEAIAAAACoBAABkcnMvZTJvRG9j&#10;LnhtbFBLBQYAAAAABgAGAFkBAAAgBQAAAAA=&#10;">
            <v:path/>
            <v:fill on="f" focussize="0,0"/>
            <v:stroke on="f"/>
            <v:imagedata o:title=""/>
            <o:lock v:ext="edit"/>
            <v:textbox style="mso-fit-shape-to-text:t;">
              <w:txbxContent>
                <w:p/>
              </w:txbxContent>
            </v:textbox>
          </v:rect>
        </w:pict>
      </w:r>
    </w:p>
    <w:p/>
    <w:p>
      <w:pPr>
        <w:jc w:val="center"/>
        <w:rPr>
          <w:rFonts w:ascii="黑体" w:hAnsi="黑体" w:eastAsia="黑体" w:cs="黑体"/>
          <w:sz w:val="56"/>
          <w:szCs w:val="72"/>
        </w:rPr>
      </w:pPr>
    </w:p>
    <w:p>
      <w:pPr>
        <w:jc w:val="center"/>
        <w:rPr>
          <w:rFonts w:ascii="黑体" w:hAnsi="黑体" w:eastAsia="黑体" w:cs="黑体"/>
          <w:sz w:val="56"/>
          <w:szCs w:val="72"/>
        </w:rPr>
      </w:pPr>
    </w:p>
    <w:p>
      <w:pPr>
        <w:rPr>
          <w:rFonts w:ascii="黑体" w:hAnsi="Times New Roman" w:eastAsia="黑体"/>
          <w:sz w:val="48"/>
          <w:szCs w:val="48"/>
        </w:rPr>
      </w:pPr>
      <w:r>
        <w:rPr>
          <w:rFonts w:ascii="黑体" w:hAnsi="Times New Roman" w:eastAsia="黑体"/>
          <w:sz w:val="48"/>
          <w:szCs w:val="48"/>
        </w:rPr>
        <w:br w:type="page"/>
      </w:r>
      <w:r>
        <w:rPr>
          <w:rFonts w:ascii="黑体" w:hAnsi="Times New Roman" w:eastAsia="黑体"/>
          <w:sz w:val="48"/>
          <w:szCs w:val="48"/>
        </w:rPr>
        <w:pict>
          <v:shape id="_x0000_i1025" o:spt="75" type="#_x0000_t75" style="height:627pt;width:436.8pt;" filled="f" o:preferrelative="t" stroked="f" coordsize="21600,21600">
            <v:path/>
            <v:fill on="f" focussize="0,0"/>
            <v:stroke on="f" joinstyle="miter"/>
            <v:imagedata r:id="rId10" o:title=""/>
            <o:lock v:ext="edit" aspectratio="t"/>
            <w10:wrap type="none"/>
            <w10:anchorlock/>
          </v:shape>
        </w:pict>
      </w:r>
    </w:p>
    <w:p>
      <w:pPr>
        <w:jc w:val="center"/>
        <w:rPr>
          <w:rFonts w:ascii="黑体" w:hAnsi="黑体" w:eastAsia="黑体" w:cs="黑体"/>
          <w:sz w:val="56"/>
          <w:szCs w:val="72"/>
        </w:rPr>
        <w:sectPr>
          <w:headerReference r:id="rId4" w:type="first"/>
          <w:footerReference r:id="rId6" w:type="first"/>
          <w:headerReference r:id="rId3" w:type="default"/>
          <w:footerReference r:id="rId5" w:type="default"/>
          <w:type w:val="continuous"/>
          <w:pgSz w:w="11906" w:h="16838"/>
          <w:pgMar w:top="2041" w:right="1531" w:bottom="2041" w:left="1531" w:header="851" w:footer="992" w:gutter="0"/>
          <w:cols w:space="0" w:num="1"/>
          <w:titlePg/>
          <w:docGrid w:type="lines" w:linePitch="312" w:charSpace="0"/>
        </w:sectPr>
      </w:pPr>
    </w:p>
    <w:p>
      <w:pPr>
        <w:rPr>
          <w:rFonts w:ascii="黑体" w:hAnsi="Times New Roman" w:eastAsia="黑体"/>
          <w:sz w:val="48"/>
          <w:szCs w:val="48"/>
        </w:rPr>
      </w:pPr>
      <w:r>
        <w:rPr>
          <w:rFonts w:ascii="黑体" w:hAnsi="Times New Roman" w:eastAsia="黑体"/>
          <w:sz w:val="48"/>
          <w:szCs w:val="48"/>
        </w:rPr>
        <w:br w:type="page"/>
      </w:r>
    </w:p>
    <w:p>
      <w:pPr>
        <w:tabs>
          <w:tab w:val="left" w:pos="2728"/>
        </w:tabs>
        <w:jc w:val="center"/>
        <w:rPr>
          <w:rFonts w:ascii="黑体" w:hAnsi="Times New Roman" w:eastAsia="黑体"/>
          <w:sz w:val="48"/>
          <w:szCs w:val="48"/>
        </w:rPr>
      </w:pPr>
    </w:p>
    <w:p>
      <w:pPr>
        <w:tabs>
          <w:tab w:val="left" w:pos="2728"/>
        </w:tabs>
        <w:jc w:val="center"/>
        <w:rPr>
          <w:rFonts w:ascii="黑体" w:hAnsi="Times New Roman" w:eastAsia="黑体"/>
          <w:sz w:val="48"/>
          <w:szCs w:val="48"/>
        </w:rPr>
      </w:pPr>
      <w:r>
        <w:rPr>
          <w:rFonts w:hint="eastAsia" w:ascii="黑体" w:hAnsi="Times New Roman" w:eastAsia="黑体"/>
          <w:sz w:val="48"/>
          <w:szCs w:val="48"/>
        </w:rPr>
        <w:t>目</w:t>
      </w:r>
      <w:r>
        <w:rPr>
          <w:rFonts w:ascii="黑体" w:hAnsi="Times New Roman" w:eastAsia="黑体"/>
          <w:sz w:val="48"/>
          <w:szCs w:val="48"/>
        </w:rPr>
        <w:t xml:space="preserve">    </w:t>
      </w:r>
      <w:r>
        <w:rPr>
          <w:rFonts w:hint="eastAsia" w:ascii="黑体" w:hAnsi="Times New Roman" w:eastAsia="黑体"/>
          <w:sz w:val="48"/>
          <w:szCs w:val="48"/>
        </w:rPr>
        <w:t>录</w:t>
      </w:r>
    </w:p>
    <w:p>
      <w:pPr>
        <w:widowControl/>
        <w:spacing w:after="160" w:line="580" w:lineRule="exact"/>
        <w:ind w:firstLine="640" w:firstLineChars="200"/>
        <w:rPr>
          <w:rFonts w:ascii="Times New Roman" w:hAnsi="Times New Roman" w:eastAsia="黑体"/>
          <w:sz w:val="32"/>
          <w:szCs w:val="32"/>
        </w:rPr>
      </w:pPr>
    </w:p>
    <w:p>
      <w:pPr>
        <w:widowControl/>
        <w:spacing w:after="160" w:line="580" w:lineRule="exact"/>
        <w:ind w:firstLine="640" w:firstLineChars="200"/>
        <w:rPr>
          <w:rFonts w:ascii="Times New Roman" w:hAnsi="Times New Roman" w:eastAsia="仿宋_GB2312"/>
          <w:sz w:val="24"/>
          <w:szCs w:val="32"/>
        </w:rPr>
      </w:pPr>
      <w:r>
        <w:rPr>
          <w:rFonts w:hint="eastAsia" w:ascii="Times New Roman" w:hAnsi="Times New Roman" w:eastAsia="黑体"/>
          <w:sz w:val="32"/>
          <w:szCs w:val="32"/>
        </w:rPr>
        <w:t>第一部分</w:t>
      </w:r>
      <w:r>
        <w:rPr>
          <w:rFonts w:ascii="Times New Roman" w:hAnsi="Times New Roman" w:eastAsia="黑体"/>
          <w:sz w:val="32"/>
          <w:szCs w:val="32"/>
        </w:rPr>
        <w:t xml:space="preserve">   </w:t>
      </w:r>
      <w:r>
        <w:rPr>
          <w:rFonts w:hint="eastAsia" w:ascii="Times New Roman" w:hAnsi="Times New Roman" w:eastAsia="黑体"/>
          <w:sz w:val="32"/>
          <w:szCs w:val="32"/>
        </w:rPr>
        <w:t>部门概况</w:t>
      </w:r>
    </w:p>
    <w:p>
      <w:pPr>
        <w:widowControl/>
        <w:spacing w:after="160" w:line="580" w:lineRule="exact"/>
        <w:ind w:firstLine="1273" w:firstLineChars="398"/>
        <w:rPr>
          <w:rFonts w:ascii="Times New Roman" w:hAnsi="Times New Roman" w:eastAsia="仿宋_GB2312"/>
          <w:sz w:val="32"/>
          <w:szCs w:val="32"/>
        </w:rPr>
      </w:pPr>
      <w:r>
        <w:rPr>
          <w:rFonts w:hint="eastAsia" w:ascii="Times New Roman" w:hAnsi="Times New Roman" w:eastAsia="仿宋_GB2312"/>
          <w:sz w:val="32"/>
          <w:szCs w:val="32"/>
        </w:rPr>
        <w:t>一、部门职责</w:t>
      </w:r>
    </w:p>
    <w:p>
      <w:pPr>
        <w:widowControl/>
        <w:spacing w:after="160" w:line="580" w:lineRule="exact"/>
        <w:ind w:firstLine="1273" w:firstLineChars="398"/>
        <w:rPr>
          <w:rFonts w:ascii="Times New Roman" w:hAnsi="Times New Roman" w:eastAsia="仿宋_GB2312"/>
          <w:sz w:val="32"/>
          <w:szCs w:val="32"/>
        </w:rPr>
      </w:pPr>
      <w:r>
        <w:rPr>
          <w:rFonts w:hint="eastAsia" w:ascii="Times New Roman" w:hAnsi="Times New Roman" w:eastAsia="仿宋_GB2312"/>
          <w:sz w:val="32"/>
          <w:szCs w:val="32"/>
        </w:rPr>
        <w:t>二、机构设置</w:t>
      </w:r>
    </w:p>
    <w:p>
      <w:pPr>
        <w:widowControl/>
        <w:spacing w:after="160" w:line="58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第二部分</w:t>
      </w:r>
      <w:r>
        <w:rPr>
          <w:rFonts w:ascii="Times New Roman" w:hAnsi="Times New Roman" w:eastAsia="黑体"/>
          <w:sz w:val="32"/>
          <w:szCs w:val="32"/>
        </w:rPr>
        <w:t xml:space="preserve">   2019</w:t>
      </w:r>
      <w:r>
        <w:rPr>
          <w:rFonts w:hint="eastAsia" w:ascii="Times New Roman" w:hAnsi="Times New Roman" w:eastAsia="黑体"/>
          <w:sz w:val="32"/>
          <w:szCs w:val="32"/>
        </w:rPr>
        <w:t>年部门决算情况说明</w:t>
      </w:r>
    </w:p>
    <w:p>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一、收入支出决算总体情况说明</w:t>
      </w:r>
    </w:p>
    <w:p>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二、收入决算情况说明</w:t>
      </w:r>
    </w:p>
    <w:p>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三、支出决算情况说明</w:t>
      </w:r>
    </w:p>
    <w:p>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五、一般公共预算</w:t>
      </w:r>
      <w:r>
        <w:rPr>
          <w:rFonts w:ascii="Times New Roman" w:hAnsi="Times New Roman" w:eastAsia="仿宋_GB2312"/>
          <w:sz w:val="32"/>
          <w:szCs w:val="32"/>
        </w:rPr>
        <w:t>“</w:t>
      </w:r>
      <w:r>
        <w:rPr>
          <w:rFonts w:hint="eastAsia" w:ascii="Times New Roman" w:hAnsi="Times New Roman" w:eastAsia="仿宋_GB2312"/>
          <w:sz w:val="32"/>
          <w:szCs w:val="32"/>
        </w:rPr>
        <w:t>三公</w:t>
      </w:r>
      <w:r>
        <w:rPr>
          <w:rFonts w:ascii="Times New Roman" w:hAnsi="Times New Roman" w:eastAsia="仿宋_GB2312"/>
          <w:sz w:val="32"/>
          <w:szCs w:val="32"/>
        </w:rPr>
        <w:t>”</w:t>
      </w:r>
      <w:r>
        <w:rPr>
          <w:rFonts w:hint="eastAsia" w:ascii="Times New Roman" w:hAnsi="Times New Roman" w:eastAsia="仿宋_GB2312"/>
          <w:sz w:val="32"/>
          <w:szCs w:val="32"/>
        </w:rPr>
        <w:t>经费支出决算情况说明</w:t>
      </w:r>
    </w:p>
    <w:p>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六、预算绩效情况说明</w:t>
      </w:r>
    </w:p>
    <w:p>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七、其他重要事项的说明</w:t>
      </w:r>
    </w:p>
    <w:p>
      <w:pPr>
        <w:widowControl/>
        <w:spacing w:after="160" w:line="58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第三部分</w:t>
      </w:r>
      <w:r>
        <w:rPr>
          <w:rFonts w:ascii="Times New Roman" w:hAnsi="Times New Roman" w:eastAsia="黑体"/>
          <w:sz w:val="32"/>
          <w:szCs w:val="32"/>
        </w:rPr>
        <w:t xml:space="preserve">  </w:t>
      </w:r>
      <w:r>
        <w:rPr>
          <w:rFonts w:hint="eastAsia" w:ascii="Times New Roman" w:hAnsi="Times New Roman" w:eastAsia="黑体"/>
          <w:sz w:val="32"/>
          <w:szCs w:val="32"/>
        </w:rPr>
        <w:t>名词解释</w:t>
      </w:r>
    </w:p>
    <w:p>
      <w:pPr>
        <w:widowControl/>
        <w:spacing w:after="160" w:line="580" w:lineRule="exact"/>
        <w:ind w:firstLine="640" w:firstLineChars="200"/>
        <w:rPr>
          <w:rFonts w:ascii="Times New Roman" w:hAnsi="Times New Roman" w:eastAsia="仿宋_GB2312"/>
          <w:sz w:val="20"/>
          <w:szCs w:val="32"/>
        </w:rPr>
      </w:pPr>
      <w:r>
        <w:rPr>
          <w:rFonts w:hint="eastAsia" w:ascii="Times New Roman" w:hAnsi="Times New Roman" w:eastAsia="黑体"/>
          <w:sz w:val="32"/>
          <w:szCs w:val="32"/>
        </w:rPr>
        <w:t>第四部分</w:t>
      </w:r>
      <w:r>
        <w:rPr>
          <w:rFonts w:ascii="Times New Roman" w:hAnsi="Times New Roman" w:eastAsia="黑体"/>
          <w:sz w:val="32"/>
          <w:szCs w:val="32"/>
        </w:rPr>
        <w:t xml:space="preserve">  2019</w:t>
      </w:r>
      <w:r>
        <w:rPr>
          <w:rFonts w:hint="eastAsia" w:ascii="Times New Roman" w:hAnsi="Times New Roman" w:eastAsia="黑体"/>
          <w:sz w:val="32"/>
          <w:szCs w:val="32"/>
        </w:rPr>
        <w:t>年度部门决算报表</w:t>
      </w:r>
    </w:p>
    <w:p>
      <w:pPr>
        <w:widowControl/>
        <w:spacing w:after="160" w:line="580" w:lineRule="exact"/>
        <w:ind w:firstLine="640" w:firstLineChars="200"/>
        <w:rPr>
          <w:rFonts w:ascii="Times New Roman" w:hAnsi="Times New Roman"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pict>
          <v:shape id="_x0000_s1037" o:spid="_x0000_s1037" o:spt="202" type="#_x0000_t202" style="position:absolute;left:0pt;margin-left:-85.7pt;margin-top:80.7pt;height:263.1pt;width:613.65pt;z-index:251657216;v-text-anchor:middle;mso-width-relative:page;mso-height-relative:page;" fillcolor="#FFD966" filled="t" stroked="t" coordsize="21600,21600" o:gfxdata="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dhMyncAAAADQEAAA8AAAAAAAAAAQAgAAAAIgAAAGRycy9kb3du&#10;cmV2LnhtbFBLAQIUABQAAAAIAIdO4kBsigz3bQIAAN8EAAAOAAAAAAAAAAEAIAAAACsBAABkcnMv&#10;ZTJvRG9jLnhtbFBLBQYAAAAABgAGAFkBAAAKBgAAAAA=&#10;">
            <v:path/>
            <v:fill type="pattern" on="t" focussize="0,0"/>
            <v:stroke weight="1pt" color="#FFD966" joinstyle="round"/>
            <v:imagedata o:title=""/>
            <o:lock v:ext="edit"/>
            <v:textbox>
              <w:txbxContent>
                <w:p>
                  <w:pPr>
                    <w:widowControl/>
                    <w:jc w:val="center"/>
                    <w:rPr>
                      <w:rFonts w:ascii="黑体" w:hAnsi="黑体" w:eastAsia="黑体" w:cs="黑体"/>
                      <w:color w:val="000000"/>
                      <w:sz w:val="96"/>
                      <w:szCs w:val="96"/>
                    </w:rPr>
                  </w:pPr>
                  <w:r>
                    <w:rPr>
                      <w:rFonts w:hint="eastAsia" w:ascii="黑体" w:hAnsi="黑体" w:eastAsia="黑体" w:cs="黑体"/>
                      <w:color w:val="000000"/>
                      <w:sz w:val="96"/>
                      <w:szCs w:val="96"/>
                    </w:rPr>
                    <w:t>第一部分</w:t>
                  </w:r>
                  <w:r>
                    <w:rPr>
                      <w:rFonts w:ascii="黑体" w:hAnsi="黑体" w:eastAsia="黑体" w:cs="黑体"/>
                      <w:color w:val="000000"/>
                      <w:sz w:val="96"/>
                      <w:szCs w:val="96"/>
                    </w:rPr>
                    <w:t xml:space="preserve">  </w:t>
                  </w:r>
                  <w:r>
                    <w:rPr>
                      <w:rFonts w:hint="eastAsia" w:ascii="黑体" w:hAnsi="黑体" w:eastAsia="黑体" w:cs="黑体"/>
                      <w:color w:val="000000"/>
                      <w:sz w:val="96"/>
                      <w:szCs w:val="96"/>
                    </w:rPr>
                    <w:t>部门概况</w:t>
                  </w:r>
                </w:p>
              </w:txbxContent>
            </v:textbox>
          </v:shape>
        </w:pict>
      </w:r>
      <w:r>
        <w:br w:type="page"/>
      </w:r>
    </w:p>
    <w:p>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pPr>
        <w:autoSpaceDE w:val="0"/>
        <w:autoSpaceDN w:val="0"/>
        <w:adjustRightInd w:val="0"/>
        <w:spacing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（一）贯彻落实国家、省、市有关人力资源和社会保障事业发展规划和政策法规；拟定全区人力资源和社会保障事业发展目标及相关政策；负责全区人力资源和社会保障的宣传和舆情研究。</w:t>
      </w:r>
    </w:p>
    <w:p>
      <w:pPr>
        <w:autoSpaceDE w:val="0"/>
        <w:autoSpaceDN w:val="0"/>
        <w:adjustRightInd w:val="0"/>
        <w:spacing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（二）拟订人力资源市场发展规划和人力资源流动政策，建立统一规范的人力资源市场，促进人力资源的合理流动和有效配置；拟订机构改革人员定岗和分流政策。</w:t>
      </w:r>
    </w:p>
    <w:p>
      <w:pPr>
        <w:autoSpaceDE w:val="0"/>
        <w:autoSpaceDN w:val="0"/>
        <w:adjustRightInd w:val="0"/>
        <w:spacing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三）按照干部管理权限和上级要求，负责全区行政机关公务员考核工作，拟定公务员职位分类标准和管理办法；组织全区事业单位工作人员的考试录用工作；承办区政府提请区人大常委会决定任免人员和区政府任免人员的行政任免相关事宜；负责区政府系统和事业单位副科级干部的考察、选拔、任免和管理工作；负责公务员的惩戒、申诉、控告和行政复议工作。</w:t>
      </w:r>
    </w:p>
    <w:p>
      <w:pPr>
        <w:autoSpaceDE w:val="0"/>
        <w:autoSpaceDN w:val="0"/>
        <w:adjustRightInd w:val="0"/>
        <w:spacing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四）负责全区促进就业工作，拟定统筹城乡的就业发展规划和政策，完善公共就业服务体系；统筹建立面向城乡劳动者的职业培训制度；牵头拟定高校毕业生就业政策，按规定负责非师范类毕业生报到、落户及推荐就业工作；会同有关部门拟定技能型人才、农村实用人才培养和激励政策；牵头拟定加强曹妃甸人才特区建设的相关政策措施。</w:t>
      </w:r>
    </w:p>
    <w:p>
      <w:pPr>
        <w:autoSpaceDE w:val="0"/>
        <w:autoSpaceDN w:val="0"/>
        <w:adjustRightInd w:val="0"/>
        <w:spacing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五）负责全区行政机关工作人员、事业单位工作人员、国有企业管理人员和专业技术人员的流动调配工作；负责全区高层次专业技术人才选拔培养以及境外和入境就业人员的输出、引进和管理工作；负责机关事业单位副科级以下干部的档案管理工作。</w:t>
      </w:r>
    </w:p>
    <w:p>
      <w:pPr>
        <w:autoSpaceDE w:val="0"/>
        <w:autoSpaceDN w:val="0"/>
        <w:adjustRightInd w:val="0"/>
        <w:spacing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（六）指导协调拟以区政府名义进行的表彰奖励工作；负责拟上报国家和省、市政府及相关部门表彰奖励人选的审核。</w:t>
      </w:r>
    </w:p>
    <w:p>
      <w:pPr>
        <w:autoSpaceDE w:val="0"/>
        <w:autoSpaceDN w:val="0"/>
        <w:adjustRightInd w:val="0"/>
        <w:spacing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七）统筹建立覆盖城乡的社会保障体系，拟定城乡社会保险及其补充保险政策和标准；拟定全区统一的社会保险关系转续办法和基金统筹办法；拟定机关企事业单位社会保障政策，编制全区社会保险基金预决算草案，对社会保险经办机构依法实施管理和监督。</w:t>
      </w:r>
    </w:p>
    <w:p>
      <w:pPr>
        <w:autoSpaceDE w:val="0"/>
        <w:autoSpaceDN w:val="0"/>
        <w:adjustRightInd w:val="0"/>
        <w:spacing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（八）负责就业、失业和社会保险基金的信息引导，拟定应对预案，实施预防、调节和控制，保持就业形势稳定和社会保险基金总体收支平衡。</w:t>
      </w:r>
    </w:p>
    <w:p>
      <w:pPr>
        <w:autoSpaceDE w:val="0"/>
        <w:autoSpaceDN w:val="0"/>
        <w:adjustRightInd w:val="0"/>
        <w:spacing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（九）会同有关部门拟定全区机关和企事业单位人员工资收入分配政策，建立工资正常增长和支付保障机制。</w:t>
      </w:r>
    </w:p>
    <w:p>
      <w:pPr>
        <w:autoSpaceDE w:val="0"/>
        <w:autoSpaceDN w:val="0"/>
        <w:adjustRightInd w:val="0"/>
        <w:spacing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（十）负责全区的人事考试工作；综合管理全区的职称评定工作；会同有关部门指导全区事业单位的人事制度改革；拟定全区事业单位人员和机关工勤人员的管理政策。</w:t>
      </w:r>
    </w:p>
    <w:p>
      <w:pPr>
        <w:autoSpaceDE w:val="0"/>
        <w:autoSpaceDN w:val="0"/>
        <w:adjustRightInd w:val="0"/>
        <w:spacing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（十一）会同有关部门拟定农民工工作综合性政策和规划；推动农民工相关政策的落实，协调解决重点难点问题，维护农民工合法权益。</w:t>
      </w:r>
    </w:p>
    <w:p>
      <w:pPr>
        <w:autoSpaceDE w:val="0"/>
        <w:autoSpaceDN w:val="0"/>
        <w:adjustRightInd w:val="0"/>
        <w:spacing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十二）拟定劳动、人事争议调解仲裁制度和劳动关系政策，完善劳动关系协调机制，贯彻女工、未成年工的特殊劳动保护政策；指导督促用工企业落实《劳动合同法》的相关规定，落实用工备案制度；负责事业单位招聘人员的劳动合同鉴证和企事业单位人事代理人员的档案管理工作；组织实施劳动监察，依法查处侵害劳动者权益的重大案件。</w:t>
      </w:r>
    </w:p>
    <w:p>
      <w:pPr>
        <w:autoSpaceDE w:val="0"/>
        <w:autoSpaceDN w:val="0"/>
        <w:adjustRightInd w:val="0"/>
        <w:spacing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十三）承办企事业单位工伤认定申请、调查、取证、组卷、呈报工作；按照管理权限承办全区机关、事业单位和国有企业职工的离休、退休、退职、退养人员的审批、申报工作；负责机关和企事业单位干部职工的工资及人员统计工作。</w:t>
      </w:r>
    </w:p>
    <w:p>
      <w:pPr>
        <w:autoSpaceDE w:val="0"/>
        <w:autoSpaceDN w:val="0"/>
        <w:adjustRightInd w:val="0"/>
        <w:spacing w:line="560" w:lineRule="exact"/>
        <w:ind w:firstLine="640" w:firstLineChars="200"/>
        <w:jc w:val="left"/>
        <w:rPr>
          <w:rFonts w:ascii="仿宋_GB2312" w:hAnsi="Calibri" w:eastAsia="仿宋_GB2312" w:cs="ArialUnicodeMS"/>
          <w:kern w:val="0"/>
          <w:sz w:val="32"/>
          <w:szCs w:val="32"/>
        </w:rPr>
      </w:pPr>
      <w:r>
        <w:rPr>
          <w:rFonts w:hint="eastAsia" w:ascii="仿宋_GB2312" w:hAnsi="Cambria" w:eastAsia="仿宋_GB2312" w:cs="ArialUnicodeMS"/>
          <w:kern w:val="0"/>
          <w:sz w:val="32"/>
          <w:szCs w:val="32"/>
        </w:rPr>
        <w:t>（十四）承办区政府交办的其它事项。</w:t>
      </w:r>
    </w:p>
    <w:p>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pPr>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从决算编报单位构成看，纳入</w:t>
      </w:r>
      <w:r>
        <w:rPr>
          <w:rFonts w:ascii="仿宋_GB2312" w:hAnsi="Calibri" w:eastAsia="仿宋_GB2312" w:cs="ArialUnicodeMS"/>
          <w:kern w:val="0"/>
          <w:sz w:val="32"/>
          <w:szCs w:val="32"/>
        </w:rPr>
        <w:t xml:space="preserve">2019 </w:t>
      </w:r>
      <w:r>
        <w:rPr>
          <w:rFonts w:hint="eastAsia" w:ascii="仿宋_GB2312" w:hAnsi="Calibri" w:eastAsia="仿宋_GB2312" w:cs="ArialUnicodeMS"/>
          <w:kern w:val="0"/>
          <w:sz w:val="32"/>
          <w:szCs w:val="32"/>
        </w:rPr>
        <w:t>年度本部门决算汇编范围的独立核算单位（以下简称“单位”）共</w:t>
      </w:r>
      <w:r>
        <w:rPr>
          <w:rFonts w:ascii="仿宋_GB2312" w:hAnsi="Calibri" w:eastAsia="仿宋_GB2312" w:cs="ArialUnicodeMS"/>
          <w:kern w:val="0"/>
          <w:sz w:val="32"/>
          <w:szCs w:val="32"/>
        </w:rPr>
        <w:t>1</w:t>
      </w:r>
      <w:r>
        <w:rPr>
          <w:rFonts w:hint="eastAsia" w:ascii="仿宋_GB2312" w:hAnsi="Calibri" w:eastAsia="仿宋_GB2312" w:cs="ArialUnicodeMS"/>
          <w:kern w:val="0"/>
          <w:sz w:val="32"/>
          <w:szCs w:val="32"/>
        </w:rPr>
        <w:t>个，具体情况如下：</w:t>
      </w:r>
    </w:p>
    <w:tbl>
      <w:tblPr>
        <w:tblStyle w:val="7"/>
        <w:tblpPr w:leftFromText="180" w:rightFromText="180" w:vertAnchor="text" w:horzAnchor="page" w:tblpXSpec="center" w:tblpY="10"/>
        <w:tblOverlap w:val="never"/>
        <w:tblW w:w="9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ascii="仿宋_GB2312" w:hAnsi="Calibri" w:eastAsia="仿宋_GB2312" w:cs="ArialUnicodeMS"/>
                <w:kern w:val="0"/>
                <w:sz w:val="28"/>
                <w:szCs w:val="28"/>
              </w:rPr>
              <w:t>1</w:t>
            </w:r>
          </w:p>
        </w:tc>
        <w:tc>
          <w:tcPr>
            <w:tcW w:w="3485" w:type="dxa"/>
          </w:tcPr>
          <w:p>
            <w:pPr>
              <w:spacing w:line="560" w:lineRule="exact"/>
              <w:rPr>
                <w:rFonts w:ascii="仿宋_GB2312" w:hAnsi="Calibri" w:eastAsia="仿宋_GB2312" w:cs="ArialUnicodeMS"/>
                <w:kern w:val="0"/>
                <w:sz w:val="28"/>
                <w:szCs w:val="28"/>
              </w:rPr>
            </w:pPr>
            <w:r>
              <w:rPr>
                <w:rFonts w:hint="eastAsia" w:ascii="仿宋_GB2312" w:hAnsi="Cambria" w:eastAsia="仿宋_GB2312" w:cs="ArialUnicodeMS"/>
                <w:kern w:val="0"/>
                <w:sz w:val="28"/>
                <w:szCs w:val="28"/>
              </w:rPr>
              <w:t>唐山市曹妃甸区人力资源和社会保障局</w:t>
            </w:r>
            <w:r>
              <w:rPr>
                <w:rFonts w:ascii="仿宋_GB2312" w:hAnsi="Cambria" w:eastAsia="仿宋_GB2312" w:cs="ArialUnicodeMS"/>
                <w:kern w:val="0"/>
                <w:sz w:val="28"/>
                <w:szCs w:val="28"/>
              </w:rPr>
              <w:t>(</w:t>
            </w:r>
            <w:r>
              <w:rPr>
                <w:rFonts w:hint="eastAsia" w:ascii="仿宋_GB2312" w:hAnsi="Cambria" w:eastAsia="仿宋_GB2312" w:cs="ArialUnicodeMS"/>
                <w:kern w:val="0"/>
                <w:sz w:val="28"/>
                <w:szCs w:val="28"/>
              </w:rPr>
              <w:t>本级</w:t>
            </w:r>
            <w:r>
              <w:rPr>
                <w:rFonts w:ascii="仿宋_GB2312" w:hAnsi="Cambria" w:eastAsia="仿宋_GB2312" w:cs="ArialUnicodeMS"/>
                <w:kern w:val="0"/>
                <w:sz w:val="28"/>
                <w:szCs w:val="28"/>
              </w:rPr>
              <w:t>)</w:t>
            </w:r>
          </w:p>
        </w:tc>
        <w:tc>
          <w:tcPr>
            <w:tcW w:w="244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行政单位</w:t>
            </w:r>
          </w:p>
        </w:tc>
        <w:tc>
          <w:tcPr>
            <w:tcW w:w="266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985" w:type="dxa"/>
          </w:tcPr>
          <w:p>
            <w:pPr>
              <w:spacing w:line="560" w:lineRule="exact"/>
              <w:jc w:val="center"/>
              <w:rPr>
                <w:rFonts w:ascii="仿宋_GB2312" w:hAnsi="Calibri" w:eastAsia="仿宋_GB2312" w:cs="ArialUnicodeMS"/>
                <w:kern w:val="0"/>
                <w:sz w:val="28"/>
                <w:szCs w:val="28"/>
              </w:rPr>
            </w:pPr>
          </w:p>
        </w:tc>
        <w:tc>
          <w:tcPr>
            <w:tcW w:w="3485" w:type="dxa"/>
          </w:tcPr>
          <w:p>
            <w:pPr>
              <w:spacing w:line="560" w:lineRule="exact"/>
              <w:rPr>
                <w:rFonts w:ascii="仿宋_GB2312" w:hAnsi="Calibri" w:eastAsia="仿宋_GB2312" w:cs="ArialUnicodeMS"/>
                <w:kern w:val="0"/>
                <w:sz w:val="28"/>
                <w:szCs w:val="28"/>
              </w:rPr>
            </w:pPr>
          </w:p>
        </w:tc>
        <w:tc>
          <w:tcPr>
            <w:tcW w:w="2445" w:type="dxa"/>
          </w:tcPr>
          <w:p>
            <w:pPr>
              <w:spacing w:line="560" w:lineRule="exact"/>
              <w:jc w:val="center"/>
              <w:rPr>
                <w:rFonts w:ascii="仿宋_GB2312" w:hAnsi="Calibri" w:eastAsia="仿宋_GB2312" w:cs="ArialUnicodeMS"/>
                <w:kern w:val="0"/>
                <w:sz w:val="28"/>
                <w:szCs w:val="28"/>
              </w:rPr>
            </w:pPr>
          </w:p>
        </w:tc>
        <w:tc>
          <w:tcPr>
            <w:tcW w:w="2665" w:type="dxa"/>
          </w:tcPr>
          <w:p>
            <w:pPr>
              <w:spacing w:line="560" w:lineRule="exact"/>
              <w:jc w:val="center"/>
              <w:rPr>
                <w:rFonts w:ascii="仿宋_GB2312" w:hAnsi="Calibri" w:eastAsia="仿宋_GB2312" w:cs="ArialUnicodeM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9580" w:type="dxa"/>
            <w:gridSpan w:val="4"/>
            <w:tcBorders>
              <w:left w:val="nil"/>
              <w:bottom w:val="nil"/>
              <w:right w:val="nil"/>
            </w:tcBorders>
          </w:tcPr>
          <w:p>
            <w:pPr>
              <w:spacing w:line="560" w:lineRule="exact"/>
              <w:ind w:firstLine="560" w:firstLineChars="200"/>
              <w:jc w:val="left"/>
              <w:rPr>
                <w:rFonts w:ascii="仿宋_GB2312" w:hAnsi="Calibri" w:eastAsia="仿宋_GB2312" w:cs="ArialUnicodeMS"/>
                <w:kern w:val="0"/>
                <w:sz w:val="28"/>
                <w:szCs w:val="28"/>
              </w:rPr>
            </w:pPr>
          </w:p>
        </w:tc>
      </w:tr>
    </w:tbl>
    <w:p>
      <w:pPr>
        <w:widowControl/>
        <w:spacing w:after="160" w:line="580" w:lineRule="exact"/>
        <w:ind w:firstLine="640" w:firstLineChars="200"/>
        <w:rPr>
          <w:rFonts w:ascii="Times New Roman" w:hAnsi="Times New Roman" w:eastAsia="黑体"/>
          <w:sz w:val="32"/>
          <w:szCs w:val="32"/>
        </w:rPr>
      </w:pPr>
    </w:p>
    <w:p>
      <w:pPr>
        <w:widowControl/>
        <w:spacing w:after="160" w:line="580" w:lineRule="exact"/>
        <w:ind w:firstLine="640" w:firstLineChars="200"/>
        <w:rPr>
          <w:rFonts w:ascii="Times New Roman" w:hAnsi="Times New Roman" w:eastAsia="黑体"/>
          <w:sz w:val="32"/>
          <w:szCs w:val="32"/>
        </w:rPr>
      </w:pPr>
    </w:p>
    <w:p>
      <w:pPr>
        <w:widowControl/>
        <w:spacing w:after="160" w:line="580" w:lineRule="exact"/>
        <w:ind w:firstLine="640" w:firstLineChars="200"/>
        <w:rPr>
          <w:rFonts w:ascii="Times New Roman" w:hAnsi="Times New Roman" w:eastAsia="黑体"/>
          <w:sz w:val="32"/>
          <w:szCs w:val="32"/>
        </w:rPr>
      </w:pPr>
    </w:p>
    <w:p>
      <w:pPr>
        <w:widowControl/>
        <w:spacing w:after="160" w:line="580" w:lineRule="exact"/>
        <w:ind w:firstLine="640" w:firstLineChars="200"/>
        <w:rPr>
          <w:rFonts w:ascii="Times New Roman" w:hAnsi="Times New Roman" w:eastAsia="黑体"/>
          <w:sz w:val="32"/>
          <w:szCs w:val="32"/>
        </w:rPr>
        <w:sectPr>
          <w:pgSz w:w="11906" w:h="16838"/>
          <w:pgMar w:top="2041" w:right="1531" w:bottom="2041" w:left="1531" w:header="851" w:footer="992" w:gutter="0"/>
          <w:pgNumType w:fmt="numberInDash" w:start="1"/>
          <w:cols w:space="0" w:num="1"/>
          <w:titlePg/>
          <w:docGrid w:type="lines" w:linePitch="312" w:charSpace="0"/>
        </w:sectPr>
      </w:pPr>
    </w:p>
    <w:p>
      <w:pPr>
        <w:widowControl/>
        <w:spacing w:after="160" w:line="580" w:lineRule="exact"/>
        <w:ind w:firstLine="640" w:firstLineChars="200"/>
        <w:rPr>
          <w:rFonts w:ascii="Times New Roman" w:hAnsi="Times New Roman" w:eastAsia="黑体"/>
          <w:sz w:val="32"/>
          <w:szCs w:val="32"/>
        </w:rPr>
        <w:sectPr>
          <w:type w:val="continuous"/>
          <w:pgSz w:w="11906" w:h="16838"/>
          <w:pgMar w:top="2041" w:right="1531" w:bottom="2041" w:left="1531" w:header="851" w:footer="992" w:gutter="0"/>
          <w:pgNumType w:fmt="numberInDash"/>
          <w:cols w:space="0" w:num="1"/>
          <w:titlePg/>
          <w:docGrid w:type="lines" w:linePitch="312" w:charSpace="0"/>
        </w:sectPr>
      </w:pPr>
    </w:p>
    <w:p>
      <w:pPr>
        <w:widowControl/>
        <w:spacing w:after="160" w:line="580" w:lineRule="exact"/>
        <w:ind w:firstLine="420" w:firstLineChars="200"/>
        <w:rPr>
          <w:rFonts w:ascii="Times New Roman" w:hAnsi="Times New Roman" w:eastAsia="黑体"/>
          <w:sz w:val="32"/>
          <w:szCs w:val="32"/>
        </w:rPr>
        <w:sectPr>
          <w:pgSz w:w="11906" w:h="16838"/>
          <w:pgMar w:top="2041" w:right="1531" w:bottom="2041" w:left="1531" w:header="851" w:footer="992" w:gutter="0"/>
          <w:pgNumType w:fmt="numberInDash"/>
          <w:cols w:space="0" w:num="1"/>
          <w:titlePg/>
          <w:docGrid w:type="lines" w:linePitch="312" w:charSpace="0"/>
        </w:sectPr>
      </w:pPr>
      <w:r>
        <w:pict>
          <v:shape id="_x0000_s1038" o:spid="_x0000_s1038" o:spt="202" type="#_x0000_t202" style="position:absolute;left:0pt;margin-left:-85.7pt;margin-top:238.15pt;height:173.25pt;width:613.65pt;z-index:251658240;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rro+T3gAAAA0BAAAPAAAAAAAAAAEAIAAAACIAAABkcnMvZG93bnJldi54bWxQSwECFAAUAAAA&#10;CACHTuJAwy8eESECAAAdBAAADgAAAAAAAAABACAAAAAtAQAAZHJzL2Uyb0RvYy54bWxQSwUGAAAA&#10;AAYABgBZAQAAwAUAAAAA&#10;">
            <v:path/>
            <v:fill on="f" focussize="0,0"/>
            <v:stroke on="f" weight="0.5pt" joinstyle="miter"/>
            <v:imagedata o:title=""/>
            <o:lock v:ext="edit"/>
            <v:textbox>
              <w:txbxContent>
                <w:p>
                  <w:pPr>
                    <w:widowControl/>
                    <w:jc w:val="center"/>
                    <w:rPr>
                      <w:rFonts w:ascii="黑体" w:hAnsi="黑体" w:eastAsia="黑体" w:cs="黑体"/>
                      <w:color w:val="000000"/>
                      <w:sz w:val="96"/>
                      <w:szCs w:val="96"/>
                    </w:rPr>
                  </w:pPr>
                  <w:r>
                    <w:rPr>
                      <w:rFonts w:ascii="黑体" w:hAnsi="黑体" w:eastAsia="黑体" w:cs="黑体"/>
                      <w:color w:val="000000"/>
                      <w:sz w:val="96"/>
                      <w:szCs w:val="96"/>
                    </w:rPr>
                    <w:t xml:space="preserve"> </w:t>
                  </w:r>
                </w:p>
                <w:p>
                  <w:pPr>
                    <w:widowControl/>
                    <w:jc w:val="center"/>
                    <w:rPr>
                      <w:rFonts w:ascii="黑体" w:hAnsi="黑体" w:eastAsia="黑体" w:cs="黑体"/>
                      <w:color w:val="000000"/>
                      <w:sz w:val="96"/>
                      <w:szCs w:val="96"/>
                    </w:rPr>
                  </w:pPr>
                </w:p>
              </w:txbxContent>
            </v:textbox>
          </v:shape>
        </w:pict>
      </w:r>
    </w:p>
    <w:p>
      <w:pPr>
        <w:widowControl/>
        <w:spacing w:line="580" w:lineRule="exact"/>
        <w:ind w:firstLine="640" w:firstLineChars="200"/>
        <w:rPr>
          <w:rFonts w:eastAsia="黑体"/>
          <w:sz w:val="32"/>
          <w:szCs w:val="3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pict>
          <v:shape id="_x0000_s1039" o:spid="_x0000_s1039" o:spt="202" type="#_x0000_t202" style="position:absolute;left:0pt;margin-left:-90.8pt;margin-top:4.35pt;height:263.1pt;width:613.65pt;z-index:251659264;v-text-anchor:middle;mso-width-relative:page;mso-height-relative:page;" fillcolor="#FFD966" filled="t" stroked="t" coordsize="21600,21600" o:gfxdata="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Hz4toAAAALAQAADwAAAAAAAAABACAAAAAiAAAAZHJzL2Rvd25yZXYueG1sUEsBAhQAFAAAAAgA&#10;h07iQK8VPJBcAgAAugQAAA4AAAAAAAAAAQAgAAAAKQEAAGRycy9lMm9Eb2MueG1sUEsFBgAAAAAG&#10;AAYAWQEAAPcFAAAAAA==&#10;">
            <v:path/>
            <v:fill type="pattern" on="t" focussize="0,0"/>
            <v:stroke weight="0.5pt" color="#FFD966" joinstyle="round"/>
            <v:imagedata o:title=""/>
            <o:lock v:ext="edit"/>
            <v:textbox>
              <w:txbxContent>
                <w:p>
                  <w:pPr>
                    <w:widowControl/>
                    <w:jc w:val="center"/>
                    <w:rPr>
                      <w:rFonts w:ascii="黑体" w:hAnsi="黑体" w:eastAsia="黑体" w:cs="黑体"/>
                      <w:color w:val="000000"/>
                      <w:sz w:val="90"/>
                      <w:szCs w:val="90"/>
                    </w:rPr>
                  </w:pPr>
                  <w:r>
                    <w:rPr>
                      <w:rFonts w:hint="eastAsia" w:ascii="黑体" w:hAnsi="黑体" w:eastAsia="黑体" w:cs="黑体"/>
                      <w:color w:val="000000"/>
                      <w:sz w:val="90"/>
                      <w:szCs w:val="90"/>
                    </w:rPr>
                    <w:t>第二部分</w:t>
                  </w:r>
                  <w:r>
                    <w:rPr>
                      <w:rFonts w:ascii="黑体" w:hAnsi="黑体" w:eastAsia="黑体" w:cs="黑体"/>
                      <w:color w:val="000000"/>
                      <w:sz w:val="90"/>
                      <w:szCs w:val="90"/>
                    </w:rPr>
                    <w:t xml:space="preserve"> </w:t>
                  </w:r>
                </w:p>
                <w:p>
                  <w:pPr>
                    <w:widowControl/>
                    <w:jc w:val="center"/>
                    <w:rPr>
                      <w:rFonts w:ascii="黑体" w:hAnsi="黑体" w:eastAsia="黑体" w:cs="黑体"/>
                      <w:color w:val="000000"/>
                      <w:sz w:val="90"/>
                      <w:szCs w:val="90"/>
                    </w:rPr>
                  </w:pPr>
                  <w:r>
                    <w:rPr>
                      <w:rFonts w:ascii="黑体" w:hAnsi="黑体" w:eastAsia="黑体" w:cs="黑体"/>
                      <w:color w:val="000000"/>
                      <w:sz w:val="90"/>
                      <w:szCs w:val="90"/>
                    </w:rPr>
                    <w:t>2019</w:t>
                  </w:r>
                  <w:r>
                    <w:rPr>
                      <w:rFonts w:hint="eastAsia" w:ascii="黑体" w:hAnsi="黑体" w:eastAsia="黑体" w:cs="黑体"/>
                      <w:color w:val="000000"/>
                      <w:sz w:val="90"/>
                      <w:szCs w:val="90"/>
                    </w:rPr>
                    <w:t>年部门决算情况说明</w:t>
                  </w:r>
                </w:p>
                <w:p/>
              </w:txbxContent>
            </v:textbox>
          </v:shape>
        </w:pict>
      </w: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keepNext/>
        <w:keepLines/>
        <w:snapToGrid w:val="0"/>
        <w:spacing w:line="580" w:lineRule="exact"/>
        <w:ind w:firstLine="640" w:firstLineChars="200"/>
        <w:outlineLvl w:val="1"/>
        <w:rPr>
          <w:rFonts w:ascii="黑体" w:hAnsi="Calibri" w:eastAsia="黑体"/>
          <w:sz w:val="32"/>
          <w:szCs w:val="32"/>
        </w:rPr>
      </w:pPr>
      <w:r>
        <w:rPr>
          <w:rFonts w:hint="eastAsia" w:ascii="黑体" w:hAnsi="Calibri" w:eastAsia="黑体"/>
          <w:sz w:val="32"/>
          <w:szCs w:val="32"/>
        </w:rPr>
        <w:t>一、收入</w:t>
      </w:r>
      <w:r>
        <w:rPr>
          <w:rFonts w:hint="eastAsia" w:ascii="黑体" w:hAnsi="Cambria" w:eastAsia="黑体" w:cs="黑体"/>
          <w:kern w:val="0"/>
          <w:sz w:val="32"/>
          <w:szCs w:val="32"/>
        </w:rPr>
        <w:t>支出</w:t>
      </w:r>
      <w:r>
        <w:rPr>
          <w:rFonts w:hint="eastAsia" w:ascii="黑体" w:hAnsi="Calibri" w:eastAsia="黑体"/>
          <w:sz w:val="32"/>
          <w:szCs w:val="32"/>
        </w:rPr>
        <w:t>决算总体情况说明</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年度收支总计（含结转和结余）</w:t>
      </w:r>
      <w:r>
        <w:rPr>
          <w:rFonts w:ascii="仿宋_GB2312" w:hAnsi="Times New Roman" w:eastAsia="仿宋_GB2312" w:cs="DengXian-Regular"/>
          <w:sz w:val="32"/>
          <w:szCs w:val="32"/>
        </w:rPr>
        <w:t>1759.96</w:t>
      </w:r>
      <w:r>
        <w:rPr>
          <w:rFonts w:hint="eastAsia" w:ascii="仿宋_GB2312" w:hAnsi="Times New Roman" w:eastAsia="仿宋_GB2312" w:cs="DengXian-Regular"/>
          <w:sz w:val="32"/>
          <w:szCs w:val="32"/>
        </w:rPr>
        <w:t>万元。与</w:t>
      </w:r>
      <w:r>
        <w:rPr>
          <w:rFonts w:ascii="仿宋_GB2312" w:hAnsi="Times New Roman" w:eastAsia="仿宋_GB2312" w:cs="DengXian-Regular"/>
          <w:sz w:val="32"/>
          <w:szCs w:val="32"/>
        </w:rPr>
        <w:t>2018</w:t>
      </w:r>
      <w:r>
        <w:rPr>
          <w:rFonts w:hint="eastAsia" w:ascii="仿宋_GB2312" w:hAnsi="Times New Roman" w:eastAsia="仿宋_GB2312" w:cs="DengXian-Regular"/>
          <w:sz w:val="32"/>
          <w:szCs w:val="32"/>
        </w:rPr>
        <w:t>年度决算（</w:t>
      </w:r>
      <w:r>
        <w:rPr>
          <w:rFonts w:ascii="仿宋_GB2312" w:eastAsia="仿宋_GB2312" w:cs="DengXian-Regular"/>
          <w:sz w:val="32"/>
          <w:szCs w:val="32"/>
        </w:rPr>
        <w:t>2428.27</w:t>
      </w:r>
      <w:r>
        <w:rPr>
          <w:rFonts w:hint="eastAsia" w:ascii="仿宋_GB2312" w:eastAsia="仿宋_GB2312" w:cs="DengXian-Regular"/>
          <w:sz w:val="32"/>
          <w:szCs w:val="32"/>
        </w:rPr>
        <w:t>万元</w:t>
      </w:r>
      <w:r>
        <w:rPr>
          <w:rFonts w:hint="eastAsia" w:ascii="仿宋_GB2312" w:hAnsi="Times New Roman" w:eastAsia="仿宋_GB2312" w:cs="DengXian-Regular"/>
          <w:sz w:val="32"/>
          <w:szCs w:val="32"/>
        </w:rPr>
        <w:t>）相比，收支各减少</w:t>
      </w:r>
      <w:r>
        <w:rPr>
          <w:rFonts w:ascii="仿宋_GB2312" w:hAnsi="Times New Roman" w:eastAsia="仿宋_GB2312" w:cs="DengXian-Regular"/>
          <w:sz w:val="32"/>
          <w:szCs w:val="32"/>
        </w:rPr>
        <w:t>668.31</w:t>
      </w:r>
      <w:r>
        <w:rPr>
          <w:rFonts w:hint="eastAsia" w:ascii="仿宋_GB2312" w:hAnsi="Times New Roman" w:eastAsia="仿宋_GB2312" w:cs="DengXian-Regular"/>
          <w:sz w:val="32"/>
          <w:szCs w:val="32"/>
        </w:rPr>
        <w:t>万元，下降</w:t>
      </w:r>
      <w:r>
        <w:rPr>
          <w:rFonts w:ascii="仿宋_GB2312" w:hAnsi="Times New Roman" w:eastAsia="仿宋_GB2312" w:cs="DengXian-Regular"/>
          <w:sz w:val="32"/>
          <w:szCs w:val="32"/>
        </w:rPr>
        <w:t>27.52%</w:t>
      </w:r>
      <w:r>
        <w:rPr>
          <w:rFonts w:hint="eastAsia" w:ascii="仿宋_GB2312" w:hAnsi="Times New Roman" w:eastAsia="仿宋_GB2312" w:cs="DengXian-Regular"/>
          <w:sz w:val="32"/>
          <w:szCs w:val="32"/>
        </w:rPr>
        <w:t>，主要原因是</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年机构改革，我单位原有的医保业务、军转干部管理、公务员管理等职能外划，相应的收支也不再在本单位核算，导致相关的项目支出、人员支出、公用支出均对应减少。</w:t>
      </w:r>
    </w:p>
    <w:p>
      <w:pPr>
        <w:keepNext/>
        <w:keepLines/>
        <w:snapToGrid w:val="0"/>
        <w:spacing w:line="580" w:lineRule="exact"/>
        <w:ind w:firstLine="640" w:firstLineChars="200"/>
        <w:outlineLvl w:val="1"/>
        <w:rPr>
          <w:rFonts w:ascii="黑体" w:hAnsi="Calibri" w:eastAsia="黑体"/>
          <w:sz w:val="32"/>
          <w:szCs w:val="32"/>
        </w:rPr>
      </w:pPr>
      <w:r>
        <w:rPr>
          <w:rFonts w:hint="eastAsia" w:ascii="黑体" w:hAnsi="Calibri" w:eastAsia="黑体"/>
          <w:sz w:val="32"/>
          <w:szCs w:val="32"/>
        </w:rPr>
        <w:t>二、收入决算情况说明</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年度本年收入合计</w:t>
      </w:r>
      <w:r>
        <w:rPr>
          <w:rFonts w:ascii="仿宋_GB2312" w:hAnsi="Times New Roman" w:eastAsia="仿宋_GB2312" w:cs="DengXian-Regular"/>
          <w:sz w:val="32"/>
          <w:szCs w:val="32"/>
        </w:rPr>
        <w:t>1594.16</w:t>
      </w:r>
      <w:r>
        <w:rPr>
          <w:rFonts w:hint="eastAsia" w:ascii="仿宋_GB2312" w:hAnsi="Times New Roman" w:eastAsia="仿宋_GB2312" w:cs="DengXian-Regular"/>
          <w:sz w:val="32"/>
          <w:szCs w:val="32"/>
        </w:rPr>
        <w:t>万元，其中：财政拨款收入</w:t>
      </w:r>
      <w:r>
        <w:rPr>
          <w:rFonts w:ascii="仿宋_GB2312" w:hAnsi="Times New Roman" w:eastAsia="仿宋_GB2312" w:cs="DengXian-Regular"/>
          <w:sz w:val="32"/>
          <w:szCs w:val="32"/>
        </w:rPr>
        <w:t>1571.88</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98.60%</w:t>
      </w:r>
      <w:r>
        <w:rPr>
          <w:rFonts w:hint="eastAsia" w:ascii="仿宋_GB2312" w:hAnsi="Times New Roman" w:eastAsia="仿宋_GB2312" w:cs="DengXian-Regular"/>
          <w:sz w:val="32"/>
          <w:szCs w:val="32"/>
        </w:rPr>
        <w:t>；事业收入</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；经营收入</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；其他收入</w:t>
      </w:r>
      <w:r>
        <w:rPr>
          <w:rFonts w:ascii="仿宋_GB2312" w:hAnsi="Times New Roman" w:eastAsia="仿宋_GB2312" w:cs="DengXian-Regular"/>
          <w:sz w:val="32"/>
          <w:szCs w:val="32"/>
        </w:rPr>
        <w:t>22.28</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1.40%</w:t>
      </w:r>
      <w:r>
        <w:rPr>
          <w:rFonts w:hint="eastAsia" w:ascii="仿宋_GB2312" w:hAnsi="Times New Roman" w:eastAsia="仿宋_GB2312" w:cs="DengXian-Regular"/>
          <w:sz w:val="32"/>
          <w:szCs w:val="32"/>
        </w:rPr>
        <w:t>。如图所示：</w:t>
      </w:r>
    </w:p>
    <w:p>
      <w:pPr>
        <w:adjustRightInd w:val="0"/>
        <w:snapToGrid w:val="0"/>
        <w:spacing w:line="580" w:lineRule="exact"/>
        <w:ind w:firstLine="640" w:firstLineChars="200"/>
        <w:rPr>
          <w:rFonts w:ascii="仿宋_GB2312" w:hAnsi="Times New Roman" w:eastAsia="仿宋_GB2312" w:cs="DengXian-Regular"/>
          <w:sz w:val="32"/>
          <w:szCs w:val="32"/>
        </w:rPr>
      </w:pPr>
    </w:p>
    <w:p>
      <w:pPr>
        <w:adjustRightInd w:val="0"/>
        <w:snapToGrid w:val="0"/>
        <w:spacing w:line="580" w:lineRule="exact"/>
        <w:ind w:firstLine="420" w:firstLineChars="200"/>
        <w:rPr>
          <w:rFonts w:ascii="仿宋_GB2312" w:hAnsi="Times New Roman" w:eastAsia="仿宋_GB2312" w:cs="DengXian-Regular"/>
          <w:sz w:val="32"/>
          <w:szCs w:val="32"/>
        </w:rPr>
      </w:pPr>
      <w:r>
        <w:pict>
          <v:shape id="_x0000_s1040" o:spid="_x0000_s1040" o:spt="75" type="#_x0000_t75" style="position:absolute;left:0pt;margin-left:18pt;margin-top:13pt;height:182.75pt;width:441.8pt;mso-wrap-distance-bottom:0pt;mso-wrap-distance-left:9pt;mso-wrap-distance-right:9pt;mso-wrap-distance-top:0pt;z-index:251662336;mso-width-relative:page;mso-height-relative:page;" filled="f" o:preferrelative="t" stroked="f" coordsize="21600,21600">
            <v:path/>
            <v:fill on="f" focussize="0,0"/>
            <v:stroke on="f" joinstyle="miter"/>
            <v:imagedata r:id="rId11" o:title=""/>
            <o:lock v:ext="edit" aspectratio="t"/>
            <w10:wrap type="square"/>
          </v:shape>
        </w:pict>
      </w:r>
    </w:p>
    <w:p>
      <w:pPr>
        <w:adjustRightInd w:val="0"/>
        <w:snapToGrid w:val="0"/>
        <w:spacing w:line="580" w:lineRule="exact"/>
        <w:ind w:firstLine="640" w:firstLineChars="200"/>
        <w:rPr>
          <w:rFonts w:ascii="仿宋_GB2312" w:hAnsi="Times New Roman" w:eastAsia="仿宋_GB2312" w:cs="DengXian-Regular"/>
          <w:sz w:val="32"/>
          <w:szCs w:val="32"/>
        </w:rPr>
      </w:pPr>
    </w:p>
    <w:p>
      <w:pPr>
        <w:keepNext/>
        <w:keepLines/>
        <w:snapToGrid w:val="0"/>
        <w:spacing w:line="580" w:lineRule="exact"/>
        <w:ind w:firstLine="640" w:firstLineChars="200"/>
        <w:outlineLvl w:val="1"/>
        <w:rPr>
          <w:rFonts w:ascii="黑体" w:hAnsi="Calibri" w:eastAsia="黑体"/>
          <w:sz w:val="32"/>
          <w:szCs w:val="32"/>
        </w:rPr>
      </w:pPr>
      <w:r>
        <w:rPr>
          <w:rFonts w:hint="eastAsia" w:ascii="黑体" w:hAnsi="Calibri" w:eastAsia="黑体"/>
          <w:sz w:val="32"/>
          <w:szCs w:val="32"/>
        </w:rPr>
        <w:t>三、支出决算情况说明</w:t>
      </w:r>
    </w:p>
    <w:p>
      <w:pPr>
        <w:adjustRightInd w:val="0"/>
        <w:snapToGrid w:val="0"/>
        <w:spacing w:line="580" w:lineRule="exact"/>
        <w:ind w:firstLine="420" w:firstLineChars="200"/>
        <w:rPr>
          <w:rFonts w:ascii="仿宋_GB2312" w:hAnsi="Times New Roman" w:eastAsia="仿宋_GB2312" w:cs="DengXian-Regular"/>
          <w:sz w:val="32"/>
          <w:szCs w:val="32"/>
        </w:rPr>
      </w:pPr>
      <w:r>
        <w:pict>
          <v:shape id="_x0000_s1041" o:spid="_x0000_s1041" o:spt="75" type="#_x0000_t75" style="position:absolute;left:0pt;margin-left:27pt;margin-top:119.2pt;height:182.75pt;width:441.8pt;mso-wrap-distance-bottom:0pt;mso-wrap-distance-left:9pt;mso-wrap-distance-right:9pt;mso-wrap-distance-top:0pt;z-index:251663360;mso-width-relative:page;mso-height-relative:page;" filled="f" o:preferrelative="t" stroked="f" coordsize="21600,21600">
            <v:path/>
            <v:fill on="f" focussize="0,0"/>
            <v:stroke on="f" joinstyle="miter"/>
            <v:imagedata r:id="rId12" o:title=""/>
            <o:lock v:ext="edit" aspectratio="t"/>
            <w10:wrap type="square"/>
          </v:shape>
        </w:pic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年度本年支出合计</w:t>
      </w:r>
      <w:r>
        <w:rPr>
          <w:rFonts w:ascii="仿宋_GB2312" w:hAnsi="Times New Roman" w:eastAsia="仿宋_GB2312" w:cs="DengXian-Regular"/>
          <w:sz w:val="32"/>
          <w:szCs w:val="32"/>
        </w:rPr>
        <w:t>1403.98</w:t>
      </w:r>
      <w:r>
        <w:rPr>
          <w:rFonts w:hint="eastAsia" w:ascii="仿宋_GB2312" w:hAnsi="Times New Roman" w:eastAsia="仿宋_GB2312" w:cs="DengXian-Regular"/>
          <w:sz w:val="32"/>
          <w:szCs w:val="32"/>
        </w:rPr>
        <w:t>万元，其中：基本支出</w:t>
      </w:r>
      <w:r>
        <w:rPr>
          <w:rFonts w:ascii="仿宋_GB2312" w:hAnsi="Times New Roman" w:eastAsia="仿宋_GB2312" w:cs="DengXian-Regular"/>
          <w:sz w:val="32"/>
          <w:szCs w:val="32"/>
        </w:rPr>
        <w:t>1050.32</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74.81%</w:t>
      </w:r>
      <w:r>
        <w:rPr>
          <w:rFonts w:hint="eastAsia" w:ascii="仿宋_GB2312" w:hAnsi="Times New Roman" w:eastAsia="仿宋_GB2312" w:cs="DengXian-Regular"/>
          <w:sz w:val="32"/>
          <w:szCs w:val="32"/>
        </w:rPr>
        <w:t>；项目支出</w:t>
      </w:r>
      <w:r>
        <w:rPr>
          <w:rFonts w:ascii="仿宋_GB2312" w:hAnsi="Times New Roman" w:eastAsia="仿宋_GB2312" w:cs="DengXian-Regular"/>
          <w:sz w:val="32"/>
          <w:szCs w:val="32"/>
        </w:rPr>
        <w:t>353.66</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25.19%</w:t>
      </w:r>
      <w:r>
        <w:rPr>
          <w:rFonts w:hint="eastAsia" w:ascii="仿宋_GB2312" w:hAnsi="Times New Roman" w:eastAsia="仿宋_GB2312" w:cs="DengXian-Regular"/>
          <w:sz w:val="32"/>
          <w:szCs w:val="32"/>
        </w:rPr>
        <w:t>；经营支出</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。如图所示：</w:t>
      </w:r>
    </w:p>
    <w:p>
      <w:pPr>
        <w:adjustRightInd w:val="0"/>
        <w:snapToGrid w:val="0"/>
        <w:spacing w:line="580" w:lineRule="exact"/>
        <w:ind w:firstLine="640" w:firstLineChars="200"/>
        <w:rPr>
          <w:rFonts w:ascii="仿宋_GB2312" w:hAnsi="Times New Roman" w:eastAsia="仿宋_GB2312" w:cs="DengXian-Regular"/>
          <w:sz w:val="32"/>
          <w:szCs w:val="32"/>
        </w:rPr>
      </w:pPr>
    </w:p>
    <w:p>
      <w:pPr>
        <w:adjustRightInd w:val="0"/>
        <w:snapToGrid w:val="0"/>
        <w:spacing w:line="580" w:lineRule="exact"/>
        <w:ind w:firstLine="640" w:firstLineChars="200"/>
        <w:rPr>
          <w:rFonts w:ascii="仿宋_GB2312" w:hAnsi="Times New Roman" w:eastAsia="仿宋_GB2312" w:cs="DengXian-Regular"/>
          <w:sz w:val="32"/>
          <w:szCs w:val="32"/>
        </w:rPr>
      </w:pPr>
    </w:p>
    <w:p>
      <w:pPr>
        <w:adjustRightInd w:val="0"/>
        <w:snapToGrid w:val="0"/>
        <w:spacing w:line="580" w:lineRule="exact"/>
        <w:ind w:firstLine="640" w:firstLineChars="200"/>
        <w:rPr>
          <w:rFonts w:ascii="仿宋_GB2312" w:hAnsi="Times New Roman" w:eastAsia="仿宋_GB2312" w:cs="DengXian-Regular"/>
          <w:sz w:val="32"/>
          <w:szCs w:val="32"/>
        </w:rPr>
      </w:pPr>
    </w:p>
    <w:p>
      <w:pPr>
        <w:adjustRightInd w:val="0"/>
        <w:snapToGrid w:val="0"/>
        <w:spacing w:line="580" w:lineRule="exact"/>
        <w:ind w:firstLine="640" w:firstLineChars="200"/>
        <w:rPr>
          <w:rFonts w:ascii="仿宋_GB2312" w:hAnsi="Times New Roman" w:eastAsia="仿宋_GB2312" w:cs="DengXian-Regular"/>
          <w:sz w:val="32"/>
          <w:szCs w:val="32"/>
        </w:rPr>
      </w:pPr>
    </w:p>
    <w:p>
      <w:pPr>
        <w:adjustRightInd w:val="0"/>
        <w:snapToGrid w:val="0"/>
        <w:spacing w:line="580" w:lineRule="exact"/>
        <w:ind w:firstLine="640" w:firstLineChars="200"/>
        <w:rPr>
          <w:rFonts w:ascii="仿宋_GB2312" w:hAnsi="Times New Roman" w:eastAsia="仿宋_GB2312" w:cs="DengXian-Regular"/>
          <w:sz w:val="32"/>
          <w:szCs w:val="32"/>
        </w:rPr>
      </w:pPr>
    </w:p>
    <w:p>
      <w:pPr>
        <w:adjustRightInd w:val="0"/>
        <w:snapToGrid w:val="0"/>
        <w:spacing w:line="580" w:lineRule="exact"/>
        <w:ind w:firstLine="640" w:firstLineChars="200"/>
        <w:rPr>
          <w:rFonts w:ascii="仿宋_GB2312" w:hAnsi="Times New Roman" w:eastAsia="仿宋_GB2312" w:cs="DengXian-Regular"/>
          <w:sz w:val="32"/>
          <w:szCs w:val="32"/>
        </w:rPr>
      </w:pPr>
    </w:p>
    <w:p>
      <w:pPr>
        <w:adjustRightInd w:val="0"/>
        <w:snapToGrid w:val="0"/>
        <w:spacing w:line="580" w:lineRule="exact"/>
        <w:ind w:firstLine="640" w:firstLineChars="200"/>
        <w:rPr>
          <w:rFonts w:ascii="仿宋_GB2312" w:hAnsi="Times New Roman" w:eastAsia="仿宋_GB2312" w:cs="DengXian-Regular"/>
          <w:sz w:val="32"/>
          <w:szCs w:val="32"/>
        </w:rPr>
      </w:pPr>
    </w:p>
    <w:p>
      <w:pPr>
        <w:adjustRightInd w:val="0"/>
        <w:snapToGrid w:val="0"/>
        <w:spacing w:line="580" w:lineRule="exact"/>
        <w:ind w:firstLine="640" w:firstLineChars="200"/>
        <w:rPr>
          <w:rFonts w:ascii="仿宋_GB2312" w:hAnsi="Times New Roman" w:eastAsia="仿宋_GB2312" w:cs="DengXian-Regular"/>
          <w:sz w:val="32"/>
          <w:szCs w:val="32"/>
        </w:rPr>
      </w:pPr>
    </w:p>
    <w:p>
      <w:pPr>
        <w:keepNext/>
        <w:keepLines/>
        <w:snapToGrid w:val="0"/>
        <w:spacing w:line="580" w:lineRule="exact"/>
        <w:ind w:firstLine="640" w:firstLineChars="200"/>
        <w:outlineLvl w:val="1"/>
        <w:rPr>
          <w:rFonts w:ascii="黑体" w:hAnsi="Calibri" w:eastAsia="黑体"/>
          <w:sz w:val="32"/>
          <w:szCs w:val="32"/>
        </w:rPr>
      </w:pPr>
      <w:r>
        <w:rPr>
          <w:rFonts w:hint="eastAsia" w:ascii="黑体" w:hAnsi="Calibri" w:eastAsia="黑体"/>
          <w:sz w:val="32"/>
          <w:szCs w:val="32"/>
        </w:rPr>
        <w:t>四、</w:t>
      </w:r>
      <w:r>
        <w:rPr>
          <w:rFonts w:hint="eastAsia" w:ascii="黑体" w:hAnsi="Cambria" w:eastAsia="黑体" w:cs="黑体"/>
          <w:kern w:val="0"/>
          <w:sz w:val="32"/>
          <w:szCs w:val="32"/>
        </w:rPr>
        <w:t>财政</w:t>
      </w:r>
      <w:r>
        <w:rPr>
          <w:rFonts w:hint="eastAsia" w:ascii="黑体" w:hAnsi="Calibri" w:eastAsia="黑体"/>
          <w:sz w:val="32"/>
          <w:szCs w:val="32"/>
        </w:rPr>
        <w:t>拨款收入支出决算总体情况说明</w:t>
      </w:r>
    </w:p>
    <w:p>
      <w:pPr>
        <w:snapToGrid w:val="0"/>
        <w:spacing w:line="580" w:lineRule="exact"/>
        <w:ind w:firstLine="643" w:firstLine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（一）财政拨款收支与</w:t>
      </w:r>
      <w:r>
        <w:rPr>
          <w:rFonts w:ascii="楷体_GB2312" w:hAnsi="Times New Roman" w:eastAsia="楷体_GB2312" w:cs="DengXian-Bold"/>
          <w:b/>
          <w:bCs/>
          <w:sz w:val="32"/>
          <w:szCs w:val="32"/>
        </w:rPr>
        <w:t xml:space="preserve">2018 </w:t>
      </w:r>
      <w:r>
        <w:rPr>
          <w:rFonts w:hint="eastAsia" w:ascii="楷体_GB2312" w:hAnsi="Times New Roman" w:eastAsia="楷体_GB2312" w:cs="DengXian-Bold"/>
          <w:b/>
          <w:bCs/>
          <w:sz w:val="32"/>
          <w:szCs w:val="32"/>
        </w:rPr>
        <w:t>年度决算对比情况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年度形成的财政拨款收支均为一般公共预算财政拨款，其中本年收入</w:t>
      </w:r>
      <w:r>
        <w:rPr>
          <w:rFonts w:ascii="仿宋_GB2312" w:hAnsi="Times New Roman" w:eastAsia="仿宋_GB2312" w:cs="DengXian-Regular"/>
          <w:sz w:val="32"/>
          <w:szCs w:val="32"/>
        </w:rPr>
        <w:t>1571.88</w:t>
      </w:r>
      <w:r>
        <w:rPr>
          <w:rFonts w:hint="eastAsia" w:ascii="仿宋_GB2312" w:hAnsi="Times New Roman" w:eastAsia="仿宋_GB2312" w:cs="DengXian-Regular"/>
          <w:sz w:val="32"/>
          <w:szCs w:val="32"/>
        </w:rPr>
        <w:t>万元</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比</w:t>
      </w:r>
      <w:r>
        <w:rPr>
          <w:rFonts w:ascii="仿宋_GB2312" w:hAnsi="Times New Roman" w:eastAsia="仿宋_GB2312" w:cs="DengXian-Regular"/>
          <w:sz w:val="32"/>
          <w:szCs w:val="32"/>
        </w:rPr>
        <w:t>2018</w:t>
      </w:r>
      <w:r>
        <w:rPr>
          <w:rFonts w:hint="eastAsia" w:ascii="仿宋_GB2312" w:hAnsi="Times New Roman" w:eastAsia="仿宋_GB2312" w:cs="DengXian-Regular"/>
          <w:sz w:val="32"/>
          <w:szCs w:val="32"/>
        </w:rPr>
        <w:t>年度（</w:t>
      </w:r>
      <w:r>
        <w:rPr>
          <w:rFonts w:ascii="仿宋_GB2312" w:eastAsia="仿宋_GB2312" w:cs="DengXian-Regular"/>
          <w:sz w:val="32"/>
          <w:szCs w:val="32"/>
        </w:rPr>
        <w:t>2085.56</w:t>
      </w:r>
      <w:r>
        <w:rPr>
          <w:rFonts w:hint="eastAsia" w:ascii="仿宋_GB2312" w:eastAsia="仿宋_GB2312" w:cs="DengXian-Regular"/>
          <w:sz w:val="32"/>
          <w:szCs w:val="32"/>
        </w:rPr>
        <w:t>万元</w:t>
      </w:r>
      <w:r>
        <w:rPr>
          <w:rFonts w:hint="eastAsia" w:ascii="仿宋_GB2312" w:hAnsi="Times New Roman" w:eastAsia="仿宋_GB2312" w:cs="DengXian-Regular"/>
          <w:sz w:val="32"/>
          <w:szCs w:val="32"/>
        </w:rPr>
        <w:t>）减少</w:t>
      </w:r>
      <w:r>
        <w:rPr>
          <w:rFonts w:ascii="仿宋_GB2312" w:hAnsi="Times New Roman" w:eastAsia="仿宋_GB2312" w:cs="DengXian-Regular"/>
          <w:sz w:val="32"/>
          <w:szCs w:val="32"/>
        </w:rPr>
        <w:t>513.68</w:t>
      </w:r>
      <w:r>
        <w:rPr>
          <w:rFonts w:hint="eastAsia" w:ascii="仿宋_GB2312" w:hAnsi="Times New Roman" w:eastAsia="仿宋_GB2312" w:cs="DengXian-Regular"/>
          <w:sz w:val="32"/>
          <w:szCs w:val="32"/>
        </w:rPr>
        <w:t>万元，降低</w:t>
      </w:r>
      <w:r>
        <w:rPr>
          <w:rFonts w:ascii="仿宋_GB2312" w:hAnsi="Times New Roman" w:eastAsia="仿宋_GB2312" w:cs="DengXian-Regular"/>
          <w:sz w:val="32"/>
          <w:szCs w:val="32"/>
        </w:rPr>
        <w:t>24.63%</w:t>
      </w:r>
      <w:r>
        <w:rPr>
          <w:rFonts w:hint="eastAsia" w:ascii="仿宋_GB2312" w:hAnsi="Times New Roman" w:eastAsia="仿宋_GB2312" w:cs="DengXian-Regular"/>
          <w:sz w:val="32"/>
          <w:szCs w:val="32"/>
        </w:rPr>
        <w:t>，主要是</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年机构改革，我单位原有的医保业务、军转干部管理、公务员管理等职能外划，相应的收支也不再在本单位核算，导致相关的项目收入、人员收入、公用收入均对应减少；本年支出</w:t>
      </w:r>
      <w:r>
        <w:rPr>
          <w:rFonts w:ascii="仿宋_GB2312" w:hAnsi="Times New Roman" w:eastAsia="仿宋_GB2312" w:cs="DengXian-Regular"/>
          <w:sz w:val="32"/>
          <w:szCs w:val="32"/>
        </w:rPr>
        <w:t>1381.69</w:t>
      </w:r>
      <w:r>
        <w:rPr>
          <w:rFonts w:hint="eastAsia" w:ascii="仿宋_GB2312" w:hAnsi="Times New Roman" w:eastAsia="仿宋_GB2312" w:cs="DengXian-Regular"/>
          <w:sz w:val="32"/>
          <w:szCs w:val="32"/>
        </w:rPr>
        <w:t>万元，比</w:t>
      </w:r>
      <w:r>
        <w:rPr>
          <w:rFonts w:ascii="仿宋_GB2312" w:hAnsi="Times New Roman" w:eastAsia="仿宋_GB2312" w:cs="DengXian-Regular"/>
          <w:sz w:val="32"/>
          <w:szCs w:val="32"/>
        </w:rPr>
        <w:t>2018</w:t>
      </w:r>
      <w:r>
        <w:rPr>
          <w:rFonts w:hint="eastAsia" w:ascii="仿宋_GB2312" w:hAnsi="Times New Roman" w:eastAsia="仿宋_GB2312" w:cs="DengXian-Regular"/>
          <w:sz w:val="32"/>
          <w:szCs w:val="32"/>
        </w:rPr>
        <w:t>年度（</w:t>
      </w:r>
      <w:r>
        <w:rPr>
          <w:rFonts w:ascii="仿宋_GB2312" w:eastAsia="仿宋_GB2312" w:cs="DengXian-Regular"/>
          <w:sz w:val="32"/>
          <w:szCs w:val="32"/>
        </w:rPr>
        <w:t>2040.89</w:t>
      </w:r>
      <w:r>
        <w:rPr>
          <w:rFonts w:hint="eastAsia" w:ascii="仿宋_GB2312" w:eastAsia="仿宋_GB2312" w:cs="DengXian-Regular"/>
          <w:sz w:val="32"/>
          <w:szCs w:val="32"/>
        </w:rPr>
        <w:t>万元</w:t>
      </w:r>
      <w:r>
        <w:rPr>
          <w:rFonts w:hint="eastAsia" w:ascii="仿宋_GB2312" w:hAnsi="Times New Roman" w:eastAsia="仿宋_GB2312" w:cs="DengXian-Regular"/>
          <w:sz w:val="32"/>
          <w:szCs w:val="32"/>
        </w:rPr>
        <w:t>）减少</w:t>
      </w:r>
      <w:r>
        <w:rPr>
          <w:rFonts w:ascii="仿宋_GB2312" w:hAnsi="Times New Roman" w:eastAsia="仿宋_GB2312" w:cs="DengXian-Regular"/>
          <w:sz w:val="32"/>
          <w:szCs w:val="32"/>
        </w:rPr>
        <w:t>659.20</w:t>
      </w:r>
      <w:r>
        <w:rPr>
          <w:rFonts w:hint="eastAsia" w:ascii="仿宋_GB2312" w:hAnsi="Times New Roman" w:eastAsia="仿宋_GB2312" w:cs="DengXian-Regular"/>
          <w:sz w:val="32"/>
          <w:szCs w:val="32"/>
        </w:rPr>
        <w:t>万元，降低</w:t>
      </w:r>
      <w:r>
        <w:rPr>
          <w:rFonts w:ascii="仿宋_GB2312" w:hAnsi="Times New Roman" w:eastAsia="仿宋_GB2312" w:cs="DengXian-Regular"/>
          <w:sz w:val="32"/>
          <w:szCs w:val="32"/>
        </w:rPr>
        <w:t>32.30%</w:t>
      </w:r>
      <w:r>
        <w:rPr>
          <w:rFonts w:hint="eastAsia" w:ascii="仿宋_GB2312" w:hAnsi="Times New Roman" w:eastAsia="仿宋_GB2312" w:cs="DengXian-Regular"/>
          <w:sz w:val="32"/>
          <w:szCs w:val="32"/>
        </w:rPr>
        <w:t>，主要是</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年机构改革，我单位原有的医保业务、军转干部管理、公务员管理等职能外划，相应的收支也不再在本单位核算，导致相关的项目支出、人员支出、公用支出均对应减少。</w:t>
      </w:r>
    </w:p>
    <w:p>
      <w:pPr>
        <w:adjustRightInd w:val="0"/>
        <w:snapToGrid w:val="0"/>
        <w:spacing w:line="580" w:lineRule="exact"/>
        <w:ind w:firstLine="420" w:firstLineChars="200"/>
        <w:rPr>
          <w:rFonts w:ascii="仿宋_GB2312" w:hAnsi="Times New Roman" w:eastAsia="仿宋_GB2312" w:cs="DengXian-Bold"/>
          <w:b/>
          <w:bCs/>
          <w:sz w:val="32"/>
          <w:szCs w:val="32"/>
        </w:rPr>
      </w:pPr>
      <w:r>
        <w:pict>
          <v:shape id="_x0000_s1042" o:spid="_x0000_s1042" o:spt="75" type="#_x0000_t75" style="position:absolute;left:0pt;margin-left:18pt;margin-top:14.4pt;height:182.75pt;width:441.8pt;mso-wrap-distance-bottom:0pt;mso-wrap-distance-left:9pt;mso-wrap-distance-right:9pt;mso-wrap-distance-top:0pt;z-index:251664384;mso-width-relative:page;mso-height-relative:page;" filled="f" o:preferrelative="t" stroked="f" coordsize="21600,21600">
            <v:path/>
            <v:fill on="f" focussize="0,0"/>
            <v:stroke on="f" joinstyle="miter"/>
            <v:imagedata r:id="rId13" o:title=""/>
            <o:lock v:ext="edit" aspectratio="t"/>
            <w10:wrap type="square"/>
          </v:shape>
        </w:pict>
      </w:r>
      <w:r>
        <w:rPr>
          <w:rFonts w:hint="eastAsia" w:ascii="楷体_GB2312" w:hAnsi="Times New Roman" w:eastAsia="楷体_GB2312" w:cs="DengXian-Bold"/>
          <w:b/>
          <w:bCs/>
          <w:sz w:val="32"/>
          <w:szCs w:val="32"/>
        </w:rPr>
        <w:t>（二）财政拨款收支与年初预算数对比情况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年度一般公共预算财政拨款收入</w:t>
      </w:r>
      <w:r>
        <w:rPr>
          <w:rFonts w:ascii="仿宋_GB2312" w:hAnsi="Times New Roman" w:eastAsia="仿宋_GB2312" w:cs="DengXian-Regular"/>
          <w:sz w:val="32"/>
          <w:szCs w:val="32"/>
        </w:rPr>
        <w:t>1571.88</w:t>
      </w:r>
      <w:r>
        <w:rPr>
          <w:rFonts w:hint="eastAsia" w:ascii="仿宋_GB2312" w:hAnsi="Times New Roman" w:eastAsia="仿宋_GB2312" w:cs="DengXian-Regular"/>
          <w:sz w:val="32"/>
          <w:szCs w:val="32"/>
        </w:rPr>
        <w:t>万元，完成年初预算（</w:t>
      </w:r>
      <w:r>
        <w:rPr>
          <w:rFonts w:ascii="仿宋_GB2312" w:hAnsi="Times New Roman" w:eastAsia="仿宋_GB2312" w:cs="DengXian-Regular"/>
          <w:sz w:val="32"/>
          <w:szCs w:val="32"/>
        </w:rPr>
        <w:t>1204.68</w:t>
      </w:r>
      <w:r>
        <w:rPr>
          <w:rFonts w:hint="eastAsia" w:ascii="仿宋_GB2312" w:hAnsi="Times New Roman" w:eastAsia="仿宋_GB2312" w:cs="DengXian-Regular"/>
          <w:sz w:val="32"/>
          <w:szCs w:val="32"/>
        </w:rPr>
        <w:t>万元）的</w:t>
      </w:r>
      <w:r>
        <w:rPr>
          <w:rFonts w:ascii="仿宋_GB2312" w:hAnsi="Times New Roman" w:eastAsia="仿宋_GB2312" w:cs="DengXian-Regular"/>
          <w:sz w:val="32"/>
          <w:szCs w:val="32"/>
        </w:rPr>
        <w:t>130.48%,</w:t>
      </w:r>
      <w:r>
        <w:rPr>
          <w:rFonts w:hint="eastAsia" w:ascii="仿宋_GB2312" w:hAnsi="Times New Roman" w:eastAsia="仿宋_GB2312" w:cs="DengXian-Regular"/>
          <w:sz w:val="32"/>
          <w:szCs w:val="32"/>
        </w:rPr>
        <w:t>比年初预算增加</w:t>
      </w:r>
      <w:r>
        <w:rPr>
          <w:rFonts w:ascii="仿宋_GB2312" w:hAnsi="Times New Roman" w:eastAsia="仿宋_GB2312" w:cs="DengXian-Regular"/>
          <w:sz w:val="32"/>
          <w:szCs w:val="32"/>
        </w:rPr>
        <w:t>367.2</w:t>
      </w:r>
      <w:r>
        <w:rPr>
          <w:rFonts w:hint="eastAsia" w:ascii="仿宋_GB2312" w:hAnsi="Times New Roman" w:eastAsia="仿宋_GB2312" w:cs="DengXian-Regular"/>
          <w:sz w:val="32"/>
          <w:szCs w:val="32"/>
        </w:rPr>
        <w:t>万元，决算数大于预算数主要原因是</w:t>
      </w:r>
      <w:r>
        <w:rPr>
          <w:rFonts w:hint="eastAsia" w:ascii="仿宋_GB2312" w:eastAsia="仿宋_GB2312" w:cs="DengXian-Regular"/>
          <w:sz w:val="32"/>
          <w:szCs w:val="32"/>
        </w:rPr>
        <w:t>人员正常晋级、岗位晋升、事业单位公车改革等导致人员经费、公用经费收入增加</w:t>
      </w:r>
      <w:r>
        <w:rPr>
          <w:rFonts w:hint="eastAsia" w:ascii="仿宋_GB2312" w:hAnsi="Times New Roman" w:eastAsia="仿宋_GB2312" w:cs="DengXian-Regular"/>
          <w:sz w:val="32"/>
          <w:szCs w:val="32"/>
        </w:rPr>
        <w:t>；本年支出</w:t>
      </w:r>
      <w:r>
        <w:rPr>
          <w:rFonts w:ascii="仿宋_GB2312" w:hAnsi="Times New Roman" w:eastAsia="仿宋_GB2312" w:cs="DengXian-Regular"/>
          <w:sz w:val="32"/>
          <w:szCs w:val="32"/>
        </w:rPr>
        <w:t>1381.69</w:t>
      </w:r>
      <w:r>
        <w:rPr>
          <w:rFonts w:hint="eastAsia" w:ascii="仿宋_GB2312" w:hAnsi="Times New Roman" w:eastAsia="仿宋_GB2312" w:cs="DengXian-Regular"/>
          <w:sz w:val="32"/>
          <w:szCs w:val="32"/>
        </w:rPr>
        <w:t>万元，完成年初预算的</w:t>
      </w:r>
      <w:r>
        <w:rPr>
          <w:rFonts w:ascii="仿宋_GB2312" w:hAnsi="Times New Roman" w:eastAsia="仿宋_GB2312" w:cs="DengXian-Regular"/>
          <w:sz w:val="32"/>
          <w:szCs w:val="32"/>
        </w:rPr>
        <w:t>114.69%,</w:t>
      </w:r>
      <w:r>
        <w:rPr>
          <w:rFonts w:hint="eastAsia" w:ascii="仿宋_GB2312" w:hAnsi="Times New Roman" w:eastAsia="仿宋_GB2312" w:cs="DengXian-Regular"/>
          <w:sz w:val="32"/>
          <w:szCs w:val="32"/>
        </w:rPr>
        <w:t>比年初预算增加</w:t>
      </w:r>
      <w:r>
        <w:rPr>
          <w:rFonts w:ascii="仿宋_GB2312" w:hAnsi="Times New Roman" w:eastAsia="仿宋_GB2312" w:cs="DengXian-Regular"/>
          <w:sz w:val="32"/>
          <w:szCs w:val="32"/>
        </w:rPr>
        <w:t>177.01</w:t>
      </w:r>
      <w:r>
        <w:rPr>
          <w:rFonts w:hint="eastAsia" w:ascii="仿宋_GB2312" w:hAnsi="Times New Roman" w:eastAsia="仿宋_GB2312" w:cs="DengXian-Regular"/>
          <w:sz w:val="32"/>
          <w:szCs w:val="32"/>
        </w:rPr>
        <w:t>万元，决算数大于预算数主要原因是主要是</w:t>
      </w:r>
      <w:r>
        <w:rPr>
          <w:rFonts w:hint="eastAsia" w:ascii="仿宋_GB2312" w:eastAsia="仿宋_GB2312" w:cs="DengXian-Regular"/>
          <w:sz w:val="32"/>
          <w:szCs w:val="32"/>
        </w:rPr>
        <w:t>人员正常晋级、岗位晋升、事业单位公车改革等导致人员经费、公用经费支出增加</w:t>
      </w:r>
      <w:r>
        <w:rPr>
          <w:rFonts w:hint="eastAsia" w:ascii="仿宋_GB2312" w:hAnsi="Times New Roman" w:eastAsia="仿宋_GB2312" w:cs="DengXian-Regular"/>
          <w:sz w:val="32"/>
          <w:szCs w:val="32"/>
        </w:rPr>
        <w:t>。</w:t>
      </w:r>
    </w:p>
    <w:p>
      <w:pPr>
        <w:adjustRightInd w:val="0"/>
        <w:snapToGrid w:val="0"/>
        <w:spacing w:line="580" w:lineRule="exact"/>
        <w:ind w:firstLine="640" w:firstLineChars="200"/>
        <w:rPr>
          <w:rFonts w:ascii="仿宋_GB2312" w:hAnsi="Times New Roman" w:eastAsia="仿宋_GB2312" w:cs="DengXian-Regular"/>
          <w:sz w:val="32"/>
          <w:szCs w:val="32"/>
        </w:rPr>
      </w:pPr>
    </w:p>
    <w:p>
      <w:pPr>
        <w:adjustRightInd w:val="0"/>
        <w:snapToGrid w:val="0"/>
        <w:spacing w:line="580" w:lineRule="exact"/>
        <w:ind w:firstLine="640" w:firstLineChars="200"/>
        <w:rPr>
          <w:rFonts w:ascii="仿宋_GB2312" w:hAnsi="Times New Roman" w:eastAsia="仿宋_GB2312" w:cs="DengXian-Regular"/>
          <w:sz w:val="32"/>
          <w:szCs w:val="32"/>
        </w:rPr>
      </w:pPr>
    </w:p>
    <w:p>
      <w:pPr>
        <w:adjustRightInd w:val="0"/>
        <w:snapToGrid w:val="0"/>
        <w:spacing w:line="580" w:lineRule="exact"/>
        <w:ind w:firstLine="640" w:firstLineChars="200"/>
        <w:rPr>
          <w:rFonts w:ascii="仿宋_GB2312" w:hAnsi="Times New Roman" w:eastAsia="仿宋_GB2312" w:cs="DengXian-Regular"/>
          <w:sz w:val="32"/>
          <w:szCs w:val="32"/>
        </w:rPr>
      </w:pPr>
    </w:p>
    <w:p>
      <w:pPr>
        <w:adjustRightInd w:val="0"/>
        <w:snapToGrid w:val="0"/>
        <w:spacing w:line="580" w:lineRule="exact"/>
        <w:ind w:firstLine="420" w:firstLineChars="200"/>
        <w:rPr>
          <w:rFonts w:ascii="仿宋_GB2312" w:hAnsi="Times New Roman" w:eastAsia="仿宋_GB2312" w:cs="DengXian-Regular"/>
          <w:sz w:val="32"/>
          <w:szCs w:val="32"/>
          <w:highlight w:val="yellow"/>
        </w:rPr>
      </w:pPr>
      <w:r>
        <w:pict>
          <v:shape id="_x0000_s1043" o:spid="_x0000_s1043" o:spt="75" type="#_x0000_t75" style="position:absolute;left:0pt;margin-left:18pt;margin-top:-15.6pt;height:182.75pt;width:441.8pt;mso-wrap-distance-bottom:0pt;mso-wrap-distance-left:9pt;mso-wrap-distance-right:9pt;mso-wrap-distance-top:0pt;z-index:251665408;mso-width-relative:page;mso-height-relative:page;" filled="f" o:preferrelative="t" stroked="f" coordsize="21600,21600">
            <v:path/>
            <v:fill on="f" focussize="0,0"/>
            <v:stroke on="f" joinstyle="miter"/>
            <v:imagedata r:id="rId14" o:title=""/>
            <o:lock v:ext="edit" aspectratio="t"/>
            <w10:wrap type="square"/>
          </v:shape>
        </w:pict>
      </w:r>
    </w:p>
    <w:p>
      <w:pPr>
        <w:numPr>
          <w:ilvl w:val="0"/>
          <w:numId w:val="1"/>
        </w:numPr>
        <w:adjustRightInd w:val="0"/>
        <w:snapToGrid w:val="0"/>
        <w:spacing w:line="580" w:lineRule="exact"/>
        <w:ind w:left="420" w:left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财政拨款支出决算结构情况。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ascii="仿宋_GB2312" w:hAnsi="Times New Roman" w:eastAsia="仿宋_GB2312" w:cs="DengXian-Regular"/>
          <w:sz w:val="32"/>
          <w:szCs w:val="32"/>
        </w:rPr>
        <w:t xml:space="preserve">2019 </w:t>
      </w:r>
      <w:r>
        <w:rPr>
          <w:rFonts w:hint="eastAsia" w:ascii="仿宋_GB2312" w:hAnsi="Times New Roman" w:eastAsia="仿宋_GB2312" w:cs="DengXian-Regular"/>
          <w:sz w:val="32"/>
          <w:szCs w:val="32"/>
        </w:rPr>
        <w:t>年度财政拨款支出</w:t>
      </w:r>
      <w:r>
        <w:rPr>
          <w:rFonts w:ascii="仿宋_GB2312" w:hAnsi="Times New Roman" w:eastAsia="仿宋_GB2312" w:cs="DengXian-Regular"/>
          <w:sz w:val="32"/>
          <w:szCs w:val="32"/>
        </w:rPr>
        <w:t>1381.69</w:t>
      </w:r>
      <w:r>
        <w:rPr>
          <w:rFonts w:hint="eastAsia" w:ascii="仿宋_GB2312" w:hAnsi="Times New Roman" w:eastAsia="仿宋_GB2312" w:cs="DengXian-Regular"/>
          <w:sz w:val="32"/>
          <w:szCs w:val="32"/>
        </w:rPr>
        <w:t>万元，主要用于以下方面：一般公共服务（类）支出</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，；公共安全类（类）支出</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；教育（类）支出</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；科学技术（类）支出</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 xml:space="preserve"> 0%</w:t>
      </w:r>
      <w:r>
        <w:rPr>
          <w:rFonts w:hint="eastAsia" w:ascii="仿宋_GB2312" w:hAnsi="Times New Roman" w:eastAsia="仿宋_GB2312" w:cs="DengXian-Regular"/>
          <w:sz w:val="32"/>
          <w:szCs w:val="32"/>
        </w:rPr>
        <w:t>；社会保障和就业（类）支出</w:t>
      </w:r>
      <w:r>
        <w:rPr>
          <w:rFonts w:ascii="仿宋_GB2312" w:hAnsi="Times New Roman" w:eastAsia="仿宋_GB2312" w:cs="DengXian-Regular"/>
          <w:sz w:val="32"/>
          <w:szCs w:val="32"/>
        </w:rPr>
        <w:t xml:space="preserve"> 1265.64</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91.60%</w:t>
      </w:r>
      <w:r>
        <w:rPr>
          <w:rFonts w:hint="eastAsia" w:ascii="仿宋_GB2312" w:hAnsi="Times New Roman" w:eastAsia="仿宋_GB2312" w:cs="DengXian-Regular"/>
          <w:sz w:val="32"/>
          <w:szCs w:val="32"/>
        </w:rPr>
        <w:t>；住房保障（类）支出</w:t>
      </w:r>
      <w:r>
        <w:rPr>
          <w:rFonts w:ascii="仿宋_GB2312" w:hAnsi="Times New Roman" w:eastAsia="仿宋_GB2312" w:cs="DengXian-Regular"/>
          <w:sz w:val="32"/>
          <w:szCs w:val="32"/>
        </w:rPr>
        <w:t>49.31</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 xml:space="preserve"> 3.57%;</w:t>
      </w:r>
      <w:r>
        <w:rPr>
          <w:rFonts w:hint="eastAsia" w:ascii="仿宋_GB2312" w:hAnsi="Times New Roman" w:eastAsia="仿宋_GB2312" w:cs="DengXian-Regular"/>
          <w:sz w:val="32"/>
          <w:szCs w:val="32"/>
        </w:rPr>
        <w:t>卫生健康支出</w:t>
      </w:r>
      <w:r>
        <w:rPr>
          <w:rFonts w:ascii="仿宋_GB2312" w:hAnsi="Times New Roman" w:eastAsia="仿宋_GB2312" w:cs="DengXian-Regular"/>
          <w:sz w:val="32"/>
          <w:szCs w:val="32"/>
        </w:rPr>
        <w:t>66.74</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 xml:space="preserve"> 4.83%</w:t>
      </w:r>
      <w:r>
        <w:rPr>
          <w:rFonts w:hint="eastAsia" w:ascii="仿宋_GB2312" w:hAnsi="Times New Roman" w:eastAsia="仿宋_GB2312" w:cs="DengXian-Regular"/>
          <w:sz w:val="32"/>
          <w:szCs w:val="32"/>
        </w:rPr>
        <w:t>。</w:t>
      </w:r>
    </w:p>
    <w:p>
      <w:pPr>
        <w:adjustRightInd w:val="0"/>
        <w:snapToGrid w:val="0"/>
        <w:spacing w:line="580" w:lineRule="exact"/>
        <w:ind w:firstLine="640" w:firstLineChars="200"/>
        <w:rPr>
          <w:rFonts w:ascii="仿宋_GB2312" w:hAnsi="Times New Roman" w:eastAsia="仿宋_GB2312" w:cs="DengXian-Regular"/>
          <w:sz w:val="32"/>
          <w:szCs w:val="32"/>
        </w:rPr>
      </w:pPr>
    </w:p>
    <w:p>
      <w:pPr>
        <w:adjustRightInd w:val="0"/>
        <w:snapToGrid w:val="0"/>
        <w:spacing w:line="580" w:lineRule="exact"/>
        <w:ind w:firstLine="420" w:firstLineChars="200"/>
        <w:rPr>
          <w:rFonts w:ascii="仿宋_GB2312" w:hAnsi="Times New Roman" w:eastAsia="仿宋_GB2312" w:cs="DengXian-Regular"/>
          <w:sz w:val="32"/>
          <w:szCs w:val="32"/>
        </w:rPr>
      </w:pPr>
      <w:r>
        <w:pict>
          <v:shape id="_x0000_s1044" o:spid="_x0000_s1044" o:spt="75" type="#_x0000_t75" style="position:absolute;left:0pt;margin-left:27pt;margin-top:16.4pt;height:172.9pt;width:441.8pt;mso-wrap-distance-bottom:0pt;mso-wrap-distance-left:9pt;mso-wrap-distance-right:9pt;mso-wrap-distance-top:0pt;z-index:251666432;mso-width-relative:page;mso-height-relative:page;" filled="f" o:preferrelative="t" stroked="f" coordsize="21600,21600">
            <v:path/>
            <v:fill on="f" focussize="0,0"/>
            <v:stroke on="f" joinstyle="miter"/>
            <v:imagedata r:id="rId15" o:title=""/>
            <o:lock v:ext="edit" aspectratio="t"/>
            <w10:wrap type="square"/>
          </v:shape>
        </w:pict>
      </w:r>
    </w:p>
    <w:p>
      <w:pPr>
        <w:adjustRightInd w:val="0"/>
        <w:snapToGrid w:val="0"/>
        <w:spacing w:line="580" w:lineRule="exact"/>
        <w:ind w:firstLine="640" w:firstLineChars="200"/>
        <w:rPr>
          <w:rFonts w:ascii="仿宋_GB2312" w:hAnsi="Times New Roman" w:eastAsia="仿宋_GB2312" w:cs="DengXian-Regular"/>
          <w:sz w:val="32"/>
          <w:szCs w:val="32"/>
        </w:rPr>
      </w:pPr>
    </w:p>
    <w:p>
      <w:pPr>
        <w:adjustRightInd w:val="0"/>
        <w:snapToGrid w:val="0"/>
        <w:spacing w:line="580" w:lineRule="exact"/>
        <w:ind w:firstLine="640" w:firstLineChars="200"/>
        <w:rPr>
          <w:rFonts w:ascii="仿宋_GB2312" w:hAnsi="Times New Roman" w:eastAsia="仿宋_GB2312" w:cs="DengXian-Regular"/>
          <w:sz w:val="32"/>
          <w:szCs w:val="32"/>
        </w:rPr>
      </w:pPr>
    </w:p>
    <w:p>
      <w:pPr>
        <w:adjustRightInd w:val="0"/>
        <w:snapToGrid w:val="0"/>
        <w:spacing w:line="580" w:lineRule="exact"/>
        <w:ind w:firstLine="640" w:firstLineChars="200"/>
        <w:rPr>
          <w:rFonts w:ascii="仿宋_GB2312" w:hAnsi="Times New Roman" w:eastAsia="仿宋_GB2312" w:cs="DengXian-Regular"/>
          <w:sz w:val="32"/>
          <w:szCs w:val="32"/>
        </w:rPr>
      </w:pPr>
    </w:p>
    <w:p>
      <w:pPr>
        <w:adjustRightInd w:val="0"/>
        <w:snapToGrid w:val="0"/>
        <w:spacing w:line="580" w:lineRule="exact"/>
        <w:ind w:firstLine="640" w:firstLineChars="200"/>
        <w:rPr>
          <w:rFonts w:ascii="仿宋_GB2312" w:hAnsi="Times New Roman" w:eastAsia="仿宋_GB2312" w:cs="DengXian-Regular"/>
          <w:sz w:val="32"/>
          <w:szCs w:val="32"/>
        </w:rPr>
      </w:pPr>
    </w:p>
    <w:p>
      <w:pPr>
        <w:adjustRightInd w:val="0"/>
        <w:snapToGrid w:val="0"/>
        <w:spacing w:line="580" w:lineRule="exact"/>
        <w:ind w:firstLine="640" w:firstLineChars="200"/>
        <w:rPr>
          <w:rFonts w:ascii="仿宋_GB2312" w:hAnsi="Times New Roman" w:eastAsia="仿宋_GB2312" w:cs="DengXian-Regular"/>
          <w:sz w:val="32"/>
          <w:szCs w:val="32"/>
        </w:rPr>
      </w:pPr>
    </w:p>
    <w:p>
      <w:pPr>
        <w:adjustRightInd w:val="0"/>
        <w:snapToGrid w:val="0"/>
        <w:spacing w:line="580" w:lineRule="exact"/>
        <w:ind w:left="420" w:left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w:t>
      </w:r>
      <w:r>
        <w:rPr>
          <w:rFonts w:hint="eastAsia" w:ascii="楷体_GB2312" w:hAnsi="Times New Roman" w:eastAsia="楷体_GB2312" w:cs="DengXian-Bold"/>
          <w:b/>
          <w:bCs/>
          <w:sz w:val="32"/>
          <w:szCs w:val="32"/>
          <w:lang w:eastAsia="zh-CN"/>
        </w:rPr>
        <w:t>（</w:t>
      </w:r>
      <w:bookmarkStart w:id="0" w:name="_GoBack"/>
      <w:bookmarkEnd w:id="0"/>
      <w:r>
        <w:rPr>
          <w:rFonts w:hint="eastAsia" w:ascii="楷体_GB2312" w:hAnsi="Times New Roman" w:eastAsia="楷体_GB2312" w:cs="DengXian-Bold"/>
          <w:b/>
          <w:bCs/>
          <w:sz w:val="32"/>
          <w:szCs w:val="32"/>
        </w:rPr>
        <w:t>四）一般公共预算基本支出决算情况说明</w:t>
      </w:r>
    </w:p>
    <w:p>
      <w:pPr>
        <w:adjustRightInd w:val="0"/>
        <w:snapToGrid w:val="0"/>
        <w:spacing w:line="580" w:lineRule="exact"/>
        <w:ind w:firstLine="640" w:firstLineChars="200"/>
        <w:rPr>
          <w:rFonts w:ascii="仿宋_GB2312" w:hAnsi="Times New Roman" w:eastAsia="仿宋_GB2312" w:cs="DengXian-Regular"/>
          <w:sz w:val="32"/>
          <w:szCs w:val="32"/>
        </w:rPr>
      </w:pPr>
      <w:r>
        <w:rPr>
          <w:rFonts w:ascii="仿宋_GB2312" w:hAnsi="Times New Roman" w:eastAsia="仿宋_GB2312" w:cs="DengXian-Regular"/>
          <w:sz w:val="32"/>
          <w:szCs w:val="32"/>
        </w:rPr>
        <w:t xml:space="preserve">2019 </w:t>
      </w:r>
      <w:r>
        <w:rPr>
          <w:rFonts w:hint="eastAsia" w:ascii="仿宋_GB2312" w:hAnsi="Times New Roman" w:eastAsia="仿宋_GB2312" w:cs="DengXian-Regular"/>
          <w:sz w:val="32"/>
          <w:szCs w:val="32"/>
        </w:rPr>
        <w:t>年度财政拨款基本支出</w:t>
      </w:r>
      <w:r>
        <w:rPr>
          <w:rFonts w:ascii="仿宋_GB2312" w:hAnsi="Times New Roman" w:eastAsia="仿宋_GB2312" w:cs="DengXian-Regular"/>
          <w:sz w:val="32"/>
          <w:szCs w:val="32"/>
        </w:rPr>
        <w:t>1050.32</w:t>
      </w:r>
      <w:r>
        <w:rPr>
          <w:rFonts w:hint="eastAsia" w:ascii="仿宋_GB2312" w:hAnsi="Times New Roman" w:eastAsia="仿宋_GB2312" w:cs="DengXian-Regular"/>
          <w:sz w:val="32"/>
          <w:szCs w:val="32"/>
        </w:rPr>
        <w:t>万元，其中：人员经费</w:t>
      </w:r>
      <w:r>
        <w:rPr>
          <w:rFonts w:ascii="仿宋_GB2312" w:hAnsi="Times New Roman" w:eastAsia="仿宋_GB2312" w:cs="DengXian-Regular"/>
          <w:sz w:val="32"/>
          <w:szCs w:val="32"/>
        </w:rPr>
        <w:t xml:space="preserve"> 970.18</w:t>
      </w:r>
      <w:r>
        <w:rPr>
          <w:rFonts w:hint="eastAsia" w:ascii="仿宋_GB2312" w:hAnsi="Times New Roman" w:eastAsia="仿宋_GB2312"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ascii="仿宋_GB2312" w:hAnsi="Times New Roman" w:eastAsia="仿宋_GB2312" w:cs="DengXian-Regular"/>
          <w:sz w:val="32"/>
          <w:szCs w:val="32"/>
        </w:rPr>
        <w:t>80.14</w:t>
      </w:r>
      <w:r>
        <w:rPr>
          <w:rFonts w:hint="eastAsia" w:ascii="仿宋_GB2312" w:hAnsi="Times New Roman"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keepNext/>
        <w:keepLines/>
        <w:snapToGrid w:val="0"/>
        <w:spacing w:line="580" w:lineRule="exact"/>
        <w:ind w:firstLine="640" w:firstLineChars="200"/>
        <w:outlineLvl w:val="1"/>
        <w:rPr>
          <w:rFonts w:ascii="黑体" w:hAnsi="Calibri" w:eastAsia="黑体"/>
          <w:sz w:val="32"/>
          <w:szCs w:val="32"/>
        </w:rPr>
      </w:pPr>
      <w:r>
        <w:rPr>
          <w:rFonts w:hint="eastAsia" w:ascii="黑体" w:hAnsi="Calibri" w:eastAsia="黑体"/>
          <w:sz w:val="32"/>
          <w:szCs w:val="32"/>
        </w:rPr>
        <w:t>五、一般公共预算“三公”</w:t>
      </w:r>
      <w:r>
        <w:rPr>
          <w:rFonts w:ascii="黑体" w:hAnsi="Calibri" w:eastAsia="黑体"/>
          <w:sz w:val="32"/>
          <w:szCs w:val="32"/>
        </w:rPr>
        <w:t xml:space="preserve"> </w:t>
      </w:r>
      <w:r>
        <w:rPr>
          <w:rFonts w:hint="eastAsia" w:ascii="黑体" w:hAnsi="Calibri" w:eastAsia="黑体"/>
          <w:sz w:val="32"/>
          <w:szCs w:val="32"/>
        </w:rPr>
        <w:t>经费支出决算情况说明</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年度“三公”经费支出共计</w:t>
      </w:r>
      <w:r>
        <w:rPr>
          <w:rFonts w:ascii="仿宋_GB2312" w:hAnsi="Times New Roman" w:eastAsia="仿宋_GB2312" w:cs="DengXian-Regular"/>
          <w:sz w:val="32"/>
          <w:szCs w:val="32"/>
        </w:rPr>
        <w:t>9.87</w:t>
      </w:r>
      <w:r>
        <w:rPr>
          <w:rFonts w:hint="eastAsia" w:ascii="仿宋_GB2312" w:hAnsi="Times New Roman" w:eastAsia="仿宋_GB2312" w:cs="DengXian-Regular"/>
          <w:sz w:val="32"/>
          <w:szCs w:val="32"/>
        </w:rPr>
        <w:t>万元，完成预算的</w:t>
      </w:r>
      <w:r>
        <w:rPr>
          <w:rFonts w:ascii="仿宋_GB2312" w:hAnsi="Times New Roman" w:eastAsia="仿宋_GB2312" w:cs="DengXian-Regular"/>
          <w:sz w:val="32"/>
          <w:szCs w:val="32"/>
        </w:rPr>
        <w:t>82.25%,</w:t>
      </w:r>
      <w:r>
        <w:rPr>
          <w:rFonts w:hint="eastAsia" w:ascii="仿宋_GB2312" w:hAnsi="Times New Roman" w:eastAsia="仿宋_GB2312" w:cs="DengXian-Regular"/>
          <w:sz w:val="32"/>
          <w:szCs w:val="32"/>
        </w:rPr>
        <w:t>较预算减少</w:t>
      </w:r>
      <w:r>
        <w:rPr>
          <w:rFonts w:ascii="仿宋_GB2312" w:hAnsi="Times New Roman" w:eastAsia="仿宋_GB2312" w:cs="DengXian-Regular"/>
          <w:sz w:val="32"/>
          <w:szCs w:val="32"/>
        </w:rPr>
        <w:t>2.13</w:t>
      </w:r>
      <w:r>
        <w:rPr>
          <w:rFonts w:hint="eastAsia" w:ascii="仿宋_GB2312" w:hAnsi="Times New Roman" w:eastAsia="仿宋_GB2312" w:cs="DengXian-Regular"/>
          <w:sz w:val="32"/>
          <w:szCs w:val="32"/>
        </w:rPr>
        <w:t>万元，降低</w:t>
      </w:r>
      <w:r>
        <w:rPr>
          <w:rFonts w:ascii="仿宋_GB2312" w:hAnsi="Times New Roman" w:eastAsia="仿宋_GB2312" w:cs="DengXian-Regular"/>
          <w:sz w:val="32"/>
          <w:szCs w:val="32"/>
        </w:rPr>
        <w:t>17.75%</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严格控制三公经费支出，公务用车运行支出减少</w:t>
      </w:r>
      <w:r>
        <w:rPr>
          <w:rFonts w:hint="eastAsia" w:ascii="仿宋_GB2312" w:hAnsi="Times New Roman" w:eastAsia="仿宋_GB2312" w:cs="DengXian-Regular"/>
          <w:sz w:val="32"/>
          <w:szCs w:val="32"/>
        </w:rPr>
        <w:t>；较</w:t>
      </w:r>
      <w:r>
        <w:rPr>
          <w:rFonts w:ascii="仿宋_GB2312" w:hAnsi="Times New Roman" w:eastAsia="仿宋_GB2312" w:cs="DengXian-Regular"/>
          <w:sz w:val="32"/>
          <w:szCs w:val="32"/>
        </w:rPr>
        <w:t>2018</w:t>
      </w:r>
      <w:r>
        <w:rPr>
          <w:rFonts w:hint="eastAsia" w:ascii="仿宋_GB2312" w:hAnsi="Times New Roman" w:eastAsia="仿宋_GB2312" w:cs="DengXian-Regular"/>
          <w:sz w:val="32"/>
          <w:szCs w:val="32"/>
        </w:rPr>
        <w:t>年度（</w:t>
      </w:r>
      <w:r>
        <w:rPr>
          <w:rFonts w:ascii="仿宋_GB2312" w:hAnsi="Times New Roman" w:eastAsia="仿宋_GB2312" w:cs="DengXian-Regular"/>
          <w:sz w:val="32"/>
          <w:szCs w:val="32"/>
        </w:rPr>
        <w:t>11.38</w:t>
      </w:r>
      <w:r>
        <w:rPr>
          <w:rFonts w:hint="eastAsia" w:ascii="仿宋_GB2312" w:hAnsi="Times New Roman" w:eastAsia="仿宋_GB2312" w:cs="DengXian-Regular"/>
          <w:sz w:val="32"/>
          <w:szCs w:val="32"/>
        </w:rPr>
        <w:t>万元）减少</w:t>
      </w:r>
      <w:r>
        <w:rPr>
          <w:rFonts w:ascii="仿宋_GB2312" w:hAnsi="Times New Roman" w:eastAsia="仿宋_GB2312" w:cs="DengXian-Regular"/>
          <w:sz w:val="32"/>
          <w:szCs w:val="32"/>
        </w:rPr>
        <w:t>1.51</w:t>
      </w:r>
      <w:r>
        <w:rPr>
          <w:rFonts w:hint="eastAsia" w:ascii="仿宋_GB2312" w:hAnsi="Times New Roman" w:eastAsia="仿宋_GB2312" w:cs="DengXian-Regular"/>
          <w:sz w:val="32"/>
          <w:szCs w:val="32"/>
        </w:rPr>
        <w:t>万元，降低</w:t>
      </w:r>
      <w:r>
        <w:rPr>
          <w:rFonts w:ascii="仿宋_GB2312" w:hAnsi="Times New Roman" w:eastAsia="仿宋_GB2312" w:cs="DengXian-Regular"/>
          <w:sz w:val="32"/>
          <w:szCs w:val="32"/>
        </w:rPr>
        <w:t>13.27%</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严格控制三公经费支出，公务用车运行支出减少</w:t>
      </w:r>
      <w:r>
        <w:rPr>
          <w:rFonts w:hint="eastAsia" w:ascii="仿宋_GB2312" w:hAnsi="Times New Roman" w:eastAsia="仿宋_GB2312" w:cs="DengXian-Regular"/>
          <w:sz w:val="32"/>
          <w:szCs w:val="32"/>
        </w:rPr>
        <w:t>。具体情况如下：</w:t>
      </w:r>
    </w:p>
    <w:p>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楷体_GB2312" w:hAnsi="Times New Roman" w:eastAsia="楷体_GB2312" w:cs="DengXian-Bold"/>
          <w:b/>
          <w:bCs/>
          <w:sz w:val="32"/>
          <w:szCs w:val="32"/>
        </w:rPr>
        <w:t>（一）因公出国（境）费支出</w:t>
      </w:r>
      <w:r>
        <w:rPr>
          <w:rFonts w:ascii="楷体_GB2312" w:hAnsi="Times New Roman" w:eastAsia="楷体_GB2312" w:cs="DengXian-Bold"/>
          <w:b/>
          <w:bCs/>
          <w:sz w:val="32"/>
          <w:szCs w:val="32"/>
        </w:rPr>
        <w:t>0</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年度因公出国（境）团组</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个、共</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人</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参加其他单位组织的因公出国（境）团组</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个、共</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人</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无本单位组织的出国（境）团组。因公出国（境）费支与预算持平；与上年持平。</w:t>
      </w:r>
    </w:p>
    <w:p>
      <w:pPr>
        <w:adjustRightInd w:val="0"/>
        <w:snapToGrid w:val="0"/>
        <w:spacing w:line="580" w:lineRule="exact"/>
        <w:ind w:firstLine="643" w:firstLineChars="200"/>
        <w:rPr>
          <w:rFonts w:ascii="仿宋_GB2312" w:hAnsi="Times New Roman" w:eastAsia="仿宋_GB2312" w:cs="DengXian-Bold"/>
          <w:b/>
          <w:bCs/>
          <w:sz w:val="32"/>
          <w:szCs w:val="32"/>
        </w:rPr>
      </w:pPr>
      <w:r>
        <w:rPr>
          <w:rFonts w:hint="eastAsia" w:ascii="楷体_GB2312" w:hAnsi="Times New Roman" w:eastAsia="楷体_GB2312" w:cs="DengXian-Bold"/>
          <w:b/>
          <w:bCs/>
          <w:sz w:val="32"/>
          <w:szCs w:val="32"/>
        </w:rPr>
        <w:t>（二）公务用车购置及运行维护费支出</w:t>
      </w:r>
      <w:r>
        <w:rPr>
          <w:rFonts w:ascii="仿宋_GB2312" w:hAnsi="Times New Roman" w:eastAsia="仿宋_GB2312" w:cs="DengXian-Regular"/>
          <w:sz w:val="32"/>
          <w:szCs w:val="32"/>
        </w:rPr>
        <w:t>9.87</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年度公务用车购置及运行维护费支出</w:t>
      </w:r>
      <w:r>
        <w:rPr>
          <w:rFonts w:ascii="仿宋_GB2312" w:hAnsi="Times New Roman" w:eastAsia="仿宋_GB2312" w:cs="DengXian-Regular"/>
          <w:sz w:val="32"/>
          <w:szCs w:val="32"/>
        </w:rPr>
        <w:t>9.87</w:t>
      </w:r>
      <w:r>
        <w:rPr>
          <w:rFonts w:hint="eastAsia" w:ascii="仿宋_GB2312" w:hAnsi="Times New Roman" w:eastAsia="仿宋_GB2312" w:cs="DengXian-Regular"/>
          <w:sz w:val="32"/>
          <w:szCs w:val="32"/>
        </w:rPr>
        <w:t>万元，较预算减少</w:t>
      </w:r>
      <w:r>
        <w:rPr>
          <w:rFonts w:ascii="仿宋_GB2312" w:hAnsi="Times New Roman" w:eastAsia="仿宋_GB2312" w:cs="DengXian-Regular"/>
          <w:sz w:val="32"/>
          <w:szCs w:val="32"/>
        </w:rPr>
        <w:t>2.13</w:t>
      </w:r>
      <w:r>
        <w:rPr>
          <w:rFonts w:hint="eastAsia" w:ascii="仿宋_GB2312" w:hAnsi="Times New Roman" w:eastAsia="仿宋_GB2312" w:cs="DengXian-Regular"/>
          <w:sz w:val="32"/>
          <w:szCs w:val="32"/>
        </w:rPr>
        <w:t>万元，降低</w:t>
      </w:r>
      <w:r>
        <w:rPr>
          <w:rFonts w:ascii="仿宋_GB2312" w:hAnsi="Times New Roman" w:eastAsia="仿宋_GB2312" w:cs="DengXian-Regular"/>
          <w:sz w:val="32"/>
          <w:szCs w:val="32"/>
        </w:rPr>
        <w:t>17.75%,</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严格控制三公经费支出，公务用车运行支出减少</w:t>
      </w:r>
      <w:r>
        <w:rPr>
          <w:rFonts w:hint="eastAsia" w:ascii="仿宋_GB2312" w:hAnsi="Times New Roman" w:eastAsia="仿宋_GB2312" w:cs="DengXian-Regular"/>
          <w:sz w:val="32"/>
          <w:szCs w:val="32"/>
        </w:rPr>
        <w:t>；较上年减少</w:t>
      </w:r>
      <w:r>
        <w:rPr>
          <w:rFonts w:ascii="仿宋_GB2312" w:hAnsi="Times New Roman" w:eastAsia="仿宋_GB2312" w:cs="DengXian-Regular"/>
          <w:sz w:val="32"/>
          <w:szCs w:val="32"/>
        </w:rPr>
        <w:t>1.51</w:t>
      </w:r>
      <w:r>
        <w:rPr>
          <w:rFonts w:hint="eastAsia" w:ascii="仿宋_GB2312" w:hAnsi="Times New Roman" w:eastAsia="仿宋_GB2312" w:cs="DengXian-Regular"/>
          <w:sz w:val="32"/>
          <w:szCs w:val="32"/>
        </w:rPr>
        <w:t>万元，降低</w:t>
      </w:r>
      <w:r>
        <w:rPr>
          <w:rFonts w:ascii="仿宋_GB2312" w:hAnsi="Times New Roman" w:eastAsia="仿宋_GB2312" w:cs="DengXian-Regular"/>
          <w:sz w:val="32"/>
          <w:szCs w:val="32"/>
        </w:rPr>
        <w:t>13.27%,</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严格控制三公经费支出，公务用车运行支出减少</w:t>
      </w:r>
      <w:r>
        <w:rPr>
          <w:rFonts w:hint="eastAsia" w:ascii="仿宋_GB2312" w:hAnsi="Times New Roman" w:eastAsia="仿宋_GB2312" w:cs="DengXian-Regular"/>
          <w:sz w:val="32"/>
          <w:szCs w:val="32"/>
        </w:rPr>
        <w:t>。</w:t>
      </w:r>
      <w:r>
        <w:rPr>
          <w:rFonts w:hint="eastAsia" w:ascii="仿宋_GB2312" w:hAnsi="Times New Roman" w:eastAsia="仿宋_GB2312" w:cs="DengXian-Bold"/>
          <w:b/>
          <w:bCs/>
          <w:sz w:val="32"/>
          <w:szCs w:val="32"/>
        </w:rPr>
        <w:t>其中：</w:t>
      </w:r>
    </w:p>
    <w:p>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仿宋_GB2312" w:hAnsi="Times New Roman" w:eastAsia="仿宋_GB2312" w:cs="DengXian-Regular"/>
          <w:b/>
          <w:sz w:val="32"/>
          <w:szCs w:val="32"/>
        </w:rPr>
        <w:t>公务用车购置费：</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年度公务用车购置量</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辆，发生“公务用车购置”经费支出</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万元。公务用车购置费支出与预算持平；与上年持平。</w:t>
      </w:r>
    </w:p>
    <w:p>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仿宋_GB2312" w:hAnsi="Times New Roman" w:eastAsia="仿宋_GB2312" w:cs="DengXian-Regular"/>
          <w:b/>
          <w:sz w:val="32"/>
          <w:szCs w:val="32"/>
        </w:rPr>
        <w:t>公务用车运行维护费：</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年度单位公务用车保有量</w:t>
      </w:r>
      <w:r>
        <w:rPr>
          <w:rFonts w:hint="eastAsia" w:ascii="仿宋_GB2312" w:hAnsi="Times New Roman" w:eastAsia="仿宋_GB2312" w:cs="DengXian-Regular"/>
          <w:sz w:val="32"/>
          <w:szCs w:val="32"/>
          <w:lang w:val="en-US" w:eastAsia="zh-CN"/>
        </w:rPr>
        <w:t>3</w:t>
      </w:r>
      <w:r>
        <w:rPr>
          <w:rFonts w:hint="eastAsia" w:ascii="仿宋_GB2312" w:hAnsi="Times New Roman" w:eastAsia="仿宋_GB2312" w:cs="DengXian-Regular"/>
          <w:sz w:val="32"/>
          <w:szCs w:val="32"/>
        </w:rPr>
        <w:t>辆。公车运行维护费支出支出</w:t>
      </w:r>
      <w:r>
        <w:rPr>
          <w:rFonts w:ascii="仿宋_GB2312" w:hAnsi="Times New Roman" w:eastAsia="仿宋_GB2312" w:cs="DengXian-Regular"/>
          <w:sz w:val="32"/>
          <w:szCs w:val="32"/>
        </w:rPr>
        <w:t>9.87</w:t>
      </w:r>
      <w:r>
        <w:rPr>
          <w:rFonts w:hint="eastAsia" w:ascii="仿宋_GB2312" w:hAnsi="Times New Roman" w:eastAsia="仿宋_GB2312" w:cs="DengXian-Regular"/>
          <w:sz w:val="32"/>
          <w:szCs w:val="32"/>
        </w:rPr>
        <w:t>万元，较预算减少</w:t>
      </w:r>
      <w:r>
        <w:rPr>
          <w:rFonts w:ascii="仿宋_GB2312" w:hAnsi="Times New Roman" w:eastAsia="仿宋_GB2312" w:cs="DengXian-Regular"/>
          <w:sz w:val="32"/>
          <w:szCs w:val="32"/>
        </w:rPr>
        <w:t>2.13</w:t>
      </w:r>
      <w:r>
        <w:rPr>
          <w:rFonts w:hint="eastAsia" w:ascii="仿宋_GB2312" w:hAnsi="Times New Roman" w:eastAsia="仿宋_GB2312" w:cs="DengXian-Regular"/>
          <w:sz w:val="32"/>
          <w:szCs w:val="32"/>
        </w:rPr>
        <w:t>万元，降低</w:t>
      </w:r>
      <w:r>
        <w:rPr>
          <w:rFonts w:ascii="仿宋_GB2312" w:hAnsi="Times New Roman" w:eastAsia="仿宋_GB2312" w:cs="DengXian-Regular"/>
          <w:sz w:val="32"/>
          <w:szCs w:val="32"/>
        </w:rPr>
        <w:t>17.75%,</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严格控制三公经费支出，公务用车运行支出减少</w:t>
      </w:r>
      <w:r>
        <w:rPr>
          <w:rFonts w:hint="eastAsia" w:ascii="仿宋_GB2312" w:hAnsi="Times New Roman" w:eastAsia="仿宋_GB2312" w:cs="DengXian-Regular"/>
          <w:sz w:val="32"/>
          <w:szCs w:val="32"/>
        </w:rPr>
        <w:t>；较上年减少</w:t>
      </w:r>
      <w:r>
        <w:rPr>
          <w:rFonts w:ascii="仿宋_GB2312" w:hAnsi="Times New Roman" w:eastAsia="仿宋_GB2312" w:cs="DengXian-Regular"/>
          <w:sz w:val="32"/>
          <w:szCs w:val="32"/>
        </w:rPr>
        <w:t>1.51</w:t>
      </w:r>
      <w:r>
        <w:rPr>
          <w:rFonts w:hint="eastAsia" w:ascii="仿宋_GB2312" w:hAnsi="Times New Roman" w:eastAsia="仿宋_GB2312" w:cs="DengXian-Regular"/>
          <w:sz w:val="32"/>
          <w:szCs w:val="32"/>
        </w:rPr>
        <w:t>万元，降低</w:t>
      </w:r>
      <w:r>
        <w:rPr>
          <w:rFonts w:ascii="仿宋_GB2312" w:hAnsi="Times New Roman" w:eastAsia="仿宋_GB2312" w:cs="DengXian-Regular"/>
          <w:sz w:val="32"/>
          <w:szCs w:val="32"/>
        </w:rPr>
        <w:t>13.27%,</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严格控制三公经费支出，公务用车运行支出减少。</w:t>
      </w:r>
    </w:p>
    <w:p>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楷体_GB2312" w:hAnsi="Times New Roman" w:eastAsia="楷体_GB2312" w:cs="DengXian-Bold"/>
          <w:b/>
          <w:bCs/>
          <w:sz w:val="32"/>
          <w:szCs w:val="32"/>
        </w:rPr>
        <w:t>（三）公务接待费支出</w:t>
      </w:r>
      <w:r>
        <w:rPr>
          <w:rFonts w:ascii="楷体_GB2312" w:hAnsi="Times New Roman" w:eastAsia="楷体_GB2312" w:cs="DengXian-Bold"/>
          <w:b/>
          <w:bCs/>
          <w:sz w:val="32"/>
          <w:szCs w:val="32"/>
        </w:rPr>
        <w:t>0</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年度公务接待共</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批次、</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人次。公务接待费支出与预算持平；与上年持平。</w:t>
      </w:r>
    </w:p>
    <w:p>
      <w:pPr>
        <w:adjustRightInd w:val="0"/>
        <w:snapToGrid w:val="0"/>
        <w:spacing w:line="580" w:lineRule="exact"/>
        <w:ind w:firstLine="640" w:firstLineChars="200"/>
        <w:rPr>
          <w:rFonts w:ascii="黑体" w:hAnsi="Times New Roman" w:eastAsia="黑体"/>
          <w:sz w:val="32"/>
          <w:szCs w:val="40"/>
        </w:rPr>
      </w:pPr>
      <w:r>
        <w:rPr>
          <w:rFonts w:hint="eastAsia" w:ascii="黑体" w:hAnsi="Times New Roman" w:eastAsia="黑体"/>
          <w:sz w:val="32"/>
          <w:szCs w:val="40"/>
        </w:rPr>
        <w:t>六、预算绩效情况说明</w:t>
      </w:r>
    </w:p>
    <w:p>
      <w:p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（一）绩效管理工作开展情况</w:t>
      </w:r>
    </w:p>
    <w:p>
      <w:p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我单位严格按照绩效管理工作要求，在年初按照三定方案和单位职能科学合理编制了社保方面预算项目的绩效指标、绩效评价标准，保证绩效评价的可量化、准确性、全面性。预算执行过程中，领导和各部门高度重视绩效管理，严格按照绩效管理要求，业务部门在完成工作任务过程中严格控制收支，在人力资源和社会保障业务领域达到利民惠民的同时有效利用财政资金，力求使财政资金的利用效益最大化。</w:t>
      </w:r>
    </w:p>
    <w:p>
      <w:pPr>
        <w:numPr>
          <w:ilvl w:val="0"/>
          <w:numId w:val="2"/>
        </w:num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预算项目绩效评价开展情况</w:t>
      </w:r>
    </w:p>
    <w:p>
      <w:pPr>
        <w:adjustRightInd w:val="0"/>
        <w:snapToGrid w:val="0"/>
        <w:spacing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我单位</w:t>
      </w:r>
      <w:r>
        <w:rPr>
          <w:rFonts w:ascii="仿宋_GB2312" w:eastAsia="仿宋_GB2312" w:cs="DengXian-Regular"/>
          <w:sz w:val="32"/>
          <w:szCs w:val="32"/>
        </w:rPr>
        <w:t>2019</w:t>
      </w:r>
      <w:r>
        <w:rPr>
          <w:rFonts w:hint="eastAsia" w:ascii="仿宋_GB2312" w:eastAsia="仿宋_GB2312" w:cs="DengXian-Regular"/>
          <w:sz w:val="32"/>
          <w:szCs w:val="32"/>
        </w:rPr>
        <w:t>年度严格按照绩效管理要求，年终对预算项目工作绩效进行评价，</w:t>
      </w:r>
      <w:r>
        <w:rPr>
          <w:rFonts w:ascii="仿宋_GB2312" w:hAnsi="µÈÏß Western" w:eastAsia="仿宋_GB2312" w:cs="DengXian-Regular"/>
          <w:sz w:val="32"/>
          <w:szCs w:val="32"/>
        </w:rPr>
        <w:t> </w:t>
      </w:r>
      <w:r>
        <w:rPr>
          <w:rFonts w:ascii="仿宋_GB2312" w:eastAsia="仿宋_GB2312" w:cs="DengXian-Regular"/>
          <w:sz w:val="32"/>
          <w:szCs w:val="32"/>
        </w:rPr>
        <w:t>2019</w:t>
      </w:r>
      <w:r>
        <w:rPr>
          <w:rFonts w:hint="eastAsia" w:ascii="仿宋_GB2312" w:eastAsia="仿宋_GB2312" w:cs="DengXian-Regular"/>
          <w:sz w:val="32"/>
          <w:szCs w:val="32"/>
        </w:rPr>
        <w:t>年，在区委、区政府的坚强领导下，深入学习贯彻落实党的十九大精神，紧紧围绕努力成为三个走在前列的示范区、争做三个努力建成的排头兵和建设国际化沿海强市的主力军这一大局，牢牢把握“民生为本、人才优先”的工作主线，按照“四个干”的要求，深入推进“八个着力”，全局上下攻坚克难，奋发作为，各项工作取得新的进展。</w:t>
      </w:r>
    </w:p>
    <w:p>
      <w:pPr>
        <w:adjustRightInd w:val="0"/>
        <w:snapToGrid w:val="0"/>
        <w:spacing w:line="580" w:lineRule="exact"/>
        <w:ind w:firstLine="640" w:firstLineChars="200"/>
        <w:rPr>
          <w:rFonts w:hint="eastAsia" w:ascii="仿宋_GB2312" w:eastAsia="仿宋_GB2312" w:cs="DengXian-Regular"/>
          <w:sz w:val="32"/>
          <w:szCs w:val="32"/>
          <w:highlight w:val="none"/>
          <w:lang w:val="en-US" w:eastAsia="zh-CN"/>
        </w:rPr>
      </w:pPr>
      <w:r>
        <w:rPr>
          <w:rFonts w:hint="eastAsia" w:ascii="仿宋_GB2312" w:eastAsia="仿宋_GB2312" w:cs="DengXian-Regular"/>
          <w:sz w:val="32"/>
          <w:szCs w:val="32"/>
          <w:highlight w:val="none"/>
          <w:lang w:val="en-US" w:eastAsia="zh-CN"/>
        </w:rPr>
        <w:t>绩效评价结果：</w:t>
      </w:r>
    </w:p>
    <w:p>
      <w:pPr>
        <w:adjustRightInd w:val="0"/>
        <w:snapToGrid w:val="0"/>
        <w:spacing w:line="580" w:lineRule="exact"/>
        <w:ind w:firstLine="640" w:firstLineChars="200"/>
        <w:rPr>
          <w:rFonts w:ascii="仿宋_GB2312" w:eastAsia="仿宋_GB2312" w:cs="DengXian-Regular"/>
          <w:sz w:val="32"/>
          <w:szCs w:val="32"/>
          <w:highlight w:val="none"/>
        </w:rPr>
      </w:pPr>
      <w:r>
        <w:rPr>
          <w:rFonts w:hint="eastAsia" w:ascii="仿宋_GB2312" w:eastAsia="仿宋_GB2312" w:cs="DengXian-Regular"/>
          <w:sz w:val="32"/>
          <w:szCs w:val="32"/>
          <w:highlight w:val="none"/>
          <w:lang w:val="en-US" w:eastAsia="zh-CN"/>
        </w:rPr>
        <w:t>2019年我部门在区委、区政府及上级主管部门领导下，通过全体人社干部的共同努力，</w:t>
      </w:r>
      <w:r>
        <w:rPr>
          <w:rFonts w:hint="eastAsia" w:ascii="仿宋_GB2312" w:eastAsia="仿宋_GB2312" w:cs="DengXian-Regular"/>
          <w:sz w:val="32"/>
          <w:szCs w:val="32"/>
          <w:highlight w:val="none"/>
        </w:rPr>
        <w:t>在人力资源和社会保障各项工作方面，我单位均保质保量按时完成了任务，</w:t>
      </w:r>
      <w:r>
        <w:rPr>
          <w:rFonts w:hint="eastAsia" w:ascii="仿宋_GB2312" w:eastAsia="仿宋_GB2312" w:cs="DengXian-Regular"/>
          <w:sz w:val="32"/>
          <w:szCs w:val="32"/>
          <w:highlight w:val="none"/>
          <w:lang w:val="en-US" w:eastAsia="zh-CN"/>
        </w:rPr>
        <w:t>按照年初预算绩效目标，强化资金绩效管理，使用项目资金产生了很大的社会效益，资金使用达到既定目标，</w:t>
      </w:r>
      <w:r>
        <w:rPr>
          <w:rFonts w:hint="eastAsia" w:ascii="仿宋_GB2312" w:eastAsia="仿宋_GB2312" w:cs="DengXian-Regular"/>
          <w:sz w:val="32"/>
          <w:szCs w:val="32"/>
          <w:highlight w:val="none"/>
        </w:rPr>
        <w:t>总体绩效评价为优秀。</w:t>
      </w:r>
    </w:p>
    <w:p>
      <w:pPr>
        <w:adjustRightInd w:val="0"/>
        <w:snapToGrid w:val="0"/>
        <w:spacing w:line="580" w:lineRule="exact"/>
        <w:ind w:firstLine="640" w:firstLineChars="200"/>
        <w:rPr>
          <w:rFonts w:hint="eastAsia" w:ascii="仿宋_GB2312" w:eastAsia="仿宋_GB2312" w:cs="DengXian-Regular"/>
          <w:sz w:val="32"/>
          <w:szCs w:val="32"/>
        </w:rPr>
      </w:pPr>
    </w:p>
    <w:p>
      <w:pPr>
        <w:numPr>
          <w:ilvl w:val="0"/>
          <w:numId w:val="2"/>
        </w:num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预算项目绩效自评选例</w:t>
      </w:r>
    </w:p>
    <w:p>
      <w:pPr>
        <w:widowControl/>
        <w:spacing w:line="448" w:lineRule="atLeast"/>
        <w:ind w:firstLine="472"/>
        <w:rPr>
          <w:rFonts w:ascii="仿宋_GB2312" w:eastAsia="仿宋_GB2312" w:cs="DengXian-Regular"/>
          <w:sz w:val="32"/>
          <w:szCs w:val="32"/>
        </w:rPr>
      </w:pPr>
      <w:r>
        <w:rPr>
          <w:rFonts w:hint="eastAsia" w:ascii="仿宋_GB2312" w:eastAsia="仿宋_GB2312" w:cs="DengXian-Regular"/>
          <w:sz w:val="32"/>
          <w:szCs w:val="32"/>
        </w:rPr>
        <w:t>引进各类高层人才</w:t>
      </w:r>
      <w:r>
        <w:rPr>
          <w:rFonts w:ascii="仿宋_GB2312" w:eastAsia="仿宋_GB2312" w:cs="DengXian-Regular"/>
          <w:sz w:val="32"/>
          <w:szCs w:val="32"/>
        </w:rPr>
        <w:t>104</w:t>
      </w:r>
      <w:r>
        <w:rPr>
          <w:rFonts w:hint="eastAsia" w:ascii="仿宋_GB2312" w:eastAsia="仿宋_GB2312" w:cs="DengXian-Regular"/>
          <w:sz w:val="32"/>
          <w:szCs w:val="32"/>
        </w:rPr>
        <w:t>人，引进人工智能、大数据等领域人才</w:t>
      </w:r>
      <w:r>
        <w:rPr>
          <w:rFonts w:ascii="仿宋_GB2312" w:eastAsia="仿宋_GB2312" w:cs="DengXian-Regular"/>
          <w:sz w:val="32"/>
          <w:szCs w:val="32"/>
        </w:rPr>
        <w:t>67</w:t>
      </w:r>
      <w:r>
        <w:rPr>
          <w:rFonts w:hint="eastAsia" w:ascii="仿宋_GB2312" w:eastAsia="仿宋_GB2312" w:cs="DengXian-Regular"/>
          <w:sz w:val="32"/>
          <w:szCs w:val="32"/>
        </w:rPr>
        <w:t>人，分别完成目标任务的</w:t>
      </w:r>
      <w:r>
        <w:rPr>
          <w:rFonts w:ascii="仿宋_GB2312" w:eastAsia="仿宋_GB2312" w:cs="DengXian-Regular"/>
          <w:sz w:val="32"/>
          <w:szCs w:val="32"/>
        </w:rPr>
        <w:t>115.6%</w:t>
      </w:r>
      <w:r>
        <w:rPr>
          <w:rFonts w:hint="eastAsia" w:ascii="仿宋_GB2312" w:eastAsia="仿宋_GB2312" w:cs="DengXian-Regular"/>
          <w:sz w:val="32"/>
          <w:szCs w:val="32"/>
        </w:rPr>
        <w:t>和</w:t>
      </w:r>
      <w:r>
        <w:rPr>
          <w:rFonts w:ascii="仿宋_GB2312" w:eastAsia="仿宋_GB2312" w:cs="DengXian-Regular"/>
          <w:sz w:val="32"/>
          <w:szCs w:val="32"/>
        </w:rPr>
        <w:t>103%</w:t>
      </w:r>
      <w:r>
        <w:rPr>
          <w:rFonts w:hint="eastAsia" w:ascii="仿宋_GB2312" w:eastAsia="仿宋_GB2312" w:cs="DengXian-Regular"/>
          <w:sz w:val="32"/>
          <w:szCs w:val="32"/>
        </w:rPr>
        <w:t>。社会保障卡持卡人数</w:t>
      </w:r>
      <w:r>
        <w:rPr>
          <w:rFonts w:ascii="仿宋_GB2312" w:eastAsia="仿宋_GB2312" w:cs="DengXian-Regular"/>
          <w:sz w:val="32"/>
          <w:szCs w:val="32"/>
        </w:rPr>
        <w:t>24.7</w:t>
      </w:r>
      <w:r>
        <w:rPr>
          <w:rFonts w:hint="eastAsia" w:ascii="仿宋_GB2312" w:eastAsia="仿宋_GB2312" w:cs="DengXian-Regular"/>
          <w:sz w:val="32"/>
          <w:szCs w:val="32"/>
        </w:rPr>
        <w:t>万人，完成目标任务的</w:t>
      </w:r>
      <w:r>
        <w:rPr>
          <w:rFonts w:ascii="仿宋_GB2312" w:eastAsia="仿宋_GB2312" w:cs="DengXian-Regular"/>
          <w:sz w:val="32"/>
          <w:szCs w:val="32"/>
        </w:rPr>
        <w:t>100.8%</w:t>
      </w:r>
    </w:p>
    <w:p>
      <w:pPr>
        <w:widowControl/>
        <w:spacing w:line="448" w:lineRule="atLeast"/>
        <w:ind w:firstLine="472"/>
        <w:rPr>
          <w:rFonts w:ascii="仿宋_GB2312" w:eastAsia="仿宋_GB2312" w:cs="DengXian-Regular"/>
          <w:sz w:val="32"/>
          <w:szCs w:val="32"/>
        </w:rPr>
      </w:pPr>
      <w:r>
        <w:rPr>
          <w:rFonts w:hint="eastAsia" w:ascii="仿宋_GB2312" w:eastAsia="仿宋_GB2312" w:cs="DengXian-Regular"/>
          <w:sz w:val="32"/>
          <w:szCs w:val="32"/>
        </w:rPr>
        <w:t>深化园区人事和薪酬制度改革。在全面完成岗位竞聘的基础上，对落聘等人员进行了妥善安置，既优化了园区的人员结构，又维护了大局的稳定。下放园区</w:t>
      </w:r>
      <w:r>
        <w:rPr>
          <w:rFonts w:ascii="仿宋_GB2312" w:eastAsia="仿宋_GB2312" w:cs="DengXian-Regular"/>
          <w:sz w:val="32"/>
          <w:szCs w:val="32"/>
        </w:rPr>
        <w:t>5-7</w:t>
      </w:r>
      <w:r>
        <w:rPr>
          <w:rFonts w:hint="eastAsia" w:ascii="仿宋_GB2312" w:eastAsia="仿宋_GB2312" w:cs="DengXian-Regular"/>
          <w:sz w:val="32"/>
          <w:szCs w:val="32"/>
        </w:rPr>
        <w:t>级岗（综合保税区</w:t>
      </w:r>
      <w:r>
        <w:rPr>
          <w:rFonts w:ascii="仿宋_GB2312" w:eastAsia="仿宋_GB2312" w:cs="DengXian-Regular"/>
          <w:sz w:val="32"/>
          <w:szCs w:val="32"/>
        </w:rPr>
        <w:t>6-7</w:t>
      </w:r>
      <w:r>
        <w:rPr>
          <w:rFonts w:hint="eastAsia" w:ascii="仿宋_GB2312" w:eastAsia="仿宋_GB2312" w:cs="DengXian-Regular"/>
          <w:sz w:val="32"/>
          <w:szCs w:val="32"/>
        </w:rPr>
        <w:t>级岗）聘任权和灵活使用权，进一步调动和激发园区干事创业的活力。</w:t>
      </w:r>
    </w:p>
    <w:p>
      <w:pPr>
        <w:widowControl/>
        <w:spacing w:line="448" w:lineRule="atLeast"/>
        <w:ind w:firstLine="472"/>
        <w:rPr>
          <w:rFonts w:ascii="仿宋_GB2312" w:eastAsia="仿宋_GB2312" w:cs="DengXian-Regular"/>
          <w:sz w:val="32"/>
          <w:szCs w:val="32"/>
        </w:rPr>
      </w:pPr>
      <w:r>
        <w:rPr>
          <w:rFonts w:hint="eastAsia" w:ascii="仿宋_GB2312" w:eastAsia="仿宋_GB2312" w:cs="DengXian-Regular"/>
          <w:sz w:val="32"/>
          <w:szCs w:val="32"/>
        </w:rPr>
        <w:t>扎实做好事业单位公开招聘工作。招聘教师</w:t>
      </w:r>
      <w:r>
        <w:rPr>
          <w:rFonts w:ascii="仿宋_GB2312" w:eastAsia="仿宋_GB2312" w:cs="DengXian-Regular"/>
          <w:sz w:val="32"/>
          <w:szCs w:val="32"/>
        </w:rPr>
        <w:t>70</w:t>
      </w:r>
      <w:r>
        <w:rPr>
          <w:rFonts w:hint="eastAsia" w:ascii="仿宋_GB2312" w:eastAsia="仿宋_GB2312" w:cs="DengXian-Regular"/>
          <w:sz w:val="32"/>
          <w:szCs w:val="32"/>
        </w:rPr>
        <w:t>名、公开选聘事业编制高层次人才</w:t>
      </w:r>
      <w:r>
        <w:rPr>
          <w:rFonts w:ascii="仿宋_GB2312" w:eastAsia="仿宋_GB2312" w:cs="DengXian-Regular"/>
          <w:sz w:val="32"/>
          <w:szCs w:val="32"/>
        </w:rPr>
        <w:t>10</w:t>
      </w:r>
      <w:r>
        <w:rPr>
          <w:rFonts w:hint="eastAsia" w:ascii="仿宋_GB2312" w:eastAsia="仿宋_GB2312" w:cs="DengXian-Regular"/>
          <w:sz w:val="32"/>
          <w:szCs w:val="32"/>
        </w:rPr>
        <w:t>名、高层次医疗卫生专业人才</w:t>
      </w:r>
      <w:r>
        <w:rPr>
          <w:rFonts w:ascii="仿宋_GB2312" w:eastAsia="仿宋_GB2312" w:cs="DengXian-Regular"/>
          <w:sz w:val="32"/>
          <w:szCs w:val="32"/>
        </w:rPr>
        <w:t>3</w:t>
      </w:r>
      <w:r>
        <w:rPr>
          <w:rFonts w:hint="eastAsia" w:ascii="仿宋_GB2312" w:eastAsia="仿宋_GB2312" w:cs="DengXian-Regular"/>
          <w:sz w:val="32"/>
          <w:szCs w:val="32"/>
        </w:rPr>
        <w:t>名，招聘其他事业单位工作人员</w:t>
      </w:r>
      <w:r>
        <w:rPr>
          <w:rFonts w:ascii="仿宋_GB2312" w:eastAsia="仿宋_GB2312" w:cs="DengXian-Regular"/>
          <w:sz w:val="32"/>
          <w:szCs w:val="32"/>
        </w:rPr>
        <w:t>120</w:t>
      </w:r>
      <w:r>
        <w:rPr>
          <w:rFonts w:hint="eastAsia" w:ascii="仿宋_GB2312" w:eastAsia="仿宋_GB2312" w:cs="DengXian-Regular"/>
          <w:sz w:val="32"/>
          <w:szCs w:val="32"/>
        </w:rPr>
        <w:t>名。五是做好职称评聘工作。对</w:t>
      </w:r>
      <w:r>
        <w:rPr>
          <w:rFonts w:ascii="仿宋_GB2312" w:eastAsia="仿宋_GB2312" w:cs="DengXian-Regular"/>
          <w:sz w:val="32"/>
          <w:szCs w:val="32"/>
        </w:rPr>
        <w:t>2018</w:t>
      </w:r>
      <w:r>
        <w:rPr>
          <w:rFonts w:hint="eastAsia" w:ascii="仿宋_GB2312" w:eastAsia="仿宋_GB2312" w:cs="DengXian-Regular"/>
          <w:sz w:val="32"/>
          <w:szCs w:val="32"/>
        </w:rPr>
        <w:t>年</w:t>
      </w:r>
      <w:r>
        <w:rPr>
          <w:rFonts w:ascii="仿宋_GB2312" w:eastAsia="仿宋_GB2312" w:cs="DengXian-Regular"/>
          <w:sz w:val="32"/>
          <w:szCs w:val="32"/>
        </w:rPr>
        <w:t>12</w:t>
      </w:r>
      <w:r>
        <w:rPr>
          <w:rFonts w:hint="eastAsia" w:ascii="仿宋_GB2312" w:eastAsia="仿宋_GB2312" w:cs="DengXian-Regular"/>
          <w:sz w:val="32"/>
          <w:szCs w:val="32"/>
        </w:rPr>
        <w:t>月</w:t>
      </w:r>
      <w:r>
        <w:rPr>
          <w:rFonts w:ascii="仿宋_GB2312" w:eastAsia="仿宋_GB2312" w:cs="DengXian-Regular"/>
          <w:sz w:val="32"/>
          <w:szCs w:val="32"/>
        </w:rPr>
        <w:t>31</w:t>
      </w:r>
      <w:r>
        <w:rPr>
          <w:rFonts w:hint="eastAsia" w:ascii="仿宋_GB2312" w:eastAsia="仿宋_GB2312" w:cs="DengXian-Regular"/>
          <w:sz w:val="32"/>
          <w:szCs w:val="32"/>
        </w:rPr>
        <w:t>日在岗的事业单位专业技术人员进行岗位聘用，共涉及</w:t>
      </w:r>
      <w:r>
        <w:rPr>
          <w:rFonts w:ascii="仿宋_GB2312" w:eastAsia="仿宋_GB2312" w:cs="DengXian-Regular"/>
          <w:sz w:val="32"/>
          <w:szCs w:val="32"/>
        </w:rPr>
        <w:t>36</w:t>
      </w:r>
      <w:r>
        <w:rPr>
          <w:rFonts w:hint="eastAsia" w:ascii="仿宋_GB2312" w:eastAsia="仿宋_GB2312" w:cs="DengXian-Regular"/>
          <w:sz w:val="32"/>
          <w:szCs w:val="32"/>
        </w:rPr>
        <w:t>个事业单位的在岗人员</w:t>
      </w:r>
      <w:r>
        <w:rPr>
          <w:rFonts w:ascii="仿宋_GB2312" w:eastAsia="仿宋_GB2312" w:cs="DengXian-Regular"/>
          <w:sz w:val="32"/>
          <w:szCs w:val="32"/>
        </w:rPr>
        <w:t>2954</w:t>
      </w:r>
      <w:r>
        <w:rPr>
          <w:rFonts w:hint="eastAsia" w:ascii="仿宋_GB2312" w:eastAsia="仿宋_GB2312" w:cs="DengXian-Regular"/>
          <w:sz w:val="32"/>
          <w:szCs w:val="32"/>
        </w:rPr>
        <w:t>人；扎实做好中高级职称申报审查工作，上报高职</w:t>
      </w:r>
      <w:r>
        <w:rPr>
          <w:rFonts w:ascii="仿宋_GB2312" w:eastAsia="仿宋_GB2312" w:cs="DengXian-Regular"/>
          <w:sz w:val="32"/>
          <w:szCs w:val="32"/>
        </w:rPr>
        <w:t>114</w:t>
      </w:r>
      <w:r>
        <w:rPr>
          <w:rFonts w:hint="eastAsia" w:ascii="仿宋_GB2312" w:eastAsia="仿宋_GB2312" w:cs="DengXian-Regular"/>
          <w:sz w:val="32"/>
          <w:szCs w:val="32"/>
        </w:rPr>
        <w:t>人、中职</w:t>
      </w:r>
      <w:r>
        <w:rPr>
          <w:rFonts w:ascii="仿宋_GB2312" w:eastAsia="仿宋_GB2312" w:cs="DengXian-Regular"/>
          <w:sz w:val="32"/>
          <w:szCs w:val="32"/>
        </w:rPr>
        <w:t>183</w:t>
      </w:r>
      <w:r>
        <w:rPr>
          <w:rFonts w:hint="eastAsia" w:ascii="仿宋_GB2312" w:eastAsia="仿宋_GB2312" w:cs="DengXian-Regular"/>
          <w:sz w:val="32"/>
          <w:szCs w:val="32"/>
        </w:rPr>
        <w:t>人。</w:t>
      </w:r>
    </w:p>
    <w:p>
      <w:pPr>
        <w:widowControl/>
        <w:spacing w:line="448" w:lineRule="atLeast"/>
        <w:ind w:firstLine="472"/>
        <w:rPr>
          <w:rFonts w:ascii="仿宋_GB2312" w:eastAsia="仿宋_GB2312" w:cs="DengXian-Regular"/>
          <w:sz w:val="32"/>
          <w:szCs w:val="32"/>
        </w:rPr>
      </w:pPr>
      <w:r>
        <w:rPr>
          <w:rFonts w:hint="eastAsia" w:ascii="仿宋_GB2312" w:eastAsia="仿宋_GB2312" w:cs="DengXian-Regular"/>
          <w:sz w:val="32"/>
          <w:szCs w:val="32"/>
        </w:rPr>
        <w:t>承担的国开区综评指标，职业技能培训机构数量达到</w:t>
      </w:r>
      <w:r>
        <w:rPr>
          <w:rFonts w:ascii="仿宋_GB2312" w:eastAsia="仿宋_GB2312" w:cs="DengXian-Regular"/>
          <w:sz w:val="32"/>
          <w:szCs w:val="32"/>
        </w:rPr>
        <w:t>10</w:t>
      </w:r>
      <w:r>
        <w:rPr>
          <w:rFonts w:hint="eastAsia" w:ascii="仿宋_GB2312" w:eastAsia="仿宋_GB2312" w:cs="DengXian-Regular"/>
          <w:sz w:val="32"/>
          <w:szCs w:val="32"/>
        </w:rPr>
        <w:t>家，硕士及以上学历人才占比</w:t>
      </w:r>
      <w:r>
        <w:rPr>
          <w:rFonts w:ascii="仿宋_GB2312" w:eastAsia="仿宋_GB2312" w:cs="DengXian-Regular"/>
          <w:sz w:val="32"/>
          <w:szCs w:val="32"/>
        </w:rPr>
        <w:t>10.9%</w:t>
      </w:r>
      <w:r>
        <w:rPr>
          <w:rFonts w:hint="eastAsia" w:ascii="仿宋_GB2312" w:eastAsia="仿宋_GB2312" w:cs="DengXian-Regular"/>
          <w:sz w:val="32"/>
          <w:szCs w:val="32"/>
        </w:rPr>
        <w:t>，具有高级职称的专业技术人才占比</w:t>
      </w:r>
      <w:r>
        <w:rPr>
          <w:rFonts w:ascii="仿宋_GB2312" w:eastAsia="仿宋_GB2312" w:cs="DengXian-Regular"/>
          <w:sz w:val="32"/>
          <w:szCs w:val="32"/>
        </w:rPr>
        <w:t>10.6%</w:t>
      </w:r>
      <w:r>
        <w:rPr>
          <w:rFonts w:hint="eastAsia" w:ascii="仿宋_GB2312" w:eastAsia="仿宋_GB2312" w:cs="DengXian-Regular"/>
          <w:sz w:val="32"/>
          <w:szCs w:val="32"/>
        </w:rPr>
        <w:t>，高技能人才占比</w:t>
      </w:r>
      <w:r>
        <w:rPr>
          <w:rFonts w:ascii="仿宋_GB2312" w:eastAsia="仿宋_GB2312" w:cs="DengXian-Regular"/>
          <w:sz w:val="32"/>
          <w:szCs w:val="32"/>
        </w:rPr>
        <w:t>18.1%</w:t>
      </w:r>
      <w:r>
        <w:rPr>
          <w:rFonts w:hint="eastAsia" w:ascii="仿宋_GB2312" w:eastAsia="仿宋_GB2312" w:cs="DengXian-Regular"/>
          <w:sz w:val="32"/>
          <w:szCs w:val="32"/>
        </w:rPr>
        <w:t>，全部达到区政府下达指标要求。</w:t>
      </w:r>
    </w:p>
    <w:p>
      <w:pPr>
        <w:adjustRightInd w:val="0"/>
        <w:snapToGrid w:val="0"/>
        <w:spacing w:line="580" w:lineRule="exact"/>
        <w:ind w:firstLine="640" w:firstLineChars="200"/>
        <w:rPr>
          <w:rFonts w:ascii="仿宋_GB2312" w:eastAsia="仿宋_GB2312" w:cs="DengXian-Regular"/>
          <w:sz w:val="32"/>
          <w:szCs w:val="32"/>
          <w:highlight w:val="yellow"/>
        </w:rPr>
      </w:pPr>
      <w:r>
        <w:rPr>
          <w:rFonts w:hint="eastAsia" w:ascii="仿宋_GB2312" w:eastAsia="仿宋_GB2312" w:cs="DengXian-Regular"/>
          <w:sz w:val="32"/>
          <w:szCs w:val="32"/>
        </w:rPr>
        <w:t>我单位保质保量按时完成了各项任务，总体绩效评价为优秀。</w:t>
      </w:r>
    </w:p>
    <w:p>
      <w:pPr>
        <w:keepNext/>
        <w:keepLines/>
        <w:snapToGrid w:val="0"/>
        <w:spacing w:line="580" w:lineRule="exact"/>
        <w:ind w:firstLine="640" w:firstLineChars="200"/>
        <w:outlineLvl w:val="1"/>
        <w:rPr>
          <w:rFonts w:ascii="黑体" w:hAnsi="Calibri" w:eastAsia="黑体"/>
          <w:sz w:val="32"/>
          <w:szCs w:val="32"/>
        </w:rPr>
      </w:pPr>
      <w:r>
        <w:rPr>
          <w:rFonts w:hint="eastAsia" w:ascii="黑体" w:hAnsi="Calibri" w:eastAsia="黑体"/>
          <w:sz w:val="32"/>
          <w:szCs w:val="32"/>
        </w:rPr>
        <w:t>七、其他重要事项的说明</w:t>
      </w:r>
    </w:p>
    <w:p>
      <w:pPr>
        <w:keepNext/>
        <w:keepLines/>
        <w:snapToGrid w:val="0"/>
        <w:spacing w:line="580" w:lineRule="exact"/>
        <w:ind w:firstLine="643" w:firstLineChars="200"/>
        <w:outlineLvl w:val="2"/>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（一）机关运行经费情况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年度机关运行经费支出</w:t>
      </w:r>
      <w:r>
        <w:rPr>
          <w:rFonts w:ascii="仿宋_GB2312" w:hAnsi="Times New Roman" w:eastAsia="仿宋_GB2312" w:cs="DengXian-Regular"/>
          <w:sz w:val="32"/>
          <w:szCs w:val="32"/>
        </w:rPr>
        <w:t>80.14</w:t>
      </w:r>
      <w:r>
        <w:rPr>
          <w:rFonts w:hint="eastAsia" w:ascii="仿宋_GB2312" w:hAnsi="Times New Roman" w:eastAsia="仿宋_GB2312" w:cs="DengXian-Regular"/>
          <w:sz w:val="32"/>
          <w:szCs w:val="32"/>
        </w:rPr>
        <w:t>万元，比</w:t>
      </w:r>
      <w:r>
        <w:rPr>
          <w:rFonts w:ascii="仿宋_GB2312" w:hAnsi="Times New Roman" w:eastAsia="仿宋_GB2312" w:cs="DengXian-Regular"/>
          <w:sz w:val="32"/>
          <w:szCs w:val="32"/>
        </w:rPr>
        <w:t>2018</w:t>
      </w:r>
      <w:r>
        <w:rPr>
          <w:rFonts w:hint="eastAsia" w:ascii="仿宋_GB2312" w:hAnsi="Times New Roman" w:eastAsia="仿宋_GB2312" w:cs="DengXian-Regular"/>
          <w:sz w:val="32"/>
          <w:szCs w:val="32"/>
        </w:rPr>
        <w:t>年度（</w:t>
      </w:r>
      <w:r>
        <w:rPr>
          <w:rFonts w:ascii="仿宋_GB2312" w:hAnsi="Times New Roman" w:eastAsia="仿宋_GB2312" w:cs="DengXian-Regular"/>
          <w:sz w:val="32"/>
          <w:szCs w:val="32"/>
        </w:rPr>
        <w:t>200.48</w:t>
      </w:r>
      <w:r>
        <w:rPr>
          <w:rFonts w:hint="eastAsia" w:ascii="仿宋_GB2312" w:hAnsi="Times New Roman" w:eastAsia="仿宋_GB2312" w:cs="DengXian-Regular"/>
          <w:sz w:val="32"/>
          <w:szCs w:val="32"/>
        </w:rPr>
        <w:t>万元）减少</w:t>
      </w:r>
      <w:r>
        <w:rPr>
          <w:rFonts w:ascii="仿宋_GB2312" w:hAnsi="Times New Roman" w:eastAsia="仿宋_GB2312" w:cs="DengXian-Regular"/>
          <w:sz w:val="32"/>
          <w:szCs w:val="32"/>
        </w:rPr>
        <w:t>120.34</w:t>
      </w:r>
      <w:r>
        <w:rPr>
          <w:rFonts w:hint="eastAsia" w:ascii="仿宋_GB2312" w:hAnsi="Times New Roman" w:eastAsia="仿宋_GB2312" w:cs="DengXian-Regular"/>
          <w:sz w:val="32"/>
          <w:szCs w:val="32"/>
        </w:rPr>
        <w:t>万元，降低</w:t>
      </w:r>
      <w:r>
        <w:rPr>
          <w:rFonts w:ascii="仿宋_GB2312" w:hAnsi="Times New Roman" w:eastAsia="仿宋_GB2312" w:cs="DengXian-Regular"/>
          <w:sz w:val="32"/>
          <w:szCs w:val="32"/>
        </w:rPr>
        <w:t>60.03%</w:t>
      </w:r>
      <w:r>
        <w:rPr>
          <w:rFonts w:hint="eastAsia" w:ascii="仿宋_GB2312" w:hAnsi="Times New Roman" w:eastAsia="仿宋_GB2312" w:cs="DengXian-Regular"/>
          <w:sz w:val="32"/>
          <w:szCs w:val="32"/>
        </w:rPr>
        <w:t>。主要原因是</w:t>
      </w:r>
      <w:r>
        <w:rPr>
          <w:rFonts w:ascii="仿宋_GB2312" w:hAnsi="Times New Roman" w:eastAsia="仿宋_GB2312" w:cs="DengXian-Regular"/>
          <w:sz w:val="32"/>
          <w:szCs w:val="32"/>
        </w:rPr>
        <w:t>2018</w:t>
      </w:r>
      <w:r>
        <w:rPr>
          <w:rFonts w:hint="eastAsia" w:ascii="仿宋_GB2312" w:hAnsi="Times New Roman" w:eastAsia="仿宋_GB2312" w:cs="DengXian-Regular"/>
          <w:sz w:val="32"/>
          <w:szCs w:val="32"/>
        </w:rPr>
        <w:t>年度机关运行经费里包含了部分专项公用经费出，</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年执行政府会计制度，严格区分了日常公用经费和专项项目支出，</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年度的机关运行经费支出里只包含了日常公用经费内的对应指出，故两年数额相差较大。实际在日常公用经费对应的经济分类内，</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年度主要节约在电费、公务用车运行维护费两项，机关运行经费支出整体呈减少趋势。</w:t>
      </w:r>
    </w:p>
    <w:p>
      <w:pPr>
        <w:keepNext/>
        <w:keepLines/>
        <w:snapToGrid w:val="0"/>
        <w:spacing w:line="580" w:lineRule="exact"/>
        <w:ind w:firstLine="643" w:firstLineChars="200"/>
        <w:outlineLvl w:val="2"/>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（二）政府采购情况</w:t>
      </w:r>
    </w:p>
    <w:p>
      <w:pPr>
        <w:snapToGrid w:val="0"/>
        <w:spacing w:line="580" w:lineRule="exact"/>
        <w:ind w:firstLine="640" w:firstLineChars="200"/>
        <w:jc w:val="left"/>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年度政府采购支出总额</w:t>
      </w:r>
      <w:r>
        <w:rPr>
          <w:rFonts w:ascii="仿宋_GB2312" w:hAnsi="Times New Roman" w:eastAsia="仿宋_GB2312" w:cs="DengXian-Regular"/>
          <w:sz w:val="32"/>
          <w:szCs w:val="32"/>
        </w:rPr>
        <w:t>90.42</w:t>
      </w:r>
      <w:r>
        <w:rPr>
          <w:rFonts w:hint="eastAsia" w:ascii="仿宋_GB2312" w:hAnsi="Times New Roman" w:eastAsia="仿宋_GB2312" w:cs="DengXian-Regular"/>
          <w:sz w:val="32"/>
          <w:szCs w:val="32"/>
        </w:rPr>
        <w:t>万元，从采购类型来看，</w:t>
      </w:r>
      <w:r>
        <w:rPr>
          <w:rFonts w:hint="eastAsia" w:ascii="仿宋_GB2312" w:hAnsi="仿宋_GB2312" w:eastAsia="仿宋_GB2312" w:cs="仿宋_GB2312"/>
          <w:color w:val="000000"/>
          <w:kern w:val="0"/>
          <w:sz w:val="32"/>
          <w:szCs w:val="32"/>
        </w:rPr>
        <w:t>政府采购货物支出</w:t>
      </w:r>
      <w:r>
        <w:rPr>
          <w:rFonts w:ascii="仿宋_GB2312" w:hAnsi="仿宋_GB2312" w:eastAsia="仿宋_GB2312" w:cs="仿宋_GB2312"/>
          <w:color w:val="000000"/>
          <w:kern w:val="0"/>
          <w:sz w:val="32"/>
          <w:szCs w:val="32"/>
        </w:rPr>
        <w:t xml:space="preserve">40 </w:t>
      </w:r>
      <w:r>
        <w:rPr>
          <w:rFonts w:hint="eastAsia" w:ascii="仿宋_GB2312" w:hAnsi="仿宋_GB2312" w:eastAsia="仿宋_GB2312" w:cs="仿宋_GB2312"/>
          <w:color w:val="000000"/>
          <w:kern w:val="0"/>
          <w:sz w:val="32"/>
          <w:szCs w:val="32"/>
        </w:rPr>
        <w:t>万元、政府采购工程支出</w:t>
      </w:r>
      <w:r>
        <w:rPr>
          <w:rFonts w:ascii="仿宋_GB2312" w:hAnsi="仿宋_GB2312" w:eastAsia="仿宋_GB2312" w:cs="仿宋_GB2312"/>
          <w:color w:val="000000"/>
          <w:kern w:val="0"/>
          <w:sz w:val="32"/>
          <w:szCs w:val="32"/>
        </w:rPr>
        <w:t>0</w:t>
      </w:r>
      <w:r>
        <w:rPr>
          <w:rFonts w:hint="eastAsia" w:ascii="仿宋_GB2312" w:hAnsi="仿宋_GB2312" w:eastAsia="仿宋_GB2312" w:cs="仿宋_GB2312"/>
          <w:color w:val="000000"/>
          <w:kern w:val="0"/>
          <w:sz w:val="32"/>
          <w:szCs w:val="32"/>
        </w:rPr>
        <w:t>万元、政府采购服务支出</w:t>
      </w:r>
      <w:r>
        <w:rPr>
          <w:rFonts w:ascii="仿宋_GB2312" w:hAnsi="仿宋_GB2312" w:eastAsia="仿宋_GB2312" w:cs="仿宋_GB2312"/>
          <w:color w:val="000000"/>
          <w:kern w:val="0"/>
          <w:sz w:val="32"/>
          <w:szCs w:val="32"/>
        </w:rPr>
        <w:t xml:space="preserve"> 50.42</w:t>
      </w:r>
      <w:r>
        <w:rPr>
          <w:rFonts w:hint="eastAsia" w:ascii="仿宋_GB2312" w:hAnsi="仿宋_GB2312" w:eastAsia="仿宋_GB2312" w:cs="仿宋_GB2312"/>
          <w:color w:val="000000"/>
          <w:kern w:val="0"/>
          <w:sz w:val="32"/>
          <w:szCs w:val="32"/>
        </w:rPr>
        <w:t>万元。授予中小企业合同金</w:t>
      </w:r>
      <w:r>
        <w:rPr>
          <w:rFonts w:ascii="仿宋_GB2312" w:hAnsi="仿宋_GB2312" w:eastAsia="仿宋_GB2312" w:cs="仿宋_GB2312"/>
          <w:color w:val="000000"/>
          <w:kern w:val="0"/>
          <w:sz w:val="32"/>
          <w:szCs w:val="32"/>
        </w:rPr>
        <w:t>90.42</w:t>
      </w:r>
      <w:r>
        <w:rPr>
          <w:rFonts w:hint="eastAsia" w:ascii="仿宋_GB2312" w:hAnsi="仿宋_GB2312" w:eastAsia="仿宋_GB2312" w:cs="仿宋_GB2312"/>
          <w:color w:val="000000"/>
          <w:kern w:val="0"/>
          <w:sz w:val="32"/>
          <w:szCs w:val="32"/>
        </w:rPr>
        <w:t>万元，占政府采购支出总额的</w:t>
      </w:r>
      <w:r>
        <w:rPr>
          <w:rFonts w:ascii="仿宋_GB2312" w:hAnsi="仿宋_GB2312" w:eastAsia="仿宋_GB2312" w:cs="仿宋_GB2312"/>
          <w:color w:val="000000"/>
          <w:kern w:val="0"/>
          <w:sz w:val="32"/>
          <w:szCs w:val="32"/>
        </w:rPr>
        <w:t>100%</w:t>
      </w:r>
      <w:r>
        <w:rPr>
          <w:rFonts w:hint="eastAsia" w:ascii="仿宋_GB2312" w:hAnsi="仿宋_GB2312" w:eastAsia="仿宋_GB2312" w:cs="仿宋_GB2312"/>
          <w:color w:val="000000"/>
          <w:kern w:val="0"/>
          <w:sz w:val="32"/>
          <w:szCs w:val="32"/>
        </w:rPr>
        <w:t>，其中：授予小微企业合同金额</w:t>
      </w:r>
      <w:r>
        <w:rPr>
          <w:rFonts w:ascii="仿宋_GB2312" w:hAnsi="仿宋_GB2312" w:eastAsia="仿宋_GB2312" w:cs="仿宋_GB2312"/>
          <w:color w:val="000000"/>
          <w:kern w:val="0"/>
          <w:sz w:val="32"/>
          <w:szCs w:val="32"/>
        </w:rPr>
        <w:t>90.42</w:t>
      </w:r>
      <w:r>
        <w:rPr>
          <w:rFonts w:hint="eastAsia" w:ascii="仿宋_GB2312" w:hAnsi="仿宋_GB2312" w:eastAsia="仿宋_GB2312" w:cs="仿宋_GB2312"/>
          <w:color w:val="000000"/>
          <w:kern w:val="0"/>
          <w:sz w:val="32"/>
          <w:szCs w:val="32"/>
        </w:rPr>
        <w:t>万元，占政府采购支出总额的</w:t>
      </w:r>
      <w:r>
        <w:rPr>
          <w:rFonts w:ascii="仿宋_GB2312" w:hAnsi="仿宋_GB2312" w:eastAsia="仿宋_GB2312" w:cs="仿宋_GB2312"/>
          <w:color w:val="000000"/>
          <w:kern w:val="0"/>
          <w:sz w:val="32"/>
          <w:szCs w:val="32"/>
        </w:rPr>
        <w:t xml:space="preserve"> 100%</w:t>
      </w:r>
      <w:r>
        <w:rPr>
          <w:rFonts w:hint="eastAsia" w:ascii="仿宋_GB2312" w:hAnsi="仿宋_GB2312" w:eastAsia="仿宋_GB2312" w:cs="仿宋_GB2312"/>
          <w:color w:val="000000"/>
          <w:kern w:val="0"/>
          <w:sz w:val="32"/>
          <w:szCs w:val="32"/>
        </w:rPr>
        <w:t>。</w:t>
      </w:r>
    </w:p>
    <w:p>
      <w:pPr>
        <w:keepNext/>
        <w:keepLines/>
        <w:snapToGrid w:val="0"/>
        <w:spacing w:line="580" w:lineRule="exact"/>
        <w:ind w:firstLine="643" w:firstLineChars="200"/>
        <w:outlineLvl w:val="2"/>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（三）国有资产占用情况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截至</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w:t>
      </w:r>
      <w:r>
        <w:rPr>
          <w:rFonts w:ascii="仿宋_GB2312" w:hAnsi="Times New Roman" w:eastAsia="仿宋_GB2312" w:cs="DengXian-Regular"/>
          <w:sz w:val="32"/>
          <w:szCs w:val="32"/>
        </w:rPr>
        <w:t>12</w:t>
      </w:r>
      <w:r>
        <w:rPr>
          <w:rFonts w:hint="eastAsia" w:ascii="仿宋_GB2312" w:hAnsi="Times New Roman" w:eastAsia="仿宋_GB2312" w:cs="DengXian-Regular"/>
          <w:sz w:val="32"/>
          <w:szCs w:val="32"/>
        </w:rPr>
        <w:t>月</w:t>
      </w:r>
      <w:r>
        <w:rPr>
          <w:rFonts w:ascii="仿宋_GB2312" w:hAnsi="Times New Roman" w:eastAsia="仿宋_GB2312" w:cs="DengXian-Regular"/>
          <w:sz w:val="32"/>
          <w:szCs w:val="32"/>
        </w:rPr>
        <w:t>31</w:t>
      </w:r>
      <w:r>
        <w:rPr>
          <w:rFonts w:hint="eastAsia" w:ascii="仿宋_GB2312" w:hAnsi="Times New Roman" w:eastAsia="仿宋_GB2312" w:cs="DengXian-Regular"/>
          <w:sz w:val="32"/>
          <w:szCs w:val="32"/>
        </w:rPr>
        <w:t>日，本</w:t>
      </w:r>
      <w:r>
        <w:rPr>
          <w:rFonts w:hint="eastAsia" w:ascii="仿宋_GB2312" w:hAnsi="Times New Roman" w:eastAsia="仿宋_GB2312" w:cs="DengXian-Regular"/>
          <w:sz w:val="32"/>
          <w:szCs w:val="32"/>
          <w:lang w:val="en-US" w:eastAsia="zh-CN"/>
        </w:rPr>
        <w:t>单位</w:t>
      </w:r>
      <w:r>
        <w:rPr>
          <w:rFonts w:hint="eastAsia" w:ascii="仿宋_GB2312" w:hAnsi="Times New Roman" w:eastAsia="仿宋_GB2312" w:cs="DengXian-Regular"/>
          <w:sz w:val="32"/>
          <w:szCs w:val="32"/>
        </w:rPr>
        <w:t>共有车辆</w:t>
      </w:r>
      <w:r>
        <w:rPr>
          <w:rFonts w:hint="eastAsia" w:ascii="仿宋_GB2312" w:hAnsi="Times New Roman" w:eastAsia="仿宋_GB2312" w:cs="DengXian-Regular"/>
          <w:sz w:val="32"/>
          <w:szCs w:val="32"/>
          <w:lang w:val="en-US" w:eastAsia="zh-CN"/>
        </w:rPr>
        <w:t>3</w:t>
      </w:r>
      <w:r>
        <w:rPr>
          <w:rFonts w:hint="eastAsia" w:ascii="仿宋_GB2312" w:hAnsi="Times New Roman" w:eastAsia="仿宋_GB2312" w:cs="DengXian-Regular"/>
          <w:sz w:val="32"/>
          <w:szCs w:val="32"/>
        </w:rPr>
        <w:t>辆，与上年持平。其中，副部（省）级及以上领导用车</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辆，主要领导干部用车</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辆，机要通信用车</w:t>
      </w:r>
      <w:r>
        <w:rPr>
          <w:rFonts w:hint="eastAsia" w:ascii="仿宋_GB2312" w:hAnsi="Times New Roman" w:eastAsia="仿宋_GB2312" w:cs="DengXian-Regular"/>
          <w:sz w:val="32"/>
          <w:szCs w:val="32"/>
          <w:lang w:val="en-US" w:eastAsia="zh-CN"/>
        </w:rPr>
        <w:t>2</w:t>
      </w:r>
      <w:r>
        <w:rPr>
          <w:rFonts w:hint="eastAsia" w:ascii="仿宋_GB2312" w:hAnsi="Times New Roman" w:eastAsia="仿宋_GB2312" w:cs="DengXian-Regular"/>
          <w:sz w:val="32"/>
          <w:szCs w:val="32"/>
        </w:rPr>
        <w:t>辆，应急保障用车</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辆，执法执勤用车</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辆，特种专业技术用车</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辆，离退休干部用车</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辆，其他用车</w:t>
      </w:r>
      <w:r>
        <w:rPr>
          <w:rFonts w:ascii="仿宋_GB2312" w:hAnsi="Times New Roman" w:eastAsia="仿宋_GB2312" w:cs="DengXian-Regular"/>
          <w:sz w:val="32"/>
          <w:szCs w:val="32"/>
        </w:rPr>
        <w:t>1</w:t>
      </w:r>
      <w:r>
        <w:rPr>
          <w:rFonts w:hint="eastAsia" w:ascii="仿宋_GB2312" w:hAnsi="Times New Roman" w:eastAsia="仿宋_GB2312" w:cs="DengXian-Regular"/>
          <w:sz w:val="32"/>
          <w:szCs w:val="32"/>
        </w:rPr>
        <w:t>辆；</w:t>
      </w:r>
    </w:p>
    <w:p>
      <w:pPr>
        <w:adjustRightInd w:val="0"/>
        <w:snapToGrid w:val="0"/>
        <w:spacing w:line="580" w:lineRule="exact"/>
        <w:ind w:firstLine="640" w:firstLineChars="200"/>
        <w:rPr>
          <w:rFonts w:ascii="楷体_GB2312" w:hAnsi="Times New Roman" w:eastAsia="楷体_GB2312" w:cs="DengXian-Bold"/>
          <w:b/>
          <w:bCs/>
          <w:sz w:val="32"/>
          <w:szCs w:val="32"/>
        </w:rPr>
      </w:pPr>
      <w:r>
        <w:rPr>
          <w:rFonts w:hint="eastAsia" w:ascii="仿宋_GB2312" w:hAnsi="Times New Roman" w:eastAsia="仿宋_GB2312" w:cs="DengXian-Regular"/>
          <w:sz w:val="32"/>
          <w:szCs w:val="32"/>
        </w:rPr>
        <w:t>单位价值</w:t>
      </w:r>
      <w:r>
        <w:rPr>
          <w:rFonts w:ascii="仿宋_GB2312" w:hAnsi="TimesNewRomanPSMT" w:eastAsia="仿宋_GB2312" w:cs="TimesNewRomanPSMT"/>
          <w:sz w:val="32"/>
          <w:szCs w:val="32"/>
        </w:rPr>
        <w:t>50</w:t>
      </w:r>
      <w:r>
        <w:rPr>
          <w:rFonts w:hint="eastAsia" w:ascii="仿宋_GB2312" w:hAnsi="Times New Roman" w:eastAsia="仿宋_GB2312" w:cs="DengXian-Regular"/>
          <w:sz w:val="32"/>
          <w:szCs w:val="32"/>
        </w:rPr>
        <w:t>万元以上通用设备</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台（套），与上年持平</w:t>
      </w:r>
      <w:r>
        <w:rPr>
          <w:rFonts w:ascii="仿宋_GB2312" w:hAnsi="Times New Roman" w:eastAsia="仿宋_GB2312" w:cs="DengXian-Regular"/>
          <w:sz w:val="32"/>
          <w:szCs w:val="32"/>
        </w:rPr>
        <w:t xml:space="preserve"> </w:t>
      </w:r>
      <w:r>
        <w:rPr>
          <w:rFonts w:hint="eastAsia" w:ascii="仿宋_GB2312" w:hAnsi="Times New Roman" w:eastAsia="仿宋_GB2312" w:cs="DengXian-Regular"/>
          <w:sz w:val="32"/>
          <w:szCs w:val="32"/>
        </w:rPr>
        <w:t>，单位价值</w:t>
      </w:r>
      <w:r>
        <w:rPr>
          <w:rFonts w:ascii="仿宋_GB2312" w:hAnsi="TimesNewRomanPSMT" w:eastAsia="仿宋_GB2312" w:cs="TimesNewRomanPSMT"/>
          <w:sz w:val="32"/>
          <w:szCs w:val="32"/>
        </w:rPr>
        <w:t>100</w:t>
      </w:r>
      <w:r>
        <w:rPr>
          <w:rFonts w:hint="eastAsia" w:ascii="仿宋_GB2312" w:hAnsi="Times New Roman" w:eastAsia="仿宋_GB2312" w:cs="DengXian-Regular"/>
          <w:sz w:val="32"/>
          <w:szCs w:val="32"/>
        </w:rPr>
        <w:t>万元以上专用设备</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台（套），与上年持平。</w:t>
      </w:r>
    </w:p>
    <w:p>
      <w:pPr>
        <w:keepNext/>
        <w:keepLines/>
        <w:snapToGrid w:val="0"/>
        <w:spacing w:line="580" w:lineRule="exact"/>
        <w:ind w:firstLine="643" w:firstLineChars="200"/>
        <w:outlineLvl w:val="2"/>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（四）其他需要说明的情况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ascii="仿宋_GB2312" w:hAnsi="Times New Roman" w:eastAsia="仿宋_GB2312" w:cs="DengXian-Regular"/>
          <w:sz w:val="32"/>
          <w:szCs w:val="32"/>
        </w:rPr>
        <w:t xml:space="preserve">1. </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年度政府性基金预算财政拨款、国有资本经营预算财政拨款无收支及结转结余情况，故政府性基金预算财政拨款收入支出决算表、国有资本经营预算财政拨款支出决算表以空表列示。</w:t>
      </w:r>
    </w:p>
    <w:p>
      <w:pPr>
        <w:adjustRightInd w:val="0"/>
        <w:snapToGrid w:val="0"/>
        <w:spacing w:line="580" w:lineRule="exact"/>
        <w:ind w:firstLine="640" w:firstLineChars="200"/>
        <w:rPr>
          <w:rFonts w:ascii="仿宋_GB2312" w:hAnsi="Times New Roman" w:eastAsia="仿宋_GB2312" w:cs="DengXian-Regular"/>
          <w:sz w:val="32"/>
          <w:szCs w:val="32"/>
        </w:rPr>
      </w:pPr>
      <w:r>
        <w:rPr>
          <w:rFonts w:ascii="仿宋_GB2312" w:hAnsi="Times New Roman" w:eastAsia="仿宋_GB2312" w:cs="DengXian-Regular"/>
          <w:sz w:val="32"/>
          <w:szCs w:val="32"/>
        </w:rPr>
        <w:t xml:space="preserve">2. </w:t>
      </w:r>
      <w:r>
        <w:rPr>
          <w:rFonts w:hint="eastAsia" w:ascii="仿宋_GB2312" w:hAnsi="Times New Roman" w:eastAsia="仿宋_GB2312" w:cs="DengXian-Regular"/>
          <w:sz w:val="32"/>
          <w:szCs w:val="32"/>
        </w:rPr>
        <w:t>由于决算公开表格中金额数值应当保留两位小数，公开数据为四舍五入计算结果，个别数据合计项与分项之和存在小数点后差额，特此说明。</w:t>
      </w:r>
    </w:p>
    <w:p>
      <w:pPr>
        <w:widowControl/>
        <w:spacing w:line="580" w:lineRule="exact"/>
        <w:ind w:firstLine="883" w:firstLineChars="200"/>
        <w:jc w:val="left"/>
        <w:rPr>
          <w:rFonts w:ascii="宋体" w:hAnsi="宋体" w:eastAsia="宋体" w:cs="MS-UIGothic,Bold"/>
          <w:b/>
          <w:bCs/>
          <w:kern w:val="0"/>
          <w:sz w:val="44"/>
          <w:szCs w:val="44"/>
        </w:rPr>
        <w:sectPr>
          <w:type w:val="continuous"/>
          <w:pgSz w:w="11906" w:h="16838"/>
          <w:pgMar w:top="2098" w:right="1474" w:bottom="1984" w:left="1588" w:header="851" w:footer="992" w:gutter="0"/>
          <w:pgNumType w:fmt="numberInDash"/>
          <w:cols w:space="0" w:num="1"/>
          <w:docGrid w:type="lines" w:linePitch="312" w:charSpace="0"/>
        </w:sectPr>
      </w:pPr>
    </w:p>
    <w:p>
      <w:pPr>
        <w:jc w:val="center"/>
        <w:rPr>
          <w:rFonts w:ascii="黑体" w:hAnsi="黑体" w:eastAsia="黑体" w:cs="黑体"/>
          <w:sz w:val="56"/>
          <w:szCs w:val="72"/>
        </w:rPr>
      </w:pPr>
    </w:p>
    <w:p>
      <w:pPr>
        <w:jc w:val="center"/>
        <w:rPr>
          <w:rFonts w:ascii="黑体" w:hAnsi="黑体" w:eastAsia="黑体" w:cs="黑体"/>
          <w:sz w:val="56"/>
          <w:szCs w:val="72"/>
        </w:rPr>
        <w:sectPr>
          <w:type w:val="continuous"/>
          <w:pgSz w:w="11906" w:h="16838"/>
          <w:pgMar w:top="2041" w:right="1531" w:bottom="2041" w:left="1531" w:header="851" w:footer="992" w:gutter="0"/>
          <w:pgNumType w:fmt="numberInDash"/>
          <w:cols w:space="0" w:num="1"/>
          <w:titlePg/>
          <w:docGrid w:type="lines" w:linePitch="312" w:charSpace="0"/>
        </w:sectPr>
      </w:pPr>
    </w:p>
    <w:p>
      <w:pPr>
        <w:rPr>
          <w:rFonts w:ascii="黑体" w:hAnsi="黑体" w:eastAsia="黑体" w:cs="黑体"/>
          <w:sz w:val="56"/>
          <w:szCs w:val="72"/>
        </w:rPr>
        <w:sectPr>
          <w:type w:val="continuous"/>
          <w:pgSz w:w="11906" w:h="16838"/>
          <w:pgMar w:top="2041" w:right="1531" w:bottom="2041" w:left="1531" w:header="851" w:footer="992" w:gutter="0"/>
          <w:pgNumType w:fmt="numberInDash"/>
          <w:cols w:space="0" w:num="1"/>
          <w:titlePg/>
          <w:docGrid w:type="lines" w:linePitch="312" w:charSpace="0"/>
        </w:sectPr>
      </w:pPr>
      <w:r>
        <w:rPr>
          <w:rFonts w:ascii="黑体" w:hAnsi="黑体" w:eastAsia="黑体" w:cs="黑体"/>
          <w:sz w:val="56"/>
          <w:szCs w:val="72"/>
        </w:rPr>
        <w:br w:type="page"/>
      </w:r>
    </w:p>
    <w:p>
      <w:pP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sz w:val="72"/>
        </w:rPr>
      </w:pPr>
      <w:r>
        <w:pict>
          <v:shape id="_x0000_s1045" o:spid="_x0000_s1045" o:spt="202" type="#_x0000_t202" style="position:absolute;left:0pt;margin-left:-80.45pt;margin-top:34.8pt;height:263.1pt;width:613.65pt;z-index:251660288;v-text-anchor:middle;mso-width-relative:page;mso-height-relative:page;" fillcolor="#FFD966" filled="t" stroked="t" coordsize="21600,21600" o:gfxdata="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hub7J9sAAAAMAQAADwAAAAAAAAABACAAAAAiAAAAZHJzL2Rvd25yZXYueG1sUEsBAhQAFAAAAAgA&#10;h07iQGQ/W79bAgAAugQAAA4AAAAAAAAAAQAgAAAAKgEAAGRycy9lMm9Eb2MueG1sUEsFBgAAAAAG&#10;AAYAWQEAAPcFAAAAAA==&#10;">
            <v:path/>
            <v:fill type="pattern" on="t" focussize="0,0"/>
            <v:stroke weight="0.5pt" color="#FFD966" joinstyle="round"/>
            <v:imagedata o:title=""/>
            <o:lock v:ext="edit"/>
            <v:textbox>
              <w:txbxContent>
                <w:p>
                  <w:pPr>
                    <w:widowControl/>
                    <w:jc w:val="center"/>
                  </w:pPr>
                  <w:r>
                    <w:rPr>
                      <w:rFonts w:hint="eastAsia" w:ascii="黑体" w:hAnsi="黑体" w:eastAsia="黑体" w:cs="黑体"/>
                      <w:color w:val="000000"/>
                      <w:sz w:val="90"/>
                      <w:szCs w:val="90"/>
                    </w:rPr>
                    <w:t>第三部分</w:t>
                  </w:r>
                  <w:r>
                    <w:rPr>
                      <w:rFonts w:ascii="黑体" w:hAnsi="黑体" w:eastAsia="黑体" w:cs="黑体"/>
                      <w:color w:val="000000"/>
                      <w:sz w:val="90"/>
                      <w:szCs w:val="90"/>
                    </w:rPr>
                    <w:t xml:space="preserve"> </w:t>
                  </w:r>
                  <w:r>
                    <w:rPr>
                      <w:rFonts w:hint="eastAsia" w:ascii="黑体" w:hAnsi="黑体" w:eastAsia="黑体" w:cs="黑体"/>
                      <w:color w:val="000000"/>
                      <w:sz w:val="90"/>
                      <w:szCs w:val="90"/>
                    </w:rPr>
                    <w:t>相关名词解释</w:t>
                  </w:r>
                </w:p>
              </w:txbxContent>
            </v:textbox>
          </v:shape>
        </w:pict>
      </w:r>
    </w:p>
    <w:p/>
    <w:p/>
    <w:p/>
    <w:p/>
    <w:p/>
    <w:p/>
    <w:p/>
    <w:p/>
    <w:p/>
    <w:p/>
    <w:p/>
    <w:p/>
    <w:p/>
    <w:p>
      <w:pPr>
        <w:tabs>
          <w:tab w:val="left" w:pos="886"/>
        </w:tabs>
        <w:jc w:val="left"/>
        <w:sectPr>
          <w:headerReference r:id="rId7" w:type="first"/>
          <w:pgSz w:w="11906" w:h="16838"/>
          <w:pgMar w:top="2041" w:right="1531" w:bottom="2041" w:left="1531" w:header="851" w:footer="992" w:gutter="0"/>
          <w:pgNumType w:fmt="numberInDash"/>
          <w:cols w:space="0" w:num="1"/>
          <w:titlePg/>
          <w:docGrid w:type="lines" w:linePitch="312" w:charSpace="0"/>
        </w:sectPr>
      </w:pPr>
    </w:p>
    <w:p>
      <w:pPr>
        <w:rPr>
          <w:rFonts w:ascii="仿宋_GB2312" w:hAnsi="宋体" w:eastAsia="仿宋_GB2312" w:cs="ArialUnicodeMS"/>
          <w:sz w:val="32"/>
          <w:szCs w:val="32"/>
          <w:highlight w:val="yellow"/>
        </w:rPr>
      </w:pPr>
      <w:r>
        <w:rPr>
          <w:rFonts w:ascii="仿宋_GB2312" w:hAnsi="宋体" w:eastAsia="仿宋_GB2312" w:cs="ArialUnicodeMS"/>
          <w:sz w:val="32"/>
          <w:szCs w:val="32"/>
          <w:highlight w:val="yellow"/>
        </w:rPr>
        <w:br w:type="page"/>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（十）基本建设支出：</w:t>
      </w:r>
      <w:r>
        <w:rPr>
          <w:rFonts w:hint="eastAsia" w:ascii="仿宋_GB2312" w:hAnsi="宋体" w:eastAsia="仿宋_GB2312"/>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（十一）其他资本性支出：</w:t>
      </w:r>
      <w:r>
        <w:rPr>
          <w:rFonts w:hint="eastAsia" w:ascii="仿宋_GB2312" w:hAnsi="宋体" w:eastAsia="仿宋_GB2312"/>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填列单位公务用车车辆购置支出（含车辆购置税、牌照费）。</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jc w:val="left"/>
        <w:rPr>
          <w:rFonts w:ascii="仿宋_GB2312" w:hAnsi="Cambria" w:eastAsia="仿宋_GB2312" w:cs="ArialUnicodeMS"/>
          <w:kern w:val="0"/>
          <w:sz w:val="32"/>
          <w:szCs w:val="32"/>
        </w:r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
    <w:p/>
    <w:p/>
    <w:p/>
    <w:p/>
    <w:p/>
    <w:p/>
    <w:p/>
    <w:p/>
    <w:p/>
    <w:p>
      <w:pPr>
        <w:jc w:val="left"/>
        <w:sectPr>
          <w:headerReference r:id="rId8" w:type="default"/>
          <w:type w:val="continuous"/>
          <w:pgSz w:w="11906" w:h="16838"/>
          <w:pgMar w:top="2098" w:right="1474" w:bottom="1985" w:left="1588" w:header="851" w:footer="992" w:gutter="0"/>
          <w:pgNumType w:fmt="numberInDash"/>
          <w:cols w:space="425" w:num="1"/>
          <w:docGrid w:type="lines" w:linePitch="312" w:charSpace="0"/>
        </w:sectPr>
      </w:pPr>
    </w:p>
    <w:p>
      <w:pPr>
        <w:tabs>
          <w:tab w:val="left" w:pos="235"/>
        </w:tabs>
        <w:jc w:val="left"/>
        <w:sectPr>
          <w:pgSz w:w="11906" w:h="16838"/>
          <w:pgMar w:top="2098" w:right="1474" w:bottom="1985" w:left="1588" w:header="851" w:footer="992" w:gutter="0"/>
          <w:pgNumType w:fmt="numberInDash"/>
          <w:cols w:space="425" w:num="1"/>
          <w:docGrid w:type="lines" w:linePitch="312" w:charSpace="0"/>
        </w:sectPr>
      </w:pPr>
      <w:r>
        <w:pict>
          <v:shape id="_x0000_s1046" o:spid="_x0000_s1046" o:spt="202" type="#_x0000_t202" style="position:absolute;left:0pt;margin-left:-82.05pt;margin-top:135.85pt;height:263.1pt;width:613.65pt;z-index:-251666432;v-text-anchor:middle;mso-width-relative:page;mso-height-relative:page;" fillcolor="#FFD966" filled="t" stroked="t" coordsize="21600,21600" o:gfxdata="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l6t8a3AAAAA0BAAAPAAAAAAAAAAEAIAAAACIAAABkcnMvZG93bnJldi54bWxQSwECFAAUAAAA&#10;CACHTuJAew5iW1wCAAC6BAAADgAAAAAAAAABACAAAAArAQAAZHJzL2Uyb0RvYy54bWxQSwUGAAAA&#10;AAYABgBZAQAA+QUAAAAA&#10;">
            <v:path/>
            <v:fill type="pattern" on="t" focussize="0,0"/>
            <v:stroke weight="0.5pt" color="#FFD966" joinstyle="round"/>
            <v:imagedata o:title=""/>
            <o:lock v:ext="edit"/>
            <v:textbox>
              <w:txbxContent>
                <w:p>
                  <w:pPr>
                    <w:widowControl/>
                    <w:jc w:val="center"/>
                    <w:rPr>
                      <w:rFonts w:ascii="黑体" w:hAnsi="黑体" w:eastAsia="黑体" w:cs="黑体"/>
                      <w:color w:val="000000"/>
                      <w:sz w:val="90"/>
                      <w:szCs w:val="90"/>
                    </w:rPr>
                  </w:pPr>
                  <w:r>
                    <w:rPr>
                      <w:rFonts w:hint="eastAsia" w:ascii="黑体" w:hAnsi="黑体" w:eastAsia="黑体" w:cs="黑体"/>
                      <w:color w:val="000000"/>
                      <w:sz w:val="90"/>
                      <w:szCs w:val="90"/>
                    </w:rPr>
                    <w:t>第四部分</w:t>
                  </w:r>
                  <w:r>
                    <w:rPr>
                      <w:rFonts w:ascii="黑体" w:hAnsi="黑体" w:eastAsia="黑体" w:cs="黑体"/>
                      <w:color w:val="000000"/>
                      <w:sz w:val="90"/>
                      <w:szCs w:val="90"/>
                    </w:rPr>
                    <w:t xml:space="preserve"> </w:t>
                  </w:r>
                </w:p>
                <w:p>
                  <w:pPr>
                    <w:widowControl/>
                    <w:jc w:val="center"/>
                  </w:pPr>
                  <w:r>
                    <w:rPr>
                      <w:rFonts w:ascii="黑体" w:hAnsi="黑体" w:eastAsia="黑体" w:cs="黑体"/>
                      <w:color w:val="000000"/>
                      <w:sz w:val="90"/>
                      <w:szCs w:val="90"/>
                    </w:rPr>
                    <w:t>2019</w:t>
                  </w:r>
                  <w:r>
                    <w:rPr>
                      <w:rFonts w:hint="eastAsia" w:ascii="黑体" w:hAnsi="黑体" w:eastAsia="黑体" w:cs="黑体"/>
                      <w:color w:val="000000"/>
                      <w:sz w:val="90"/>
                      <w:szCs w:val="90"/>
                    </w:rPr>
                    <w:t>年度部门决算报表</w:t>
                  </w:r>
                </w:p>
              </w:txbxContent>
            </v:textbox>
          </v:shape>
        </w:pict>
      </w:r>
    </w:p>
    <w:p>
      <w:pPr>
        <w:tabs>
          <w:tab w:val="left" w:pos="886"/>
        </w:tabs>
        <w:jc w:val="left"/>
      </w:pPr>
    </w:p>
    <w:p>
      <w:pPr>
        <w:jc w:val="left"/>
      </w:pPr>
    </w:p>
    <w:tbl>
      <w:tblPr>
        <w:tblStyle w:val="7"/>
        <w:tblpPr w:leftFromText="180" w:rightFromText="180" w:vertAnchor="text" w:horzAnchor="page" w:tblpXSpec="center" w:tblpY="31"/>
        <w:tblOverlap w:val="never"/>
        <w:tblW w:w="9517" w:type="dxa"/>
        <w:jc w:val="center"/>
        <w:tblInd w:w="0" w:type="dxa"/>
        <w:tblLayout w:type="fixed"/>
        <w:tblCellMar>
          <w:top w:w="0" w:type="dxa"/>
          <w:left w:w="0" w:type="dxa"/>
          <w:bottom w:w="0" w:type="dxa"/>
          <w:right w:w="0" w:type="dxa"/>
        </w:tblCellMar>
      </w:tblPr>
      <w:tblGrid>
        <w:gridCol w:w="3236"/>
        <w:gridCol w:w="521"/>
        <w:gridCol w:w="210"/>
        <w:gridCol w:w="691"/>
        <w:gridCol w:w="3474"/>
        <w:gridCol w:w="541"/>
        <w:gridCol w:w="844"/>
      </w:tblGrid>
      <w:tr>
        <w:tblPrEx>
          <w:tblLayout w:type="fixed"/>
          <w:tblCellMar>
            <w:top w:w="0" w:type="dxa"/>
            <w:left w:w="0" w:type="dxa"/>
            <w:bottom w:w="0" w:type="dxa"/>
            <w:right w:w="0" w:type="dxa"/>
          </w:tblCellMar>
        </w:tblPrEx>
        <w:trPr>
          <w:trHeight w:val="489" w:hRule="atLeast"/>
          <w:jc w:val="center"/>
        </w:trPr>
        <w:tc>
          <w:tcPr>
            <w:tcW w:w="9517" w:type="dxa"/>
            <w:gridSpan w:val="7"/>
            <w:tcBorders>
              <w:top w:val="nil"/>
              <w:left w:val="nil"/>
              <w:bottom w:val="nil"/>
              <w:right w:val="nil"/>
            </w:tcBorders>
            <w:tcMar>
              <w:top w:w="15" w:type="dxa"/>
              <w:left w:w="15" w:type="dxa"/>
              <w:right w:w="15" w:type="dxa"/>
            </w:tcMar>
            <w:vAlign w:val="bottom"/>
          </w:tcPr>
          <w:p>
            <w:pPr>
              <w:spacing w:line="400" w:lineRule="exact"/>
              <w:jc w:val="center"/>
              <w:rPr>
                <w:rFonts w:ascii="黑体" w:hAnsi="宋体" w:eastAsia="黑体" w:cs="黑体"/>
                <w:color w:val="000000"/>
                <w:sz w:val="32"/>
                <w:szCs w:val="32"/>
              </w:rPr>
            </w:pPr>
            <w:r>
              <w:rPr>
                <w:rFonts w:hint="eastAsia" w:ascii="黑体" w:hAnsi="宋体" w:eastAsia="黑体" w:cs="黑体"/>
                <w:color w:val="000000"/>
                <w:kern w:val="0"/>
                <w:sz w:val="32"/>
                <w:szCs w:val="32"/>
              </w:rPr>
              <w:t>收入支出决算总表</w:t>
            </w:r>
          </w:p>
        </w:tc>
      </w:tr>
      <w:tr>
        <w:tblPrEx>
          <w:tblLayout w:type="fixed"/>
          <w:tblCellMar>
            <w:top w:w="0" w:type="dxa"/>
            <w:left w:w="0" w:type="dxa"/>
            <w:bottom w:w="0" w:type="dxa"/>
            <w:right w:w="0" w:type="dxa"/>
          </w:tblCellMar>
        </w:tblPrEx>
        <w:trPr>
          <w:trHeight w:val="205" w:hRule="atLeast"/>
          <w:jc w:val="center"/>
        </w:trPr>
        <w:tc>
          <w:tcPr>
            <w:tcW w:w="3236"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731" w:type="dxa"/>
            <w:gridSpan w:val="2"/>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69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4859" w:type="dxa"/>
            <w:gridSpan w:val="3"/>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01</w:t>
            </w:r>
            <w:r>
              <w:rPr>
                <w:rFonts w:hint="eastAsia" w:ascii="宋体" w:hAnsi="宋体" w:eastAsia="宋体" w:cs="宋体"/>
                <w:color w:val="000000"/>
                <w:kern w:val="0"/>
                <w:sz w:val="20"/>
                <w:szCs w:val="20"/>
              </w:rPr>
              <w:t>表</w:t>
            </w:r>
          </w:p>
        </w:tc>
      </w:tr>
      <w:tr>
        <w:tblPrEx>
          <w:tblLayout w:type="fixed"/>
          <w:tblCellMar>
            <w:top w:w="0" w:type="dxa"/>
            <w:left w:w="0" w:type="dxa"/>
            <w:bottom w:w="0" w:type="dxa"/>
            <w:right w:w="0" w:type="dxa"/>
          </w:tblCellMar>
        </w:tblPrEx>
        <w:trPr>
          <w:trHeight w:val="421" w:hRule="atLeast"/>
          <w:jc w:val="center"/>
        </w:trPr>
        <w:tc>
          <w:tcPr>
            <w:tcW w:w="4658" w:type="dxa"/>
            <w:gridSpan w:val="4"/>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r>
              <w:rPr>
                <w:rFonts w:hint="eastAsia" w:ascii="宋体" w:hAnsi="宋体" w:eastAsia="宋体" w:cs="宋体"/>
                <w:color w:val="000000"/>
                <w:kern w:val="0"/>
                <w:sz w:val="20"/>
                <w:szCs w:val="20"/>
              </w:rPr>
              <w:t>部门：唐山市曹妃甸区人力资源和社会保障局</w:t>
            </w:r>
          </w:p>
        </w:tc>
        <w:tc>
          <w:tcPr>
            <w:tcW w:w="4859" w:type="dxa"/>
            <w:gridSpan w:val="3"/>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Layout w:type="fixed"/>
          <w:tblCellMar>
            <w:top w:w="0" w:type="dxa"/>
            <w:left w:w="0" w:type="dxa"/>
            <w:bottom w:w="0" w:type="dxa"/>
            <w:right w:w="0" w:type="dxa"/>
          </w:tblCellMar>
        </w:tblPrEx>
        <w:trPr>
          <w:trHeight w:val="284" w:hRule="atLeast"/>
          <w:jc w:val="center"/>
        </w:trPr>
        <w:tc>
          <w:tcPr>
            <w:tcW w:w="4658"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收入</w:t>
            </w:r>
          </w:p>
        </w:tc>
        <w:tc>
          <w:tcPr>
            <w:tcW w:w="4859"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支出</w:t>
            </w:r>
          </w:p>
        </w:tc>
      </w:tr>
      <w:tr>
        <w:tblPrEx>
          <w:tblLayout w:type="fixed"/>
          <w:tblCellMar>
            <w:top w:w="0" w:type="dxa"/>
            <w:left w:w="0" w:type="dxa"/>
            <w:bottom w:w="0" w:type="dxa"/>
            <w:right w:w="0" w:type="dxa"/>
          </w:tblCellMar>
        </w:tblPrEx>
        <w:trPr>
          <w:trHeight w:val="770"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行次</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金额</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行次</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金额</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一、一般公共预算财政拨款收入</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1,571.88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一、一般公共服务支出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29</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二、政府性基金预算财政拨款收入</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二、外交支出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30</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r>
      <w:tr>
        <w:tblPrEx>
          <w:tblLayout w:type="fixed"/>
          <w:tblCellMar>
            <w:top w:w="0" w:type="dxa"/>
            <w:left w:w="0" w:type="dxa"/>
            <w:bottom w:w="0" w:type="dxa"/>
            <w:right w:w="0" w:type="dxa"/>
          </w:tblCellMar>
        </w:tblPrEx>
        <w:trPr>
          <w:trHeight w:val="182"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三、上级补助收入</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三、国防支出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31</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四、事业收入</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四、公共安全支出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32</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五、经营收入</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五、教育支出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33</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六、附属单位上缴收入</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6</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六、科学技术支出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34</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七、其他收入</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7</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22.28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七、文化旅游体育与传媒支出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35</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8</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八、社会保障和就业支出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36</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1,287.93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9</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九、卫生健康支出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37</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66.74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10</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十、节能环保支出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38</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11</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十一、城乡社区支出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39</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12</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十二、农林水支出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40</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13</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十三、交通运输支出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41</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14</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十四、资源勘探信息等支出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42</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15</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十五、商业服务业等支出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43</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16</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十六、金融支出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44</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17</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十七、援助其他地区支出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45</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18</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十八、自然资源海洋气象等支出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46</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19</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十九、住房保障支出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47</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49.31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20</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二十、粮油物资储备支出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48</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21</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二十一、灾害防治及应急管理支出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49</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22</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二十二、其他支出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50</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23</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二十四、债务付息支出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51</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本年收入合计</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24</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1,594.16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本年支出合计</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52</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1,403.98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用事业基金弥补收支差额</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25</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结余分配</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53</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年初结转和结余</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26</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165.80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年末结转和结余</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54</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355.98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27</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55</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p>
        </w:tc>
      </w:tr>
      <w:tr>
        <w:tblPrEx>
          <w:tblLayout w:type="fixed"/>
          <w:tblCellMar>
            <w:top w:w="0" w:type="dxa"/>
            <w:left w:w="0" w:type="dxa"/>
            <w:bottom w:w="0" w:type="dxa"/>
            <w:right w:w="0" w:type="dxa"/>
          </w:tblCellMar>
        </w:tblPrEx>
        <w:trPr>
          <w:trHeight w:val="367"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总计</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28</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1,759.96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总计</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56</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1,759.96 </w:t>
            </w:r>
          </w:p>
        </w:tc>
      </w:tr>
      <w:tr>
        <w:tblPrEx>
          <w:tblLayout w:type="fixed"/>
          <w:tblCellMar>
            <w:top w:w="0" w:type="dxa"/>
            <w:left w:w="0" w:type="dxa"/>
            <w:bottom w:w="0" w:type="dxa"/>
            <w:right w:w="0" w:type="dxa"/>
          </w:tblCellMar>
        </w:tblPrEx>
        <w:trPr>
          <w:trHeight w:val="213" w:hRule="atLeast"/>
          <w:jc w:val="center"/>
        </w:trPr>
        <w:tc>
          <w:tcPr>
            <w:tcW w:w="9517" w:type="dxa"/>
            <w:gridSpan w:val="7"/>
            <w:tcBorders>
              <w:top w:val="nil"/>
              <w:left w:val="nil"/>
              <w:bottom w:val="nil"/>
              <w:right w:val="nil"/>
            </w:tcBorders>
            <w:tcMar>
              <w:top w:w="15" w:type="dxa"/>
              <w:left w:w="15" w:type="dxa"/>
              <w:right w:w="15" w:type="dxa"/>
            </w:tcMar>
            <w:vAlign w:val="center"/>
          </w:tcPr>
          <w:p>
            <w:pPr>
              <w:widowControl/>
              <w:jc w:val="left"/>
              <w:textAlignment w:val="center"/>
              <w:rPr>
                <w:rFonts w:ascii="宋体" w:hAnsi="宋体" w:eastAsia="宋体" w:cs="宋体"/>
                <w:color w:val="000000"/>
                <w:kern w:val="0"/>
                <w:sz w:val="22"/>
              </w:rPr>
            </w:pPr>
            <w:r>
              <w:rPr>
                <w:rFonts w:hint="eastAsia" w:ascii="宋体" w:hAnsi="宋体" w:eastAsia="宋体" w:cs="宋体"/>
                <w:color w:val="000000"/>
                <w:kern w:val="0"/>
                <w:sz w:val="22"/>
              </w:rPr>
              <w:t>注：本表反映部门本年度的总收支和年末结转结余情况。</w:t>
            </w:r>
          </w:p>
          <w:p>
            <w:pPr>
              <w:widowControl/>
              <w:jc w:val="left"/>
              <w:textAlignment w:val="center"/>
              <w:rPr>
                <w:rFonts w:ascii="宋体" w:hAnsi="宋体" w:eastAsia="宋体" w:cs="宋体"/>
                <w:color w:val="000000"/>
                <w:kern w:val="0"/>
                <w:sz w:val="22"/>
              </w:rPr>
            </w:pPr>
          </w:p>
          <w:p>
            <w:pPr>
              <w:widowControl/>
              <w:jc w:val="left"/>
              <w:textAlignment w:val="center"/>
              <w:rPr>
                <w:rFonts w:ascii="宋体" w:hAnsi="宋体" w:eastAsia="宋体" w:cs="宋体"/>
                <w:color w:val="000000"/>
                <w:kern w:val="0"/>
                <w:sz w:val="22"/>
              </w:rPr>
            </w:pPr>
          </w:p>
        </w:tc>
      </w:tr>
    </w:tbl>
    <w:tbl>
      <w:tblPr>
        <w:tblStyle w:val="7"/>
        <w:tblW w:w="9734" w:type="dxa"/>
        <w:jc w:val="center"/>
        <w:tblInd w:w="0" w:type="dxa"/>
        <w:tblLayout w:type="fixed"/>
        <w:tblCellMar>
          <w:top w:w="0" w:type="dxa"/>
          <w:left w:w="0" w:type="dxa"/>
          <w:bottom w:w="0" w:type="dxa"/>
          <w:right w:w="0" w:type="dxa"/>
        </w:tblCellMar>
      </w:tblPr>
      <w:tblGrid>
        <w:gridCol w:w="958"/>
        <w:gridCol w:w="123"/>
        <w:gridCol w:w="86"/>
        <w:gridCol w:w="86"/>
        <w:gridCol w:w="1562"/>
        <w:gridCol w:w="966"/>
        <w:gridCol w:w="966"/>
        <w:gridCol w:w="234"/>
        <w:gridCol w:w="732"/>
        <w:gridCol w:w="468"/>
        <w:gridCol w:w="1125"/>
        <w:gridCol w:w="402"/>
        <w:gridCol w:w="90"/>
        <w:gridCol w:w="313"/>
        <w:gridCol w:w="500"/>
        <w:gridCol w:w="970"/>
        <w:gridCol w:w="153"/>
      </w:tblGrid>
      <w:tr>
        <w:tblPrEx>
          <w:tblLayout w:type="fixed"/>
          <w:tblCellMar>
            <w:top w:w="0" w:type="dxa"/>
            <w:left w:w="0" w:type="dxa"/>
            <w:bottom w:w="0" w:type="dxa"/>
            <w:right w:w="0" w:type="dxa"/>
          </w:tblCellMar>
        </w:tblPrEx>
        <w:trPr>
          <w:gridAfter w:val="1"/>
          <w:wAfter w:w="153" w:type="dxa"/>
          <w:trHeight w:val="670" w:hRule="atLeast"/>
          <w:jc w:val="center"/>
        </w:trPr>
        <w:tc>
          <w:tcPr>
            <w:tcW w:w="9581" w:type="dxa"/>
            <w:gridSpan w:val="16"/>
            <w:tcBorders>
              <w:top w:val="nil"/>
              <w:left w:val="nil"/>
              <w:bottom w:val="nil"/>
              <w:right w:val="nil"/>
            </w:tcBorders>
            <w:tcMar>
              <w:top w:w="15" w:type="dxa"/>
              <w:left w:w="15" w:type="dxa"/>
              <w:right w:w="15" w:type="dxa"/>
            </w:tcMar>
            <w:vAlign w:val="bottom"/>
          </w:tcPr>
          <w:p>
            <w:pPr>
              <w:widowControl/>
              <w:jc w:val="center"/>
              <w:textAlignment w:val="bottom"/>
              <w:rPr>
                <w:rFonts w:ascii="黑体" w:hAnsi="宋体" w:eastAsia="黑体" w:cs="黑体"/>
                <w:color w:val="000000"/>
                <w:kern w:val="0"/>
                <w:sz w:val="32"/>
                <w:szCs w:val="32"/>
              </w:rPr>
            </w:pPr>
          </w:p>
          <w:p>
            <w:pPr>
              <w:widowControl/>
              <w:jc w:val="center"/>
              <w:textAlignment w:val="bottom"/>
              <w:rPr>
                <w:rFonts w:ascii="黑体" w:hAnsi="宋体" w:eastAsia="黑体" w:cs="黑体"/>
                <w:color w:val="000000"/>
                <w:sz w:val="32"/>
                <w:szCs w:val="32"/>
              </w:rPr>
            </w:pPr>
            <w:r>
              <w:rPr>
                <w:rFonts w:hint="eastAsia" w:ascii="黑体" w:hAnsi="宋体" w:eastAsia="黑体" w:cs="黑体"/>
                <w:color w:val="000000"/>
                <w:kern w:val="0"/>
                <w:sz w:val="32"/>
                <w:szCs w:val="32"/>
              </w:rPr>
              <w:t>收入决算表</w:t>
            </w:r>
          </w:p>
        </w:tc>
      </w:tr>
      <w:tr>
        <w:tblPrEx>
          <w:tblLayout w:type="fixed"/>
          <w:tblCellMar>
            <w:top w:w="0" w:type="dxa"/>
            <w:left w:w="0" w:type="dxa"/>
            <w:bottom w:w="0" w:type="dxa"/>
            <w:right w:w="0" w:type="dxa"/>
          </w:tblCellMar>
        </w:tblPrEx>
        <w:trPr>
          <w:trHeight w:val="357" w:hRule="atLeast"/>
          <w:jc w:val="center"/>
        </w:trPr>
        <w:tc>
          <w:tcPr>
            <w:tcW w:w="1081" w:type="dxa"/>
            <w:gridSpan w:val="2"/>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86"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86"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562"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966"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966"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966" w:type="dxa"/>
            <w:gridSpan w:val="2"/>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995" w:type="dxa"/>
            <w:gridSpan w:val="3"/>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90"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936" w:type="dxa"/>
            <w:gridSpan w:val="4"/>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02</w:t>
            </w:r>
            <w:r>
              <w:rPr>
                <w:rFonts w:hint="eastAsia" w:ascii="宋体" w:hAnsi="宋体" w:eastAsia="宋体" w:cs="宋体"/>
                <w:color w:val="000000"/>
                <w:kern w:val="0"/>
                <w:sz w:val="20"/>
                <w:szCs w:val="20"/>
              </w:rPr>
              <w:t>表</w:t>
            </w:r>
          </w:p>
        </w:tc>
      </w:tr>
      <w:tr>
        <w:tblPrEx>
          <w:tblLayout w:type="fixed"/>
          <w:tblCellMar>
            <w:top w:w="0" w:type="dxa"/>
            <w:left w:w="0" w:type="dxa"/>
            <w:bottom w:w="0" w:type="dxa"/>
            <w:right w:w="0" w:type="dxa"/>
          </w:tblCellMar>
        </w:tblPrEx>
        <w:trPr>
          <w:gridAfter w:val="1"/>
          <w:wAfter w:w="153" w:type="dxa"/>
          <w:trHeight w:val="357" w:hRule="atLeast"/>
          <w:jc w:val="center"/>
        </w:trPr>
        <w:tc>
          <w:tcPr>
            <w:tcW w:w="1081" w:type="dxa"/>
            <w:gridSpan w:val="2"/>
            <w:tcBorders>
              <w:top w:val="nil"/>
              <w:left w:val="nil"/>
              <w:bottom w:val="nil"/>
              <w:right w:val="nil"/>
            </w:tcBorders>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86"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86"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6455" w:type="dxa"/>
            <w:gridSpan w:val="8"/>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r>
              <w:rPr>
                <w:rFonts w:hint="eastAsia" w:ascii="Arial" w:hAnsi="Arial" w:cs="Arial"/>
                <w:color w:val="000000"/>
                <w:sz w:val="20"/>
                <w:szCs w:val="20"/>
              </w:rPr>
              <w:t>唐山市曹妃甸区人力资源和社会保障局</w:t>
            </w:r>
          </w:p>
        </w:tc>
        <w:tc>
          <w:tcPr>
            <w:tcW w:w="1873" w:type="dxa"/>
            <w:gridSpan w:val="4"/>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Layout w:type="fixed"/>
          <w:tblCellMar>
            <w:top w:w="0" w:type="dxa"/>
            <w:left w:w="0" w:type="dxa"/>
            <w:bottom w:w="0" w:type="dxa"/>
            <w:right w:w="0" w:type="dxa"/>
          </w:tblCellMar>
        </w:tblPrEx>
        <w:trPr>
          <w:gridAfter w:val="1"/>
          <w:wAfter w:w="153" w:type="dxa"/>
          <w:trHeight w:val="385" w:hRule="atLeast"/>
          <w:jc w:val="center"/>
        </w:trPr>
        <w:tc>
          <w:tcPr>
            <w:tcW w:w="3781"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1200" w:type="dxa"/>
            <w:gridSpan w:val="2"/>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本年收入合计</w:t>
            </w:r>
          </w:p>
        </w:tc>
        <w:tc>
          <w:tcPr>
            <w:tcW w:w="1200" w:type="dxa"/>
            <w:gridSpan w:val="2"/>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财政拨款收入</w:t>
            </w:r>
          </w:p>
        </w:tc>
        <w:tc>
          <w:tcPr>
            <w:tcW w:w="1125"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上级补助收入</w:t>
            </w:r>
          </w:p>
        </w:tc>
        <w:tc>
          <w:tcPr>
            <w:tcW w:w="402"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事业收入</w:t>
            </w:r>
          </w:p>
        </w:tc>
        <w:tc>
          <w:tcPr>
            <w:tcW w:w="403" w:type="dxa"/>
            <w:gridSpan w:val="2"/>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经营收入</w:t>
            </w:r>
          </w:p>
        </w:tc>
        <w:tc>
          <w:tcPr>
            <w:tcW w:w="50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附属单位上缴收入</w:t>
            </w:r>
          </w:p>
        </w:tc>
        <w:tc>
          <w:tcPr>
            <w:tcW w:w="97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其他收入</w:t>
            </w:r>
          </w:p>
        </w:tc>
      </w:tr>
      <w:tr>
        <w:tblPrEx>
          <w:tblLayout w:type="fixed"/>
          <w:tblCellMar>
            <w:top w:w="0" w:type="dxa"/>
            <w:left w:w="0" w:type="dxa"/>
            <w:bottom w:w="0" w:type="dxa"/>
            <w:right w:w="0" w:type="dxa"/>
          </w:tblCellMar>
        </w:tblPrEx>
        <w:trPr>
          <w:gridAfter w:val="1"/>
          <w:wAfter w:w="153" w:type="dxa"/>
          <w:trHeight w:val="380" w:hRule="atLeast"/>
          <w:jc w:val="center"/>
        </w:trPr>
        <w:tc>
          <w:tcPr>
            <w:tcW w:w="1253" w:type="dxa"/>
            <w:gridSpan w:val="4"/>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2528"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1200"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200"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2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40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403"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50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97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Layout w:type="fixed"/>
          <w:tblCellMar>
            <w:top w:w="0" w:type="dxa"/>
            <w:left w:w="0" w:type="dxa"/>
            <w:bottom w:w="0" w:type="dxa"/>
            <w:right w:w="0" w:type="dxa"/>
          </w:tblCellMar>
        </w:tblPrEx>
        <w:trPr>
          <w:gridAfter w:val="1"/>
          <w:wAfter w:w="153" w:type="dxa"/>
          <w:trHeight w:val="380" w:hRule="atLeast"/>
          <w:jc w:val="center"/>
        </w:trPr>
        <w:tc>
          <w:tcPr>
            <w:tcW w:w="1253" w:type="dxa"/>
            <w:gridSpan w:val="4"/>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2528"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200"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200"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2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40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403"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50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97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Layout w:type="fixed"/>
          <w:tblCellMar>
            <w:top w:w="0" w:type="dxa"/>
            <w:left w:w="0" w:type="dxa"/>
            <w:bottom w:w="0" w:type="dxa"/>
            <w:right w:w="0" w:type="dxa"/>
          </w:tblCellMar>
        </w:tblPrEx>
        <w:trPr>
          <w:gridAfter w:val="1"/>
          <w:wAfter w:w="153" w:type="dxa"/>
          <w:trHeight w:val="380" w:hRule="atLeast"/>
          <w:jc w:val="center"/>
        </w:trPr>
        <w:tc>
          <w:tcPr>
            <w:tcW w:w="1253" w:type="dxa"/>
            <w:gridSpan w:val="4"/>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2528"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200"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200"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2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40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403"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50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97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Layout w:type="fixed"/>
          <w:tblCellMar>
            <w:top w:w="0" w:type="dxa"/>
            <w:left w:w="0" w:type="dxa"/>
            <w:bottom w:w="0" w:type="dxa"/>
            <w:right w:w="0" w:type="dxa"/>
          </w:tblCellMar>
        </w:tblPrEx>
        <w:trPr>
          <w:gridAfter w:val="1"/>
          <w:wAfter w:w="153" w:type="dxa"/>
          <w:trHeight w:val="385" w:hRule="atLeast"/>
          <w:jc w:val="center"/>
        </w:trPr>
        <w:tc>
          <w:tcPr>
            <w:tcW w:w="3781" w:type="dxa"/>
            <w:gridSpan w:val="6"/>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112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402"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c>
          <w:tcPr>
            <w:tcW w:w="40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w:t>
            </w:r>
          </w:p>
        </w:tc>
        <w:tc>
          <w:tcPr>
            <w:tcW w:w="500"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6</w:t>
            </w:r>
          </w:p>
        </w:tc>
        <w:tc>
          <w:tcPr>
            <w:tcW w:w="970"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7</w:t>
            </w:r>
          </w:p>
        </w:tc>
      </w:tr>
      <w:tr>
        <w:tblPrEx>
          <w:tblLayout w:type="fixed"/>
          <w:tblCellMar>
            <w:top w:w="0" w:type="dxa"/>
            <w:left w:w="0" w:type="dxa"/>
            <w:bottom w:w="0" w:type="dxa"/>
            <w:right w:w="0" w:type="dxa"/>
          </w:tblCellMar>
        </w:tblPrEx>
        <w:trPr>
          <w:gridAfter w:val="1"/>
          <w:wAfter w:w="153" w:type="dxa"/>
          <w:trHeight w:val="385" w:hRule="atLeast"/>
          <w:jc w:val="center"/>
        </w:trPr>
        <w:tc>
          <w:tcPr>
            <w:tcW w:w="3781" w:type="dxa"/>
            <w:gridSpan w:val="6"/>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rPr>
            </w:pP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rPr>
            </w:pPr>
          </w:p>
        </w:tc>
        <w:tc>
          <w:tcPr>
            <w:tcW w:w="112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rPr>
            </w:pPr>
          </w:p>
        </w:tc>
        <w:tc>
          <w:tcPr>
            <w:tcW w:w="402"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rPr>
            </w:pPr>
          </w:p>
        </w:tc>
        <w:tc>
          <w:tcPr>
            <w:tcW w:w="403"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rPr>
            </w:pPr>
          </w:p>
        </w:tc>
        <w:tc>
          <w:tcPr>
            <w:tcW w:w="50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rPr>
            </w:pPr>
          </w:p>
        </w:tc>
        <w:tc>
          <w:tcPr>
            <w:tcW w:w="97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rPr>
            </w:pPr>
          </w:p>
        </w:tc>
      </w:tr>
      <w:tr>
        <w:tblPrEx>
          <w:tblLayout w:type="fixed"/>
          <w:tblCellMar>
            <w:top w:w="0" w:type="dxa"/>
            <w:left w:w="0" w:type="dxa"/>
            <w:bottom w:w="0" w:type="dxa"/>
            <w:right w:w="0" w:type="dxa"/>
          </w:tblCellMar>
        </w:tblPrEx>
        <w:trPr>
          <w:gridAfter w:val="1"/>
          <w:wAfter w:w="153" w:type="dxa"/>
          <w:trHeight w:val="385" w:hRule="atLeast"/>
          <w:jc w:val="center"/>
        </w:trPr>
        <w:tc>
          <w:tcPr>
            <w:tcW w:w="9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208 </w:t>
            </w:r>
          </w:p>
        </w:tc>
        <w:tc>
          <w:tcPr>
            <w:tcW w:w="2823" w:type="dxa"/>
            <w:gridSpan w:val="5"/>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社会保障和就业支出</w:t>
            </w:r>
            <w:r>
              <w:rPr>
                <w:rFonts w:ascii="宋体" w:hAnsi="宋体" w:eastAsia="宋体" w:cs="宋体"/>
                <w:color w:val="000000"/>
                <w:kern w:val="0"/>
                <w:sz w:val="20"/>
                <w:szCs w:val="20"/>
              </w:rPr>
              <w:t xml:space="preserve"> </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1,478.11 </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1,455.83 </w:t>
            </w:r>
          </w:p>
        </w:tc>
        <w:tc>
          <w:tcPr>
            <w:tcW w:w="1125"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40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40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50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97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22.28 </w:t>
            </w:r>
          </w:p>
        </w:tc>
      </w:tr>
      <w:tr>
        <w:tblPrEx>
          <w:tblLayout w:type="fixed"/>
          <w:tblCellMar>
            <w:top w:w="0" w:type="dxa"/>
            <w:left w:w="0" w:type="dxa"/>
            <w:bottom w:w="0" w:type="dxa"/>
            <w:right w:w="0" w:type="dxa"/>
          </w:tblCellMar>
        </w:tblPrEx>
        <w:trPr>
          <w:gridAfter w:val="1"/>
          <w:wAfter w:w="153" w:type="dxa"/>
          <w:trHeight w:val="385" w:hRule="atLeast"/>
          <w:jc w:val="center"/>
        </w:trPr>
        <w:tc>
          <w:tcPr>
            <w:tcW w:w="9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20801 </w:t>
            </w:r>
          </w:p>
        </w:tc>
        <w:tc>
          <w:tcPr>
            <w:tcW w:w="2823" w:type="dxa"/>
            <w:gridSpan w:val="5"/>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人力资源和社会保障管理事务</w:t>
            </w:r>
            <w:r>
              <w:rPr>
                <w:rFonts w:ascii="宋体" w:hAnsi="宋体" w:eastAsia="宋体" w:cs="宋体"/>
                <w:color w:val="000000"/>
                <w:kern w:val="0"/>
                <w:sz w:val="20"/>
                <w:szCs w:val="20"/>
              </w:rPr>
              <w:t xml:space="preserve"> </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1,332.43 </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1,331.68 </w:t>
            </w:r>
          </w:p>
        </w:tc>
        <w:tc>
          <w:tcPr>
            <w:tcW w:w="1125"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40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40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50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97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0.75 </w:t>
            </w:r>
          </w:p>
        </w:tc>
      </w:tr>
      <w:tr>
        <w:tblPrEx>
          <w:tblLayout w:type="fixed"/>
          <w:tblCellMar>
            <w:top w:w="0" w:type="dxa"/>
            <w:left w:w="0" w:type="dxa"/>
            <w:bottom w:w="0" w:type="dxa"/>
            <w:right w:w="0" w:type="dxa"/>
          </w:tblCellMar>
        </w:tblPrEx>
        <w:trPr>
          <w:gridAfter w:val="1"/>
          <w:wAfter w:w="153" w:type="dxa"/>
          <w:trHeight w:val="385" w:hRule="atLeast"/>
          <w:jc w:val="center"/>
        </w:trPr>
        <w:tc>
          <w:tcPr>
            <w:tcW w:w="9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2080101 </w:t>
            </w:r>
          </w:p>
        </w:tc>
        <w:tc>
          <w:tcPr>
            <w:tcW w:w="2823" w:type="dxa"/>
            <w:gridSpan w:val="5"/>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行政运行</w:t>
            </w:r>
            <w:r>
              <w:rPr>
                <w:rFonts w:ascii="宋体" w:hAnsi="宋体" w:eastAsia="宋体" w:cs="宋体"/>
                <w:color w:val="000000"/>
                <w:kern w:val="0"/>
                <w:sz w:val="20"/>
                <w:szCs w:val="20"/>
              </w:rPr>
              <w:t xml:space="preserve"> </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1,157.22 </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1,156.47 </w:t>
            </w:r>
          </w:p>
        </w:tc>
        <w:tc>
          <w:tcPr>
            <w:tcW w:w="1125"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40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40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50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97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0.75 </w:t>
            </w:r>
          </w:p>
        </w:tc>
      </w:tr>
      <w:tr>
        <w:tblPrEx>
          <w:tblLayout w:type="fixed"/>
          <w:tblCellMar>
            <w:top w:w="0" w:type="dxa"/>
            <w:left w:w="0" w:type="dxa"/>
            <w:bottom w:w="0" w:type="dxa"/>
            <w:right w:w="0" w:type="dxa"/>
          </w:tblCellMar>
        </w:tblPrEx>
        <w:trPr>
          <w:gridAfter w:val="1"/>
          <w:wAfter w:w="153" w:type="dxa"/>
          <w:trHeight w:val="385" w:hRule="atLeast"/>
          <w:jc w:val="center"/>
        </w:trPr>
        <w:tc>
          <w:tcPr>
            <w:tcW w:w="9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2080104 </w:t>
            </w:r>
          </w:p>
        </w:tc>
        <w:tc>
          <w:tcPr>
            <w:tcW w:w="2823" w:type="dxa"/>
            <w:gridSpan w:val="5"/>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综合业务管理</w:t>
            </w:r>
            <w:r>
              <w:rPr>
                <w:rFonts w:ascii="宋体" w:hAnsi="宋体" w:eastAsia="宋体" w:cs="宋体"/>
                <w:color w:val="000000"/>
                <w:kern w:val="0"/>
                <w:sz w:val="20"/>
                <w:szCs w:val="20"/>
              </w:rPr>
              <w:t xml:space="preserve"> </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165.16 </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165.16 </w:t>
            </w:r>
          </w:p>
        </w:tc>
        <w:tc>
          <w:tcPr>
            <w:tcW w:w="1125"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40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40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50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97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r>
      <w:tr>
        <w:tblPrEx>
          <w:tblLayout w:type="fixed"/>
          <w:tblCellMar>
            <w:top w:w="0" w:type="dxa"/>
            <w:left w:w="0" w:type="dxa"/>
            <w:bottom w:w="0" w:type="dxa"/>
            <w:right w:w="0" w:type="dxa"/>
          </w:tblCellMar>
        </w:tblPrEx>
        <w:trPr>
          <w:gridAfter w:val="1"/>
          <w:wAfter w:w="153" w:type="dxa"/>
          <w:trHeight w:val="385" w:hRule="atLeast"/>
          <w:jc w:val="center"/>
        </w:trPr>
        <w:tc>
          <w:tcPr>
            <w:tcW w:w="9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2080105 </w:t>
            </w:r>
          </w:p>
        </w:tc>
        <w:tc>
          <w:tcPr>
            <w:tcW w:w="2823" w:type="dxa"/>
            <w:gridSpan w:val="5"/>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劳动保障监察</w:t>
            </w:r>
            <w:r>
              <w:rPr>
                <w:rFonts w:ascii="宋体" w:hAnsi="宋体" w:eastAsia="宋体" w:cs="宋体"/>
                <w:color w:val="000000"/>
                <w:kern w:val="0"/>
                <w:sz w:val="20"/>
                <w:szCs w:val="20"/>
              </w:rPr>
              <w:t xml:space="preserve"> </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7.00 </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7.00 </w:t>
            </w:r>
          </w:p>
        </w:tc>
        <w:tc>
          <w:tcPr>
            <w:tcW w:w="1125"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40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40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50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97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r>
      <w:tr>
        <w:tblPrEx>
          <w:tblLayout w:type="fixed"/>
          <w:tblCellMar>
            <w:top w:w="0" w:type="dxa"/>
            <w:left w:w="0" w:type="dxa"/>
            <w:bottom w:w="0" w:type="dxa"/>
            <w:right w:w="0" w:type="dxa"/>
          </w:tblCellMar>
        </w:tblPrEx>
        <w:trPr>
          <w:gridAfter w:val="1"/>
          <w:wAfter w:w="153" w:type="dxa"/>
          <w:trHeight w:val="385" w:hRule="atLeast"/>
          <w:jc w:val="center"/>
        </w:trPr>
        <w:tc>
          <w:tcPr>
            <w:tcW w:w="9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2080106 </w:t>
            </w:r>
          </w:p>
        </w:tc>
        <w:tc>
          <w:tcPr>
            <w:tcW w:w="2823" w:type="dxa"/>
            <w:gridSpan w:val="5"/>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就业管理事务</w:t>
            </w:r>
            <w:r>
              <w:rPr>
                <w:rFonts w:ascii="宋体" w:hAnsi="宋体" w:eastAsia="宋体" w:cs="宋体"/>
                <w:color w:val="000000"/>
                <w:kern w:val="0"/>
                <w:sz w:val="20"/>
                <w:szCs w:val="20"/>
              </w:rPr>
              <w:t xml:space="preserve"> </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1.20 </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1.20 </w:t>
            </w:r>
          </w:p>
        </w:tc>
        <w:tc>
          <w:tcPr>
            <w:tcW w:w="1125"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40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40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50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97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r>
      <w:tr>
        <w:tblPrEx>
          <w:tblLayout w:type="fixed"/>
          <w:tblCellMar>
            <w:top w:w="0" w:type="dxa"/>
            <w:left w:w="0" w:type="dxa"/>
            <w:bottom w:w="0" w:type="dxa"/>
            <w:right w:w="0" w:type="dxa"/>
          </w:tblCellMar>
        </w:tblPrEx>
        <w:trPr>
          <w:gridAfter w:val="1"/>
          <w:wAfter w:w="153" w:type="dxa"/>
          <w:trHeight w:val="385" w:hRule="atLeast"/>
          <w:jc w:val="center"/>
        </w:trPr>
        <w:tc>
          <w:tcPr>
            <w:tcW w:w="9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2080112 </w:t>
            </w:r>
          </w:p>
        </w:tc>
        <w:tc>
          <w:tcPr>
            <w:tcW w:w="2823" w:type="dxa"/>
            <w:gridSpan w:val="5"/>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劳动人事争议调解仲裁</w:t>
            </w:r>
            <w:r>
              <w:rPr>
                <w:rFonts w:ascii="宋体" w:hAnsi="宋体" w:eastAsia="宋体" w:cs="宋体"/>
                <w:color w:val="000000"/>
                <w:kern w:val="0"/>
                <w:sz w:val="20"/>
                <w:szCs w:val="20"/>
              </w:rPr>
              <w:t xml:space="preserve"> </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1.85 </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1.85 </w:t>
            </w:r>
          </w:p>
        </w:tc>
        <w:tc>
          <w:tcPr>
            <w:tcW w:w="1125"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40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40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50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97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r>
      <w:tr>
        <w:tblPrEx>
          <w:tblLayout w:type="fixed"/>
          <w:tblCellMar>
            <w:top w:w="0" w:type="dxa"/>
            <w:left w:w="0" w:type="dxa"/>
            <w:bottom w:w="0" w:type="dxa"/>
            <w:right w:w="0" w:type="dxa"/>
          </w:tblCellMar>
        </w:tblPrEx>
        <w:trPr>
          <w:gridAfter w:val="1"/>
          <w:wAfter w:w="153" w:type="dxa"/>
          <w:trHeight w:val="385" w:hRule="atLeast"/>
          <w:jc w:val="center"/>
        </w:trPr>
        <w:tc>
          <w:tcPr>
            <w:tcW w:w="9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20802 </w:t>
            </w:r>
          </w:p>
        </w:tc>
        <w:tc>
          <w:tcPr>
            <w:tcW w:w="2823" w:type="dxa"/>
            <w:gridSpan w:val="5"/>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民政管理事务</w:t>
            </w:r>
            <w:r>
              <w:rPr>
                <w:rFonts w:ascii="宋体" w:hAnsi="宋体" w:eastAsia="宋体" w:cs="宋体"/>
                <w:color w:val="000000"/>
                <w:kern w:val="0"/>
                <w:sz w:val="20"/>
                <w:szCs w:val="20"/>
              </w:rPr>
              <w:t xml:space="preserve"> </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7.50 </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7.50 </w:t>
            </w:r>
          </w:p>
        </w:tc>
        <w:tc>
          <w:tcPr>
            <w:tcW w:w="1125"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40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40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50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97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r>
      <w:tr>
        <w:tblPrEx>
          <w:tblLayout w:type="fixed"/>
          <w:tblCellMar>
            <w:top w:w="0" w:type="dxa"/>
            <w:left w:w="0" w:type="dxa"/>
            <w:bottom w:w="0" w:type="dxa"/>
            <w:right w:w="0" w:type="dxa"/>
          </w:tblCellMar>
        </w:tblPrEx>
        <w:trPr>
          <w:gridAfter w:val="1"/>
          <w:wAfter w:w="153" w:type="dxa"/>
          <w:trHeight w:val="385" w:hRule="atLeast"/>
          <w:jc w:val="center"/>
        </w:trPr>
        <w:tc>
          <w:tcPr>
            <w:tcW w:w="9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2080299 </w:t>
            </w:r>
          </w:p>
        </w:tc>
        <w:tc>
          <w:tcPr>
            <w:tcW w:w="2823" w:type="dxa"/>
            <w:gridSpan w:val="5"/>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其他民政管理事务支出</w:t>
            </w:r>
            <w:r>
              <w:rPr>
                <w:rFonts w:ascii="宋体" w:hAnsi="宋体" w:eastAsia="宋体" w:cs="宋体"/>
                <w:color w:val="000000"/>
                <w:kern w:val="0"/>
                <w:sz w:val="20"/>
                <w:szCs w:val="20"/>
              </w:rPr>
              <w:t xml:space="preserve"> </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7.50 </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7.50 </w:t>
            </w:r>
          </w:p>
        </w:tc>
        <w:tc>
          <w:tcPr>
            <w:tcW w:w="1125"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40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40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50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97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r>
      <w:tr>
        <w:tblPrEx>
          <w:tblLayout w:type="fixed"/>
          <w:tblCellMar>
            <w:top w:w="0" w:type="dxa"/>
            <w:left w:w="0" w:type="dxa"/>
            <w:bottom w:w="0" w:type="dxa"/>
            <w:right w:w="0" w:type="dxa"/>
          </w:tblCellMar>
        </w:tblPrEx>
        <w:trPr>
          <w:gridAfter w:val="1"/>
          <w:wAfter w:w="153" w:type="dxa"/>
          <w:trHeight w:val="385" w:hRule="atLeast"/>
          <w:jc w:val="center"/>
        </w:trPr>
        <w:tc>
          <w:tcPr>
            <w:tcW w:w="9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20805 </w:t>
            </w:r>
          </w:p>
        </w:tc>
        <w:tc>
          <w:tcPr>
            <w:tcW w:w="2823" w:type="dxa"/>
            <w:gridSpan w:val="5"/>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行政事业单位离退休</w:t>
            </w:r>
            <w:r>
              <w:rPr>
                <w:rFonts w:ascii="宋体" w:hAnsi="宋体" w:eastAsia="宋体" w:cs="宋体"/>
                <w:color w:val="000000"/>
                <w:kern w:val="0"/>
                <w:sz w:val="20"/>
                <w:szCs w:val="20"/>
              </w:rPr>
              <w:t xml:space="preserve"> </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113.65 </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113.65 </w:t>
            </w:r>
          </w:p>
        </w:tc>
        <w:tc>
          <w:tcPr>
            <w:tcW w:w="1125"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40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40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50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97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r>
      <w:tr>
        <w:tblPrEx>
          <w:tblLayout w:type="fixed"/>
          <w:tblCellMar>
            <w:top w:w="0" w:type="dxa"/>
            <w:left w:w="0" w:type="dxa"/>
            <w:bottom w:w="0" w:type="dxa"/>
            <w:right w:w="0" w:type="dxa"/>
          </w:tblCellMar>
        </w:tblPrEx>
        <w:trPr>
          <w:gridAfter w:val="1"/>
          <w:wAfter w:w="153" w:type="dxa"/>
          <w:trHeight w:val="385" w:hRule="atLeast"/>
          <w:jc w:val="center"/>
        </w:trPr>
        <w:tc>
          <w:tcPr>
            <w:tcW w:w="9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2080505 </w:t>
            </w:r>
          </w:p>
        </w:tc>
        <w:tc>
          <w:tcPr>
            <w:tcW w:w="2823" w:type="dxa"/>
            <w:gridSpan w:val="5"/>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机关事业单位基本养老保险缴费支出</w:t>
            </w:r>
            <w:r>
              <w:rPr>
                <w:rFonts w:ascii="宋体" w:hAnsi="宋体" w:eastAsia="宋体" w:cs="宋体"/>
                <w:color w:val="000000"/>
                <w:kern w:val="0"/>
                <w:sz w:val="20"/>
                <w:szCs w:val="20"/>
              </w:rPr>
              <w:t xml:space="preserve"> </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81.18 </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81.18 </w:t>
            </w:r>
          </w:p>
        </w:tc>
        <w:tc>
          <w:tcPr>
            <w:tcW w:w="1125"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40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40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50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97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r>
      <w:tr>
        <w:tblPrEx>
          <w:tblLayout w:type="fixed"/>
          <w:tblCellMar>
            <w:top w:w="0" w:type="dxa"/>
            <w:left w:w="0" w:type="dxa"/>
            <w:bottom w:w="0" w:type="dxa"/>
            <w:right w:w="0" w:type="dxa"/>
          </w:tblCellMar>
        </w:tblPrEx>
        <w:trPr>
          <w:gridAfter w:val="1"/>
          <w:wAfter w:w="153" w:type="dxa"/>
          <w:trHeight w:val="385" w:hRule="atLeast"/>
          <w:jc w:val="center"/>
        </w:trPr>
        <w:tc>
          <w:tcPr>
            <w:tcW w:w="9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2080506 </w:t>
            </w:r>
          </w:p>
        </w:tc>
        <w:tc>
          <w:tcPr>
            <w:tcW w:w="2823" w:type="dxa"/>
            <w:gridSpan w:val="5"/>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机关事业单位职业年金缴费支出</w:t>
            </w:r>
            <w:r>
              <w:rPr>
                <w:rFonts w:ascii="宋体" w:hAnsi="宋体" w:eastAsia="宋体" w:cs="宋体"/>
                <w:color w:val="000000"/>
                <w:kern w:val="0"/>
                <w:sz w:val="20"/>
                <w:szCs w:val="20"/>
              </w:rPr>
              <w:t xml:space="preserve"> </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32.47 </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32.47 </w:t>
            </w:r>
          </w:p>
        </w:tc>
        <w:tc>
          <w:tcPr>
            <w:tcW w:w="1125"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40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40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50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97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r>
      <w:tr>
        <w:tblPrEx>
          <w:tblLayout w:type="fixed"/>
          <w:tblCellMar>
            <w:top w:w="0" w:type="dxa"/>
            <w:left w:w="0" w:type="dxa"/>
            <w:bottom w:w="0" w:type="dxa"/>
            <w:right w:w="0" w:type="dxa"/>
          </w:tblCellMar>
        </w:tblPrEx>
        <w:trPr>
          <w:gridAfter w:val="1"/>
          <w:wAfter w:w="153" w:type="dxa"/>
          <w:trHeight w:val="385" w:hRule="atLeast"/>
          <w:jc w:val="center"/>
        </w:trPr>
        <w:tc>
          <w:tcPr>
            <w:tcW w:w="9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20899 </w:t>
            </w:r>
          </w:p>
        </w:tc>
        <w:tc>
          <w:tcPr>
            <w:tcW w:w="2823" w:type="dxa"/>
            <w:gridSpan w:val="5"/>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其他社会保障和就业支出</w:t>
            </w:r>
            <w:r>
              <w:rPr>
                <w:rFonts w:ascii="宋体" w:hAnsi="宋体" w:eastAsia="宋体" w:cs="宋体"/>
                <w:color w:val="000000"/>
                <w:kern w:val="0"/>
                <w:sz w:val="20"/>
                <w:szCs w:val="20"/>
              </w:rPr>
              <w:t xml:space="preserve"> </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24.53 </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3.00 </w:t>
            </w:r>
          </w:p>
        </w:tc>
        <w:tc>
          <w:tcPr>
            <w:tcW w:w="1125"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40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40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50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97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21.53 </w:t>
            </w:r>
          </w:p>
        </w:tc>
      </w:tr>
      <w:tr>
        <w:tblPrEx>
          <w:tblLayout w:type="fixed"/>
          <w:tblCellMar>
            <w:top w:w="0" w:type="dxa"/>
            <w:left w:w="0" w:type="dxa"/>
            <w:bottom w:w="0" w:type="dxa"/>
            <w:right w:w="0" w:type="dxa"/>
          </w:tblCellMar>
        </w:tblPrEx>
        <w:trPr>
          <w:gridAfter w:val="1"/>
          <w:wAfter w:w="153" w:type="dxa"/>
          <w:trHeight w:val="385" w:hRule="atLeast"/>
          <w:jc w:val="center"/>
        </w:trPr>
        <w:tc>
          <w:tcPr>
            <w:tcW w:w="9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2089901 </w:t>
            </w:r>
          </w:p>
        </w:tc>
        <w:tc>
          <w:tcPr>
            <w:tcW w:w="2823" w:type="dxa"/>
            <w:gridSpan w:val="5"/>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其他社会保障和就业支出</w:t>
            </w:r>
            <w:r>
              <w:rPr>
                <w:rFonts w:ascii="宋体" w:hAnsi="宋体" w:eastAsia="宋体" w:cs="宋体"/>
                <w:color w:val="000000"/>
                <w:kern w:val="0"/>
                <w:sz w:val="20"/>
                <w:szCs w:val="20"/>
              </w:rPr>
              <w:t xml:space="preserve"> </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24.53 </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3.00 </w:t>
            </w:r>
          </w:p>
        </w:tc>
        <w:tc>
          <w:tcPr>
            <w:tcW w:w="1125"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40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40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50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97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21.53 </w:t>
            </w:r>
          </w:p>
        </w:tc>
      </w:tr>
      <w:tr>
        <w:tblPrEx>
          <w:tblLayout w:type="fixed"/>
          <w:tblCellMar>
            <w:top w:w="0" w:type="dxa"/>
            <w:left w:w="0" w:type="dxa"/>
            <w:bottom w:w="0" w:type="dxa"/>
            <w:right w:w="0" w:type="dxa"/>
          </w:tblCellMar>
        </w:tblPrEx>
        <w:trPr>
          <w:gridAfter w:val="1"/>
          <w:wAfter w:w="153" w:type="dxa"/>
          <w:trHeight w:val="385" w:hRule="atLeast"/>
          <w:jc w:val="center"/>
        </w:trPr>
        <w:tc>
          <w:tcPr>
            <w:tcW w:w="9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210 </w:t>
            </w:r>
          </w:p>
        </w:tc>
        <w:tc>
          <w:tcPr>
            <w:tcW w:w="2823" w:type="dxa"/>
            <w:gridSpan w:val="5"/>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卫生健康支出</w:t>
            </w:r>
            <w:r>
              <w:rPr>
                <w:rFonts w:ascii="宋体" w:hAnsi="宋体" w:eastAsia="宋体" w:cs="宋体"/>
                <w:color w:val="000000"/>
                <w:kern w:val="0"/>
                <w:sz w:val="20"/>
                <w:szCs w:val="20"/>
              </w:rPr>
              <w:t xml:space="preserve"> </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66.74 </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66.74 </w:t>
            </w:r>
          </w:p>
        </w:tc>
        <w:tc>
          <w:tcPr>
            <w:tcW w:w="1125"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40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40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50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97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r>
      <w:tr>
        <w:tblPrEx>
          <w:tblLayout w:type="fixed"/>
          <w:tblCellMar>
            <w:top w:w="0" w:type="dxa"/>
            <w:left w:w="0" w:type="dxa"/>
            <w:bottom w:w="0" w:type="dxa"/>
            <w:right w:w="0" w:type="dxa"/>
          </w:tblCellMar>
        </w:tblPrEx>
        <w:trPr>
          <w:gridAfter w:val="1"/>
          <w:wAfter w:w="153" w:type="dxa"/>
          <w:trHeight w:val="385" w:hRule="atLeast"/>
          <w:jc w:val="center"/>
        </w:trPr>
        <w:tc>
          <w:tcPr>
            <w:tcW w:w="9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21011 </w:t>
            </w:r>
          </w:p>
        </w:tc>
        <w:tc>
          <w:tcPr>
            <w:tcW w:w="2823" w:type="dxa"/>
            <w:gridSpan w:val="5"/>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行政事业单位医疗</w:t>
            </w:r>
            <w:r>
              <w:rPr>
                <w:rFonts w:ascii="宋体" w:hAnsi="宋体" w:eastAsia="宋体" w:cs="宋体"/>
                <w:color w:val="000000"/>
                <w:kern w:val="0"/>
                <w:sz w:val="20"/>
                <w:szCs w:val="20"/>
              </w:rPr>
              <w:t xml:space="preserve"> </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66.74 </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66.74 </w:t>
            </w:r>
          </w:p>
        </w:tc>
        <w:tc>
          <w:tcPr>
            <w:tcW w:w="1125"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40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40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50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97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r>
      <w:tr>
        <w:tblPrEx>
          <w:tblLayout w:type="fixed"/>
          <w:tblCellMar>
            <w:top w:w="0" w:type="dxa"/>
            <w:left w:w="0" w:type="dxa"/>
            <w:bottom w:w="0" w:type="dxa"/>
            <w:right w:w="0" w:type="dxa"/>
          </w:tblCellMar>
        </w:tblPrEx>
        <w:trPr>
          <w:gridAfter w:val="1"/>
          <w:wAfter w:w="153" w:type="dxa"/>
          <w:trHeight w:val="385" w:hRule="atLeast"/>
          <w:jc w:val="center"/>
        </w:trPr>
        <w:tc>
          <w:tcPr>
            <w:tcW w:w="9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2101101 </w:t>
            </w:r>
          </w:p>
        </w:tc>
        <w:tc>
          <w:tcPr>
            <w:tcW w:w="2823" w:type="dxa"/>
            <w:gridSpan w:val="5"/>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行政单位医疗</w:t>
            </w:r>
            <w:r>
              <w:rPr>
                <w:rFonts w:ascii="宋体" w:hAnsi="宋体" w:eastAsia="宋体" w:cs="宋体"/>
                <w:color w:val="000000"/>
                <w:kern w:val="0"/>
                <w:sz w:val="20"/>
                <w:szCs w:val="20"/>
              </w:rPr>
              <w:t xml:space="preserve"> </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29.44 </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29.44 </w:t>
            </w:r>
          </w:p>
        </w:tc>
        <w:tc>
          <w:tcPr>
            <w:tcW w:w="1125"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40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40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50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97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r>
      <w:tr>
        <w:tblPrEx>
          <w:tblLayout w:type="fixed"/>
          <w:tblCellMar>
            <w:top w:w="0" w:type="dxa"/>
            <w:left w:w="0" w:type="dxa"/>
            <w:bottom w:w="0" w:type="dxa"/>
            <w:right w:w="0" w:type="dxa"/>
          </w:tblCellMar>
        </w:tblPrEx>
        <w:trPr>
          <w:gridAfter w:val="1"/>
          <w:wAfter w:w="153" w:type="dxa"/>
          <w:trHeight w:val="385" w:hRule="atLeast"/>
          <w:jc w:val="center"/>
        </w:trPr>
        <w:tc>
          <w:tcPr>
            <w:tcW w:w="9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2101103 </w:t>
            </w:r>
          </w:p>
        </w:tc>
        <w:tc>
          <w:tcPr>
            <w:tcW w:w="2823" w:type="dxa"/>
            <w:gridSpan w:val="5"/>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公务员医疗补助</w:t>
            </w:r>
            <w:r>
              <w:rPr>
                <w:rFonts w:ascii="宋体" w:hAnsi="宋体" w:eastAsia="宋体" w:cs="宋体"/>
                <w:color w:val="000000"/>
                <w:kern w:val="0"/>
                <w:sz w:val="20"/>
                <w:szCs w:val="20"/>
              </w:rPr>
              <w:t xml:space="preserve"> </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37.30 </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37.30 </w:t>
            </w:r>
          </w:p>
        </w:tc>
        <w:tc>
          <w:tcPr>
            <w:tcW w:w="1125"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40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40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50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97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r>
      <w:tr>
        <w:tblPrEx>
          <w:tblLayout w:type="fixed"/>
          <w:tblCellMar>
            <w:top w:w="0" w:type="dxa"/>
            <w:left w:w="0" w:type="dxa"/>
            <w:bottom w:w="0" w:type="dxa"/>
            <w:right w:w="0" w:type="dxa"/>
          </w:tblCellMar>
        </w:tblPrEx>
        <w:trPr>
          <w:gridAfter w:val="1"/>
          <w:wAfter w:w="153" w:type="dxa"/>
          <w:trHeight w:val="385" w:hRule="atLeast"/>
          <w:jc w:val="center"/>
        </w:trPr>
        <w:tc>
          <w:tcPr>
            <w:tcW w:w="958" w:type="dxa"/>
            <w:tcBorders>
              <w:top w:val="nil"/>
              <w:left w:val="single" w:color="000000" w:sz="4" w:space="0"/>
              <w:bottom w:val="single" w:color="auto"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221 </w:t>
            </w:r>
          </w:p>
        </w:tc>
        <w:tc>
          <w:tcPr>
            <w:tcW w:w="2823" w:type="dxa"/>
            <w:gridSpan w:val="5"/>
            <w:tcBorders>
              <w:top w:val="nil"/>
              <w:left w:val="nil"/>
              <w:bottom w:val="single" w:color="auto"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住房保障支出</w:t>
            </w:r>
            <w:r>
              <w:rPr>
                <w:rFonts w:ascii="宋体" w:hAnsi="宋体" w:eastAsia="宋体" w:cs="宋体"/>
                <w:color w:val="000000"/>
                <w:kern w:val="0"/>
                <w:sz w:val="20"/>
                <w:szCs w:val="20"/>
              </w:rPr>
              <w:t xml:space="preserve"> </w:t>
            </w:r>
          </w:p>
        </w:tc>
        <w:tc>
          <w:tcPr>
            <w:tcW w:w="1200" w:type="dxa"/>
            <w:gridSpan w:val="2"/>
            <w:tcBorders>
              <w:top w:val="nil"/>
              <w:left w:val="nil"/>
              <w:bottom w:val="single" w:color="auto"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49.31 </w:t>
            </w:r>
          </w:p>
        </w:tc>
        <w:tc>
          <w:tcPr>
            <w:tcW w:w="1200" w:type="dxa"/>
            <w:gridSpan w:val="2"/>
            <w:tcBorders>
              <w:top w:val="nil"/>
              <w:left w:val="nil"/>
              <w:bottom w:val="single" w:color="auto"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49.31 </w:t>
            </w:r>
          </w:p>
        </w:tc>
        <w:tc>
          <w:tcPr>
            <w:tcW w:w="1125" w:type="dxa"/>
            <w:tcBorders>
              <w:top w:val="nil"/>
              <w:left w:val="nil"/>
              <w:bottom w:val="single" w:color="auto"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402" w:type="dxa"/>
            <w:tcBorders>
              <w:top w:val="nil"/>
              <w:left w:val="nil"/>
              <w:bottom w:val="single" w:color="auto"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403" w:type="dxa"/>
            <w:gridSpan w:val="2"/>
            <w:tcBorders>
              <w:top w:val="nil"/>
              <w:left w:val="nil"/>
              <w:bottom w:val="single" w:color="auto"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500" w:type="dxa"/>
            <w:tcBorders>
              <w:top w:val="nil"/>
              <w:left w:val="nil"/>
              <w:bottom w:val="single" w:color="auto"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970" w:type="dxa"/>
            <w:tcBorders>
              <w:top w:val="nil"/>
              <w:left w:val="nil"/>
              <w:bottom w:val="single" w:color="auto"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r>
      <w:tr>
        <w:tblPrEx>
          <w:tblLayout w:type="fixed"/>
          <w:tblCellMar>
            <w:top w:w="0" w:type="dxa"/>
            <w:left w:w="0" w:type="dxa"/>
            <w:bottom w:w="0" w:type="dxa"/>
            <w:right w:w="0" w:type="dxa"/>
          </w:tblCellMar>
        </w:tblPrEx>
        <w:trPr>
          <w:gridAfter w:val="1"/>
          <w:wAfter w:w="153" w:type="dxa"/>
          <w:trHeight w:val="385" w:hRule="atLeast"/>
          <w:jc w:val="center"/>
        </w:trPr>
        <w:tc>
          <w:tcPr>
            <w:tcW w:w="95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22102 </w:t>
            </w:r>
          </w:p>
        </w:tc>
        <w:tc>
          <w:tcPr>
            <w:tcW w:w="2823" w:type="dxa"/>
            <w:gridSpan w:val="5"/>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住房改革支出</w:t>
            </w:r>
            <w:r>
              <w:rPr>
                <w:rFonts w:ascii="宋体" w:hAnsi="宋体" w:eastAsia="宋体" w:cs="宋体"/>
                <w:color w:val="000000"/>
                <w:kern w:val="0"/>
                <w:sz w:val="20"/>
                <w:szCs w:val="20"/>
              </w:rPr>
              <w:t xml:space="preserve"> </w:t>
            </w:r>
          </w:p>
        </w:tc>
        <w:tc>
          <w:tcPr>
            <w:tcW w:w="1200"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pPr>
            <w:r>
              <w:rPr>
                <w:rFonts w:ascii="宋体" w:hAnsi="宋体" w:eastAsia="宋体" w:cs="宋体"/>
                <w:color w:val="000000"/>
                <w:kern w:val="0"/>
                <w:sz w:val="22"/>
              </w:rPr>
              <w:t xml:space="preserve"> 49.31 </w:t>
            </w:r>
          </w:p>
        </w:tc>
        <w:tc>
          <w:tcPr>
            <w:tcW w:w="1200"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pPr>
            <w:r>
              <w:rPr>
                <w:rFonts w:ascii="宋体" w:hAnsi="宋体" w:eastAsia="宋体" w:cs="宋体"/>
                <w:color w:val="000000"/>
                <w:kern w:val="0"/>
                <w:sz w:val="22"/>
              </w:rPr>
              <w:t xml:space="preserve"> 49.31 </w:t>
            </w:r>
          </w:p>
        </w:tc>
        <w:tc>
          <w:tcPr>
            <w:tcW w:w="112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pPr>
            <w:r>
              <w:rPr>
                <w:rFonts w:ascii="宋体" w:hAnsi="宋体" w:eastAsia="宋体" w:cs="宋体"/>
                <w:color w:val="000000"/>
                <w:kern w:val="0"/>
                <w:sz w:val="22"/>
              </w:rPr>
              <w:t xml:space="preserve"> -   </w:t>
            </w:r>
          </w:p>
        </w:tc>
        <w:tc>
          <w:tcPr>
            <w:tcW w:w="40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pPr>
            <w:r>
              <w:rPr>
                <w:rFonts w:ascii="宋体" w:hAnsi="宋体" w:eastAsia="宋体" w:cs="宋体"/>
                <w:color w:val="000000"/>
                <w:kern w:val="0"/>
                <w:sz w:val="22"/>
              </w:rPr>
              <w:t xml:space="preserve"> -   </w:t>
            </w:r>
          </w:p>
        </w:tc>
        <w:tc>
          <w:tcPr>
            <w:tcW w:w="403"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pPr>
            <w:r>
              <w:rPr>
                <w:rFonts w:ascii="宋体" w:hAnsi="宋体" w:eastAsia="宋体" w:cs="宋体"/>
                <w:color w:val="000000"/>
                <w:kern w:val="0"/>
                <w:sz w:val="22"/>
              </w:rPr>
              <w:t xml:space="preserve"> -   </w:t>
            </w:r>
          </w:p>
        </w:tc>
        <w:tc>
          <w:tcPr>
            <w:tcW w:w="5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pPr>
            <w:r>
              <w:rPr>
                <w:rFonts w:ascii="宋体" w:hAnsi="宋体" w:eastAsia="宋体" w:cs="宋体"/>
                <w:color w:val="000000"/>
                <w:kern w:val="0"/>
                <w:sz w:val="22"/>
              </w:rPr>
              <w:t xml:space="preserve"> -   </w:t>
            </w:r>
          </w:p>
        </w:tc>
        <w:tc>
          <w:tcPr>
            <w:tcW w:w="9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pPr>
            <w:r>
              <w:rPr>
                <w:rFonts w:ascii="宋体" w:hAnsi="宋体" w:eastAsia="宋体" w:cs="宋体"/>
                <w:color w:val="000000"/>
                <w:kern w:val="0"/>
                <w:sz w:val="22"/>
              </w:rPr>
              <w:t xml:space="preserve"> -   </w:t>
            </w:r>
          </w:p>
        </w:tc>
      </w:tr>
      <w:tr>
        <w:tblPrEx>
          <w:tblLayout w:type="fixed"/>
          <w:tblCellMar>
            <w:top w:w="0" w:type="dxa"/>
            <w:left w:w="0" w:type="dxa"/>
            <w:bottom w:w="0" w:type="dxa"/>
            <w:right w:w="0" w:type="dxa"/>
          </w:tblCellMar>
        </w:tblPrEx>
        <w:trPr>
          <w:gridAfter w:val="1"/>
          <w:wAfter w:w="153" w:type="dxa"/>
          <w:trHeight w:val="385" w:hRule="atLeast"/>
          <w:jc w:val="center"/>
        </w:trPr>
        <w:tc>
          <w:tcPr>
            <w:tcW w:w="958"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2210201 </w:t>
            </w:r>
          </w:p>
        </w:tc>
        <w:tc>
          <w:tcPr>
            <w:tcW w:w="2823" w:type="dxa"/>
            <w:gridSpan w:val="5"/>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住房公积金</w:t>
            </w:r>
            <w:r>
              <w:rPr>
                <w:rFonts w:ascii="宋体" w:hAnsi="宋体" w:eastAsia="宋体" w:cs="宋体"/>
                <w:color w:val="000000"/>
                <w:kern w:val="0"/>
                <w:sz w:val="20"/>
                <w:szCs w:val="20"/>
              </w:rPr>
              <w:t xml:space="preserve"> </w:t>
            </w:r>
          </w:p>
        </w:tc>
        <w:tc>
          <w:tcPr>
            <w:tcW w:w="1200" w:type="dxa"/>
            <w:gridSpan w:val="2"/>
            <w:tcBorders>
              <w:top w:val="single" w:color="auto" w:sz="4" w:space="0"/>
              <w:left w:val="single" w:color="auto" w:sz="4" w:space="0"/>
              <w:bottom w:val="single" w:color="auto" w:sz="4" w:space="0"/>
              <w:right w:val="single" w:color="auto" w:sz="4" w:space="0"/>
            </w:tcBorders>
            <w:vAlign w:val="center"/>
          </w:tcPr>
          <w:p>
            <w:pPr>
              <w:widowControl/>
              <w:jc w:val="right"/>
              <w:textAlignment w:val="center"/>
            </w:pPr>
            <w:r>
              <w:rPr>
                <w:rFonts w:ascii="宋体" w:hAnsi="宋体" w:eastAsia="宋体" w:cs="宋体"/>
                <w:color w:val="000000"/>
                <w:kern w:val="0"/>
                <w:sz w:val="22"/>
              </w:rPr>
              <w:t xml:space="preserve"> 49.31 </w:t>
            </w:r>
          </w:p>
        </w:tc>
        <w:tc>
          <w:tcPr>
            <w:tcW w:w="1200" w:type="dxa"/>
            <w:gridSpan w:val="2"/>
            <w:tcBorders>
              <w:top w:val="single" w:color="auto" w:sz="4" w:space="0"/>
              <w:left w:val="single" w:color="auto" w:sz="4" w:space="0"/>
              <w:bottom w:val="single" w:color="auto" w:sz="4" w:space="0"/>
              <w:right w:val="single" w:color="auto" w:sz="4" w:space="0"/>
            </w:tcBorders>
            <w:vAlign w:val="center"/>
          </w:tcPr>
          <w:p>
            <w:pPr>
              <w:widowControl/>
              <w:jc w:val="right"/>
              <w:textAlignment w:val="center"/>
            </w:pPr>
            <w:r>
              <w:rPr>
                <w:rFonts w:ascii="宋体" w:hAnsi="宋体" w:eastAsia="宋体" w:cs="宋体"/>
                <w:color w:val="000000"/>
                <w:kern w:val="0"/>
                <w:sz w:val="22"/>
              </w:rPr>
              <w:t xml:space="preserve"> 49.31 </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pPr>
            <w:r>
              <w:rPr>
                <w:rFonts w:ascii="宋体" w:hAnsi="宋体" w:eastAsia="宋体" w:cs="宋体"/>
                <w:color w:val="000000"/>
                <w:kern w:val="0"/>
                <w:sz w:val="22"/>
              </w:rPr>
              <w:t xml:space="preserve"> -   </w:t>
            </w:r>
          </w:p>
        </w:tc>
        <w:tc>
          <w:tcPr>
            <w:tcW w:w="402"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pPr>
            <w:r>
              <w:rPr>
                <w:rFonts w:ascii="宋体" w:hAnsi="宋体" w:eastAsia="宋体" w:cs="宋体"/>
                <w:color w:val="000000"/>
                <w:kern w:val="0"/>
                <w:sz w:val="22"/>
              </w:rPr>
              <w:t xml:space="preserve"> -   </w:t>
            </w:r>
          </w:p>
        </w:tc>
        <w:tc>
          <w:tcPr>
            <w:tcW w:w="403" w:type="dxa"/>
            <w:gridSpan w:val="2"/>
            <w:tcBorders>
              <w:top w:val="single" w:color="auto" w:sz="4" w:space="0"/>
              <w:left w:val="single" w:color="auto" w:sz="4" w:space="0"/>
              <w:bottom w:val="single" w:color="auto" w:sz="4" w:space="0"/>
              <w:right w:val="single" w:color="auto" w:sz="4" w:space="0"/>
            </w:tcBorders>
            <w:vAlign w:val="center"/>
          </w:tcPr>
          <w:p>
            <w:pPr>
              <w:widowControl/>
              <w:jc w:val="right"/>
              <w:textAlignment w:val="center"/>
            </w:pPr>
            <w:r>
              <w:rPr>
                <w:rFonts w:ascii="宋体" w:hAnsi="宋体" w:eastAsia="宋体" w:cs="宋体"/>
                <w:color w:val="000000"/>
                <w:kern w:val="0"/>
                <w:sz w:val="22"/>
              </w:rPr>
              <w:t xml:space="preserve"> -   </w:t>
            </w:r>
          </w:p>
        </w:tc>
        <w:tc>
          <w:tcPr>
            <w:tcW w:w="500"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pPr>
            <w:r>
              <w:rPr>
                <w:rFonts w:ascii="宋体" w:hAnsi="宋体" w:eastAsia="宋体" w:cs="宋体"/>
                <w:color w:val="000000"/>
                <w:kern w:val="0"/>
                <w:sz w:val="22"/>
              </w:rPr>
              <w:t xml:space="preserve"> -   </w:t>
            </w:r>
          </w:p>
        </w:tc>
        <w:tc>
          <w:tcPr>
            <w:tcW w:w="970"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pPr>
            <w:r>
              <w:rPr>
                <w:rFonts w:ascii="宋体" w:hAnsi="宋体" w:eastAsia="宋体" w:cs="宋体"/>
                <w:color w:val="000000"/>
                <w:kern w:val="0"/>
                <w:sz w:val="22"/>
              </w:rPr>
              <w:t xml:space="preserve"> -   </w:t>
            </w:r>
          </w:p>
        </w:tc>
      </w:tr>
    </w:tbl>
    <w:p>
      <w:pPr>
        <w:jc w:val="left"/>
      </w:pPr>
      <w:r>
        <w:rPr>
          <w:rFonts w:hint="eastAsia" w:ascii="宋体" w:hAnsi="宋体" w:eastAsia="宋体" w:cs="宋体"/>
          <w:color w:val="000000"/>
          <w:kern w:val="0"/>
          <w:sz w:val="22"/>
        </w:rPr>
        <w:t>注：本表反映部门本年度各项收入情况。</w:t>
      </w:r>
    </w:p>
    <w:p>
      <w:r>
        <w:br w:type="page"/>
      </w:r>
    </w:p>
    <w:tbl>
      <w:tblPr>
        <w:tblStyle w:val="7"/>
        <w:tblW w:w="9770" w:type="dxa"/>
        <w:jc w:val="center"/>
        <w:tblInd w:w="0" w:type="dxa"/>
        <w:tblLayout w:type="fixed"/>
        <w:tblCellMar>
          <w:top w:w="0" w:type="dxa"/>
          <w:left w:w="0" w:type="dxa"/>
          <w:bottom w:w="0" w:type="dxa"/>
          <w:right w:w="0" w:type="dxa"/>
        </w:tblCellMar>
      </w:tblPr>
      <w:tblGrid>
        <w:gridCol w:w="941"/>
        <w:gridCol w:w="53"/>
        <w:gridCol w:w="111"/>
        <w:gridCol w:w="1359"/>
        <w:gridCol w:w="1161"/>
        <w:gridCol w:w="699"/>
        <w:gridCol w:w="462"/>
        <w:gridCol w:w="644"/>
        <w:gridCol w:w="517"/>
        <w:gridCol w:w="533"/>
        <w:gridCol w:w="1050"/>
        <w:gridCol w:w="739"/>
        <w:gridCol w:w="90"/>
        <w:gridCol w:w="476"/>
        <w:gridCol w:w="845"/>
        <w:gridCol w:w="90"/>
      </w:tblGrid>
      <w:tr>
        <w:tblPrEx>
          <w:tblLayout w:type="fixed"/>
          <w:tblCellMar>
            <w:top w:w="0" w:type="dxa"/>
            <w:left w:w="0" w:type="dxa"/>
            <w:bottom w:w="0" w:type="dxa"/>
            <w:right w:w="0" w:type="dxa"/>
          </w:tblCellMar>
        </w:tblPrEx>
        <w:trPr>
          <w:gridAfter w:val="1"/>
          <w:wAfter w:w="90" w:type="dxa"/>
          <w:trHeight w:val="612" w:hRule="atLeast"/>
          <w:jc w:val="center"/>
        </w:trPr>
        <w:tc>
          <w:tcPr>
            <w:tcW w:w="9680" w:type="dxa"/>
            <w:gridSpan w:val="15"/>
            <w:tcBorders>
              <w:top w:val="nil"/>
              <w:left w:val="nil"/>
              <w:bottom w:val="nil"/>
              <w:right w:val="nil"/>
            </w:tcBorders>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支出决算表</w:t>
            </w:r>
          </w:p>
        </w:tc>
      </w:tr>
      <w:tr>
        <w:tblPrEx>
          <w:tblLayout w:type="fixed"/>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53"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1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359"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16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161" w:type="dxa"/>
            <w:gridSpan w:val="2"/>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161" w:type="dxa"/>
            <w:gridSpan w:val="2"/>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2322" w:type="dxa"/>
            <w:gridSpan w:val="3"/>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90"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411" w:type="dxa"/>
            <w:gridSpan w:val="3"/>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03</w:t>
            </w:r>
            <w:r>
              <w:rPr>
                <w:rFonts w:hint="eastAsia" w:ascii="宋体" w:hAnsi="宋体" w:eastAsia="宋体" w:cs="宋体"/>
                <w:color w:val="000000"/>
                <w:kern w:val="0"/>
                <w:sz w:val="20"/>
                <w:szCs w:val="20"/>
              </w:rPr>
              <w:t>表</w:t>
            </w:r>
          </w:p>
        </w:tc>
      </w:tr>
      <w:tr>
        <w:tblPrEx>
          <w:tblLayout w:type="fixed"/>
          <w:tblCellMar>
            <w:top w:w="0" w:type="dxa"/>
            <w:left w:w="0" w:type="dxa"/>
            <w:bottom w:w="0" w:type="dxa"/>
            <w:right w:w="0" w:type="dxa"/>
          </w:tblCellMar>
        </w:tblPrEx>
        <w:trPr>
          <w:gridAfter w:val="1"/>
          <w:wAfter w:w="90" w:type="dxa"/>
          <w:trHeight w:val="313" w:hRule="atLeast"/>
          <w:jc w:val="center"/>
        </w:trPr>
        <w:tc>
          <w:tcPr>
            <w:tcW w:w="941" w:type="dxa"/>
            <w:tcBorders>
              <w:top w:val="nil"/>
              <w:left w:val="nil"/>
              <w:bottom w:val="nil"/>
              <w:right w:val="nil"/>
            </w:tcBorders>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53"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1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7164" w:type="dxa"/>
            <w:gridSpan w:val="9"/>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r>
              <w:rPr>
                <w:rFonts w:hint="eastAsia" w:ascii="Arial" w:hAnsi="Arial" w:cs="Arial"/>
                <w:color w:val="000000"/>
                <w:sz w:val="20"/>
                <w:szCs w:val="20"/>
              </w:rPr>
              <w:t>唐山市曹妃甸区人力资源和社会保障局</w:t>
            </w:r>
          </w:p>
        </w:tc>
        <w:tc>
          <w:tcPr>
            <w:tcW w:w="1411" w:type="dxa"/>
            <w:gridSpan w:val="3"/>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Layout w:type="fixed"/>
          <w:tblCellMar>
            <w:top w:w="0" w:type="dxa"/>
            <w:left w:w="0" w:type="dxa"/>
            <w:bottom w:w="0" w:type="dxa"/>
            <w:right w:w="0" w:type="dxa"/>
          </w:tblCellMar>
        </w:tblPrEx>
        <w:trPr>
          <w:gridAfter w:val="1"/>
          <w:wAfter w:w="90" w:type="dxa"/>
          <w:trHeight w:val="323" w:hRule="atLeast"/>
          <w:jc w:val="center"/>
        </w:trPr>
        <w:tc>
          <w:tcPr>
            <w:tcW w:w="4324"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1106" w:type="dxa"/>
            <w:gridSpan w:val="2"/>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本年支出合计</w:t>
            </w:r>
          </w:p>
        </w:tc>
        <w:tc>
          <w:tcPr>
            <w:tcW w:w="1050" w:type="dxa"/>
            <w:gridSpan w:val="2"/>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105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c>
          <w:tcPr>
            <w:tcW w:w="739"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上缴上级支出</w:t>
            </w:r>
          </w:p>
        </w:tc>
        <w:tc>
          <w:tcPr>
            <w:tcW w:w="566" w:type="dxa"/>
            <w:gridSpan w:val="2"/>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经营支出</w:t>
            </w:r>
          </w:p>
        </w:tc>
        <w:tc>
          <w:tcPr>
            <w:tcW w:w="845"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对附属单位补助支出</w:t>
            </w:r>
          </w:p>
        </w:tc>
      </w:tr>
      <w:tr>
        <w:tblPrEx>
          <w:tblLayout w:type="fixed"/>
          <w:tblCellMar>
            <w:top w:w="0" w:type="dxa"/>
            <w:left w:w="0" w:type="dxa"/>
            <w:bottom w:w="0" w:type="dxa"/>
            <w:right w:w="0" w:type="dxa"/>
          </w:tblCellMar>
        </w:tblPrEx>
        <w:trPr>
          <w:gridAfter w:val="1"/>
          <w:wAfter w:w="90" w:type="dxa"/>
          <w:trHeight w:val="319" w:hRule="atLeast"/>
          <w:jc w:val="center"/>
        </w:trPr>
        <w:tc>
          <w:tcPr>
            <w:tcW w:w="1105"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3219" w:type="dxa"/>
            <w:gridSpan w:val="3"/>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1106"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050"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05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73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566"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84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Layout w:type="fixed"/>
          <w:tblCellMar>
            <w:top w:w="0" w:type="dxa"/>
            <w:left w:w="0" w:type="dxa"/>
            <w:bottom w:w="0" w:type="dxa"/>
            <w:right w:w="0" w:type="dxa"/>
          </w:tblCellMar>
        </w:tblPrEx>
        <w:trPr>
          <w:gridAfter w:val="1"/>
          <w:wAfter w:w="90" w:type="dxa"/>
          <w:trHeight w:val="319" w:hRule="atLeast"/>
          <w:jc w:val="center"/>
        </w:trPr>
        <w:tc>
          <w:tcPr>
            <w:tcW w:w="1105"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3219" w:type="dxa"/>
            <w:gridSpan w:val="3"/>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06"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050"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05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73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566"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84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Layout w:type="fixed"/>
          <w:tblCellMar>
            <w:top w:w="0" w:type="dxa"/>
            <w:left w:w="0" w:type="dxa"/>
            <w:bottom w:w="0" w:type="dxa"/>
            <w:right w:w="0" w:type="dxa"/>
          </w:tblCellMar>
        </w:tblPrEx>
        <w:trPr>
          <w:gridAfter w:val="1"/>
          <w:wAfter w:w="90" w:type="dxa"/>
          <w:trHeight w:val="319" w:hRule="atLeast"/>
          <w:jc w:val="center"/>
        </w:trPr>
        <w:tc>
          <w:tcPr>
            <w:tcW w:w="1105"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3219" w:type="dxa"/>
            <w:gridSpan w:val="3"/>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06"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050"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05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73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566"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84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4324" w:type="dxa"/>
            <w:gridSpan w:val="6"/>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w:t>
            </w: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6</w:t>
            </w:r>
          </w:p>
        </w:tc>
      </w:tr>
      <w:tr>
        <w:tblPrEx>
          <w:tblLayout w:type="fixed"/>
          <w:tblCellMar>
            <w:top w:w="0" w:type="dxa"/>
            <w:left w:w="0" w:type="dxa"/>
            <w:bottom w:w="0" w:type="dxa"/>
            <w:right w:w="0" w:type="dxa"/>
          </w:tblCellMar>
        </w:tblPrEx>
        <w:trPr>
          <w:gridAfter w:val="1"/>
          <w:wAfter w:w="90" w:type="dxa"/>
          <w:trHeight w:val="323" w:hRule="atLeast"/>
          <w:jc w:val="center"/>
        </w:trPr>
        <w:tc>
          <w:tcPr>
            <w:tcW w:w="4324" w:type="dxa"/>
            <w:gridSpan w:val="6"/>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b/>
                <w:color w:val="000000"/>
                <w:sz w:val="22"/>
              </w:rPr>
            </w:pPr>
            <w:r>
              <w:rPr>
                <w:rFonts w:ascii="宋体" w:hAnsi="宋体" w:eastAsia="宋体" w:cs="宋体"/>
                <w:b/>
                <w:color w:val="000000"/>
                <w:kern w:val="0"/>
                <w:sz w:val="22"/>
              </w:rPr>
              <w:t xml:space="preserve"> 1,403.98 </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b/>
                <w:color w:val="000000"/>
                <w:sz w:val="22"/>
              </w:rPr>
            </w:pPr>
            <w:r>
              <w:rPr>
                <w:rFonts w:ascii="宋体" w:hAnsi="宋体" w:eastAsia="宋体" w:cs="宋体"/>
                <w:b/>
                <w:color w:val="000000"/>
                <w:kern w:val="0"/>
                <w:sz w:val="22"/>
              </w:rPr>
              <w:t xml:space="preserve"> 1,050.32 </w:t>
            </w: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b/>
                <w:color w:val="000000"/>
                <w:sz w:val="22"/>
              </w:rPr>
            </w:pPr>
            <w:r>
              <w:rPr>
                <w:rFonts w:ascii="宋体" w:hAnsi="宋体" w:eastAsia="宋体" w:cs="宋体"/>
                <w:b/>
                <w:color w:val="000000"/>
                <w:kern w:val="0"/>
                <w:sz w:val="22"/>
              </w:rPr>
              <w:t xml:space="preserve"> 353.66 </w:t>
            </w: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208 </w:t>
            </w:r>
          </w:p>
        </w:tc>
        <w:tc>
          <w:tcPr>
            <w:tcW w:w="3219"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社会保障和就业支出</w:t>
            </w:r>
            <w:r>
              <w:rPr>
                <w:rFonts w:ascii="宋体" w:hAnsi="宋体" w:eastAsia="宋体" w:cs="宋体"/>
                <w:color w:val="000000"/>
                <w:kern w:val="0"/>
                <w:sz w:val="20"/>
                <w:szCs w:val="20"/>
              </w:rPr>
              <w:t xml:space="preserve"> </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1,287.93 </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934.27 </w:t>
            </w: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353.66 </w:t>
            </w: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20801 </w:t>
            </w:r>
          </w:p>
        </w:tc>
        <w:tc>
          <w:tcPr>
            <w:tcW w:w="3219"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人力资源和社会保障管理事务</w:t>
            </w:r>
            <w:r>
              <w:rPr>
                <w:rFonts w:ascii="宋体" w:hAnsi="宋体" w:eastAsia="宋体" w:cs="宋体"/>
                <w:color w:val="000000"/>
                <w:kern w:val="0"/>
                <w:sz w:val="20"/>
                <w:szCs w:val="20"/>
              </w:rPr>
              <w:t xml:space="preserve"> </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1,174.57 </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852.94 </w:t>
            </w: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321.63 </w:t>
            </w: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2080101 </w:t>
            </w:r>
          </w:p>
        </w:tc>
        <w:tc>
          <w:tcPr>
            <w:tcW w:w="3219"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行政运行</w:t>
            </w:r>
            <w:r>
              <w:rPr>
                <w:rFonts w:ascii="宋体" w:hAnsi="宋体" w:eastAsia="宋体" w:cs="宋体"/>
                <w:color w:val="000000"/>
                <w:kern w:val="0"/>
                <w:sz w:val="20"/>
                <w:szCs w:val="20"/>
              </w:rPr>
              <w:t xml:space="preserve"> </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1,000.73 </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851.74 </w:t>
            </w: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148.99 </w:t>
            </w: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2080104 </w:t>
            </w:r>
          </w:p>
        </w:tc>
        <w:tc>
          <w:tcPr>
            <w:tcW w:w="3219"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综合业务管理</w:t>
            </w:r>
            <w:r>
              <w:rPr>
                <w:rFonts w:ascii="宋体" w:hAnsi="宋体" w:eastAsia="宋体" w:cs="宋体"/>
                <w:color w:val="000000"/>
                <w:kern w:val="0"/>
                <w:sz w:val="20"/>
                <w:szCs w:val="20"/>
              </w:rPr>
              <w:t xml:space="preserve"> </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163.79 </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163.79 </w:t>
            </w: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2080105 </w:t>
            </w:r>
          </w:p>
        </w:tc>
        <w:tc>
          <w:tcPr>
            <w:tcW w:w="3219"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劳动保障监察</w:t>
            </w:r>
            <w:r>
              <w:rPr>
                <w:rFonts w:ascii="宋体" w:hAnsi="宋体" w:eastAsia="宋体" w:cs="宋体"/>
                <w:color w:val="000000"/>
                <w:kern w:val="0"/>
                <w:sz w:val="20"/>
                <w:szCs w:val="20"/>
              </w:rPr>
              <w:t xml:space="preserve"> </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7.00 </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7.00 </w:t>
            </w: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2080106 </w:t>
            </w:r>
          </w:p>
        </w:tc>
        <w:tc>
          <w:tcPr>
            <w:tcW w:w="3219"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就业管理事务</w:t>
            </w:r>
            <w:r>
              <w:rPr>
                <w:rFonts w:ascii="宋体" w:hAnsi="宋体" w:eastAsia="宋体" w:cs="宋体"/>
                <w:color w:val="000000"/>
                <w:kern w:val="0"/>
                <w:sz w:val="20"/>
                <w:szCs w:val="20"/>
              </w:rPr>
              <w:t xml:space="preserve"> </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1.20 </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1.20 </w:t>
            </w: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2080112 </w:t>
            </w:r>
          </w:p>
        </w:tc>
        <w:tc>
          <w:tcPr>
            <w:tcW w:w="3219"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劳动人事争议调解仲裁</w:t>
            </w:r>
            <w:r>
              <w:rPr>
                <w:rFonts w:ascii="宋体" w:hAnsi="宋体" w:eastAsia="宋体" w:cs="宋体"/>
                <w:color w:val="000000"/>
                <w:kern w:val="0"/>
                <w:sz w:val="20"/>
                <w:szCs w:val="20"/>
              </w:rPr>
              <w:t xml:space="preserve"> </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1.85 </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1.85 </w:t>
            </w: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20802 </w:t>
            </w:r>
          </w:p>
        </w:tc>
        <w:tc>
          <w:tcPr>
            <w:tcW w:w="3219"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民政管理事务</w:t>
            </w:r>
            <w:r>
              <w:rPr>
                <w:rFonts w:ascii="宋体" w:hAnsi="宋体" w:eastAsia="宋体" w:cs="宋体"/>
                <w:color w:val="000000"/>
                <w:kern w:val="0"/>
                <w:sz w:val="20"/>
                <w:szCs w:val="20"/>
              </w:rPr>
              <w:t xml:space="preserve"> </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7.50 </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7.50 </w:t>
            </w: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2080299 </w:t>
            </w:r>
          </w:p>
        </w:tc>
        <w:tc>
          <w:tcPr>
            <w:tcW w:w="3219"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其他民政管理事务支出</w:t>
            </w:r>
            <w:r>
              <w:rPr>
                <w:rFonts w:ascii="宋体" w:hAnsi="宋体" w:eastAsia="宋体" w:cs="宋体"/>
                <w:color w:val="000000"/>
                <w:kern w:val="0"/>
                <w:sz w:val="20"/>
                <w:szCs w:val="20"/>
              </w:rPr>
              <w:t xml:space="preserve"> </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7.50 </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7.50 </w:t>
            </w: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20805 </w:t>
            </w:r>
          </w:p>
        </w:tc>
        <w:tc>
          <w:tcPr>
            <w:tcW w:w="3219"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行政事业单位离退休</w:t>
            </w:r>
            <w:r>
              <w:rPr>
                <w:rFonts w:ascii="宋体" w:hAnsi="宋体" w:eastAsia="宋体" w:cs="宋体"/>
                <w:color w:val="000000"/>
                <w:kern w:val="0"/>
                <w:sz w:val="20"/>
                <w:szCs w:val="20"/>
              </w:rPr>
              <w:t xml:space="preserve"> </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81.33 </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81.33 </w:t>
            </w: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2080505 </w:t>
            </w:r>
          </w:p>
        </w:tc>
        <w:tc>
          <w:tcPr>
            <w:tcW w:w="3219"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机关事业单位基本养老保险缴费支出</w:t>
            </w:r>
            <w:r>
              <w:rPr>
                <w:rFonts w:ascii="宋体" w:hAnsi="宋体" w:eastAsia="宋体" w:cs="宋体"/>
                <w:color w:val="000000"/>
                <w:kern w:val="0"/>
                <w:sz w:val="20"/>
                <w:szCs w:val="20"/>
              </w:rPr>
              <w:t xml:space="preserve"> </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81.18 </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81.18 </w:t>
            </w: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2080506 </w:t>
            </w:r>
          </w:p>
        </w:tc>
        <w:tc>
          <w:tcPr>
            <w:tcW w:w="3219"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机关事业单位职业年金缴费支出</w:t>
            </w:r>
            <w:r>
              <w:rPr>
                <w:rFonts w:ascii="宋体" w:hAnsi="宋体" w:eastAsia="宋体" w:cs="宋体"/>
                <w:color w:val="000000"/>
                <w:kern w:val="0"/>
                <w:sz w:val="20"/>
                <w:szCs w:val="20"/>
              </w:rPr>
              <w:t xml:space="preserve"> </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0.15 </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0.15 </w:t>
            </w: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20899 </w:t>
            </w:r>
          </w:p>
        </w:tc>
        <w:tc>
          <w:tcPr>
            <w:tcW w:w="3219"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其他社会保障和就业支出</w:t>
            </w:r>
            <w:r>
              <w:rPr>
                <w:rFonts w:ascii="宋体" w:hAnsi="宋体" w:eastAsia="宋体" w:cs="宋体"/>
                <w:color w:val="000000"/>
                <w:kern w:val="0"/>
                <w:sz w:val="20"/>
                <w:szCs w:val="20"/>
              </w:rPr>
              <w:t xml:space="preserve"> </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24.53 </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24.53 </w:t>
            </w: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2089901 </w:t>
            </w:r>
          </w:p>
        </w:tc>
        <w:tc>
          <w:tcPr>
            <w:tcW w:w="3219"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其他社会保障和就业支出</w:t>
            </w:r>
            <w:r>
              <w:rPr>
                <w:rFonts w:ascii="宋体" w:hAnsi="宋体" w:eastAsia="宋体" w:cs="宋体"/>
                <w:color w:val="000000"/>
                <w:kern w:val="0"/>
                <w:sz w:val="20"/>
                <w:szCs w:val="20"/>
              </w:rPr>
              <w:t xml:space="preserve"> </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24.53 </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24.53 </w:t>
            </w: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210 </w:t>
            </w:r>
          </w:p>
        </w:tc>
        <w:tc>
          <w:tcPr>
            <w:tcW w:w="3219"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卫生健康支出</w:t>
            </w:r>
            <w:r>
              <w:rPr>
                <w:rFonts w:ascii="宋体" w:hAnsi="宋体" w:eastAsia="宋体" w:cs="宋体"/>
                <w:color w:val="000000"/>
                <w:kern w:val="0"/>
                <w:sz w:val="20"/>
                <w:szCs w:val="20"/>
              </w:rPr>
              <w:t xml:space="preserve"> </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66.74 </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66.74 </w:t>
            </w: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21011 </w:t>
            </w:r>
          </w:p>
        </w:tc>
        <w:tc>
          <w:tcPr>
            <w:tcW w:w="3219"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行政事业单位医疗</w:t>
            </w:r>
            <w:r>
              <w:rPr>
                <w:rFonts w:ascii="宋体" w:hAnsi="宋体" w:eastAsia="宋体" w:cs="宋体"/>
                <w:color w:val="000000"/>
                <w:kern w:val="0"/>
                <w:sz w:val="20"/>
                <w:szCs w:val="20"/>
              </w:rPr>
              <w:t xml:space="preserve"> </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66.74 </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66.74 </w:t>
            </w: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2101101 </w:t>
            </w:r>
          </w:p>
        </w:tc>
        <w:tc>
          <w:tcPr>
            <w:tcW w:w="3219"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行政单位医疗</w:t>
            </w:r>
            <w:r>
              <w:rPr>
                <w:rFonts w:ascii="宋体" w:hAnsi="宋体" w:eastAsia="宋体" w:cs="宋体"/>
                <w:color w:val="000000"/>
                <w:kern w:val="0"/>
                <w:sz w:val="20"/>
                <w:szCs w:val="20"/>
              </w:rPr>
              <w:t xml:space="preserve"> </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29.44 </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29.44 </w:t>
            </w: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2101103 </w:t>
            </w:r>
          </w:p>
        </w:tc>
        <w:tc>
          <w:tcPr>
            <w:tcW w:w="3219"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公务员医疗补助</w:t>
            </w:r>
            <w:r>
              <w:rPr>
                <w:rFonts w:ascii="宋体" w:hAnsi="宋体" w:eastAsia="宋体" w:cs="宋体"/>
                <w:color w:val="000000"/>
                <w:kern w:val="0"/>
                <w:sz w:val="20"/>
                <w:szCs w:val="20"/>
              </w:rPr>
              <w:t xml:space="preserve"> </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37.30 </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37.30 </w:t>
            </w: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221 </w:t>
            </w:r>
          </w:p>
        </w:tc>
        <w:tc>
          <w:tcPr>
            <w:tcW w:w="3219"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住房保障支出</w:t>
            </w:r>
            <w:r>
              <w:rPr>
                <w:rFonts w:ascii="宋体" w:hAnsi="宋体" w:eastAsia="宋体" w:cs="宋体"/>
                <w:color w:val="000000"/>
                <w:kern w:val="0"/>
                <w:sz w:val="20"/>
                <w:szCs w:val="20"/>
              </w:rPr>
              <w:t xml:space="preserve"> </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49.31 </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49.31 </w:t>
            </w: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22102 </w:t>
            </w:r>
          </w:p>
        </w:tc>
        <w:tc>
          <w:tcPr>
            <w:tcW w:w="3219"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住房改革支出</w:t>
            </w:r>
            <w:r>
              <w:rPr>
                <w:rFonts w:ascii="宋体" w:hAnsi="宋体" w:eastAsia="宋体" w:cs="宋体"/>
                <w:color w:val="000000"/>
                <w:kern w:val="0"/>
                <w:sz w:val="20"/>
                <w:szCs w:val="20"/>
              </w:rPr>
              <w:t xml:space="preserve"> </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49.31 </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49.31 </w:t>
            </w: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2210201 </w:t>
            </w:r>
          </w:p>
        </w:tc>
        <w:tc>
          <w:tcPr>
            <w:tcW w:w="3219"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住房公积金</w:t>
            </w:r>
            <w:r>
              <w:rPr>
                <w:rFonts w:ascii="宋体" w:hAnsi="宋体" w:eastAsia="宋体" w:cs="宋体"/>
                <w:color w:val="000000"/>
                <w:kern w:val="0"/>
                <w:sz w:val="20"/>
                <w:szCs w:val="20"/>
              </w:rPr>
              <w:t xml:space="preserve"> </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49.31 </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49.31 </w:t>
            </w: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9680" w:type="dxa"/>
            <w:gridSpan w:val="15"/>
            <w:tcBorders>
              <w:top w:val="nil"/>
              <w:left w:val="nil"/>
              <w:bottom w:val="nil"/>
              <w:right w:val="nil"/>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注：本表反映部门本年度各项支出情况。</w:t>
            </w:r>
          </w:p>
        </w:tc>
      </w:tr>
    </w:tbl>
    <w:p>
      <w:r>
        <w:br w:type="page"/>
      </w:r>
    </w:p>
    <w:tbl>
      <w:tblPr>
        <w:tblStyle w:val="7"/>
        <w:tblW w:w="10067" w:type="dxa"/>
        <w:jc w:val="center"/>
        <w:tblInd w:w="0" w:type="dxa"/>
        <w:tblLayout w:type="fixed"/>
        <w:tblCellMar>
          <w:top w:w="0" w:type="dxa"/>
          <w:left w:w="0" w:type="dxa"/>
          <w:bottom w:w="0" w:type="dxa"/>
          <w:right w:w="0" w:type="dxa"/>
        </w:tblCellMar>
      </w:tblPr>
      <w:tblGrid>
        <w:gridCol w:w="2922"/>
        <w:gridCol w:w="349"/>
        <w:gridCol w:w="76"/>
        <w:gridCol w:w="662"/>
        <w:gridCol w:w="2946"/>
        <w:gridCol w:w="507"/>
        <w:gridCol w:w="873"/>
        <w:gridCol w:w="966"/>
        <w:gridCol w:w="766"/>
      </w:tblGrid>
      <w:tr>
        <w:tblPrEx>
          <w:tblLayout w:type="fixed"/>
          <w:tblCellMar>
            <w:top w:w="0" w:type="dxa"/>
            <w:left w:w="0" w:type="dxa"/>
            <w:bottom w:w="0" w:type="dxa"/>
            <w:right w:w="0" w:type="dxa"/>
          </w:tblCellMar>
        </w:tblPrEx>
        <w:trPr>
          <w:trHeight w:val="406" w:hRule="atLeast"/>
          <w:jc w:val="center"/>
        </w:trPr>
        <w:tc>
          <w:tcPr>
            <w:tcW w:w="10067" w:type="dxa"/>
            <w:gridSpan w:val="9"/>
            <w:tcBorders>
              <w:top w:val="nil"/>
              <w:left w:val="nil"/>
              <w:bottom w:val="nil"/>
              <w:right w:val="nil"/>
            </w:tcBorders>
            <w:tcMar>
              <w:top w:w="15" w:type="dxa"/>
              <w:left w:w="15" w:type="dxa"/>
              <w:right w:w="15" w:type="dxa"/>
            </w:tcMar>
            <w:vAlign w:val="bottom"/>
          </w:tcPr>
          <w:p>
            <w:pPr>
              <w:jc w:val="center"/>
              <w:rPr>
                <w:rFonts w:ascii="黑体" w:hAnsi="宋体" w:eastAsia="黑体" w:cs="黑体"/>
                <w:color w:val="000000"/>
                <w:sz w:val="32"/>
                <w:szCs w:val="32"/>
              </w:rPr>
            </w:pPr>
            <w:r>
              <w:rPr>
                <w:rFonts w:hint="eastAsia" w:ascii="黑体" w:hAnsi="宋体" w:eastAsia="黑体" w:cs="黑体"/>
                <w:color w:val="000000"/>
                <w:kern w:val="0"/>
                <w:sz w:val="32"/>
                <w:szCs w:val="32"/>
              </w:rPr>
              <w:t>财政拨款收入支出决算总表</w:t>
            </w: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425" w:type="dxa"/>
            <w:gridSpan w:val="2"/>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662"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2946"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507"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2605" w:type="dxa"/>
            <w:gridSpan w:val="3"/>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04</w:t>
            </w:r>
            <w:r>
              <w:rPr>
                <w:rFonts w:hint="eastAsia" w:ascii="宋体" w:hAnsi="宋体" w:eastAsia="宋体" w:cs="宋体"/>
                <w:color w:val="000000"/>
                <w:kern w:val="0"/>
                <w:sz w:val="20"/>
                <w:szCs w:val="20"/>
              </w:rPr>
              <w:t>表</w:t>
            </w:r>
          </w:p>
        </w:tc>
      </w:tr>
      <w:tr>
        <w:tblPrEx>
          <w:tblLayout w:type="fixed"/>
          <w:tblCellMar>
            <w:top w:w="0" w:type="dxa"/>
            <w:left w:w="0" w:type="dxa"/>
            <w:bottom w:w="0" w:type="dxa"/>
            <w:right w:w="0" w:type="dxa"/>
          </w:tblCellMar>
        </w:tblPrEx>
        <w:trPr>
          <w:trHeight w:val="90" w:hRule="atLeast"/>
          <w:jc w:val="center"/>
        </w:trPr>
        <w:tc>
          <w:tcPr>
            <w:tcW w:w="6955" w:type="dxa"/>
            <w:gridSpan w:val="5"/>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r>
              <w:rPr>
                <w:rFonts w:hint="eastAsia" w:ascii="宋体" w:hAnsi="宋体" w:eastAsia="宋体" w:cs="宋体"/>
                <w:color w:val="000000"/>
                <w:kern w:val="0"/>
                <w:sz w:val="20"/>
                <w:szCs w:val="20"/>
              </w:rPr>
              <w:t>部门：唐山市曹妃甸区人力资源和社会保障局</w:t>
            </w:r>
          </w:p>
        </w:tc>
        <w:tc>
          <w:tcPr>
            <w:tcW w:w="507"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2605" w:type="dxa"/>
            <w:gridSpan w:val="3"/>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Layout w:type="fixed"/>
          <w:tblCellMar>
            <w:top w:w="0" w:type="dxa"/>
            <w:left w:w="0" w:type="dxa"/>
            <w:bottom w:w="0" w:type="dxa"/>
            <w:right w:w="0" w:type="dxa"/>
          </w:tblCellMar>
        </w:tblPrEx>
        <w:trPr>
          <w:trHeight w:val="90" w:hRule="atLeast"/>
          <w:jc w:val="center"/>
        </w:trPr>
        <w:tc>
          <w:tcPr>
            <w:tcW w:w="40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收</w:t>
            </w:r>
            <w:r>
              <w:rPr>
                <w:rFonts w:ascii="宋体" w:hAnsi="宋体" w:eastAsia="宋体" w:cs="宋体"/>
                <w:color w:val="000000"/>
                <w:kern w:val="0"/>
                <w:sz w:val="22"/>
              </w:rPr>
              <w:t xml:space="preserve">     </w:t>
            </w:r>
            <w:r>
              <w:rPr>
                <w:rFonts w:hint="eastAsia" w:ascii="宋体" w:hAnsi="宋体" w:eastAsia="宋体" w:cs="宋体"/>
                <w:color w:val="000000"/>
                <w:kern w:val="0"/>
                <w:sz w:val="22"/>
              </w:rPr>
              <w:t>入</w:t>
            </w:r>
          </w:p>
        </w:tc>
        <w:tc>
          <w:tcPr>
            <w:tcW w:w="6058" w:type="dxa"/>
            <w:gridSpan w:val="5"/>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支</w:t>
            </w:r>
            <w:r>
              <w:rPr>
                <w:rFonts w:ascii="宋体" w:hAnsi="宋体" w:eastAsia="宋体" w:cs="宋体"/>
                <w:color w:val="000000"/>
                <w:kern w:val="0"/>
                <w:sz w:val="22"/>
              </w:rPr>
              <w:t xml:space="preserve">     </w:t>
            </w:r>
            <w:r>
              <w:rPr>
                <w:rFonts w:hint="eastAsia" w:ascii="宋体" w:hAnsi="宋体" w:eastAsia="宋体" w:cs="宋体"/>
                <w:color w:val="000000"/>
                <w:kern w:val="0"/>
                <w:sz w:val="22"/>
              </w:rPr>
              <w:t>出</w:t>
            </w:r>
          </w:p>
        </w:tc>
      </w:tr>
      <w:tr>
        <w:tblPrEx>
          <w:tblLayout w:type="fixed"/>
          <w:tblCellMar>
            <w:top w:w="0" w:type="dxa"/>
            <w:left w:w="0" w:type="dxa"/>
            <w:bottom w:w="0" w:type="dxa"/>
            <w:right w:w="0" w:type="dxa"/>
          </w:tblCellMar>
        </w:tblPrEx>
        <w:trPr>
          <w:trHeight w:val="312" w:hRule="atLeast"/>
          <w:jc w:val="center"/>
        </w:trPr>
        <w:tc>
          <w:tcPr>
            <w:tcW w:w="2922"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34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行次</w:t>
            </w:r>
          </w:p>
        </w:tc>
        <w:tc>
          <w:tcPr>
            <w:tcW w:w="738"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金额</w:t>
            </w:r>
          </w:p>
        </w:tc>
        <w:tc>
          <w:tcPr>
            <w:tcW w:w="2946"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50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行次</w:t>
            </w:r>
          </w:p>
        </w:tc>
        <w:tc>
          <w:tcPr>
            <w:tcW w:w="87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966"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一般公共预算财政拨款</w:t>
            </w:r>
          </w:p>
        </w:tc>
        <w:tc>
          <w:tcPr>
            <w:tcW w:w="766"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政府性基金预算财政拨款</w:t>
            </w:r>
          </w:p>
        </w:tc>
      </w:tr>
      <w:tr>
        <w:tblPrEx>
          <w:tblLayout w:type="fixed"/>
          <w:tblCellMar>
            <w:top w:w="0" w:type="dxa"/>
            <w:left w:w="0" w:type="dxa"/>
            <w:bottom w:w="0" w:type="dxa"/>
            <w:right w:w="0" w:type="dxa"/>
          </w:tblCellMar>
        </w:tblPrEx>
        <w:trPr>
          <w:trHeight w:val="312" w:hRule="atLeast"/>
          <w:jc w:val="center"/>
        </w:trPr>
        <w:tc>
          <w:tcPr>
            <w:tcW w:w="2922"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349"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738"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2946"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507"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873"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966"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766"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栏次</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一、一般公共预算财政拨款</w:t>
            </w: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1,571.88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一、一般公共服务支出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30</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二、政府性基金预算财政拨款</w:t>
            </w: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二、外交支出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31</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三、国防支出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32</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四、公共安全支出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33</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五、教育支出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34</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6</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六、科学技术支出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35</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7</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七、文化旅游体育与传媒支出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36</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8</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八、社会保障和就业支出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37</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1,265.64 </w:t>
            </w: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1,265.64 </w:t>
            </w: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9</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九、卫生健康支出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38</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66.74 </w:t>
            </w: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66.74 </w:t>
            </w: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10</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十、节能环保支出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39</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11</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十一、城乡社区支出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40</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12</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十二、农林水支出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41</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13</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十三、交通运输支出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42</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14</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十四、资源勘探信息等支出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43</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15</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十五、商业服务业等支出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44</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16</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十六、金融支出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45</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17</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十七、援助其他地区支出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46</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18</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十八、自然资源海洋气象等支出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47</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19</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十九、住房保障支出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48</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49.31 </w:t>
            </w: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49.31 </w:t>
            </w: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20</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二十、粮油物资储备支出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49</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21</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 w:val="20"/>
                <w:szCs w:val="20"/>
              </w:rPr>
              <w:t>二十一、灾害防治及应急管理支出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50</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22</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二十二、其他支出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51</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23</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二十四、债务付息支出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52</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本年收入合计</w:t>
            </w: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24</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1,571.88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本年支出合计</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53</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1,381.69 </w:t>
            </w: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1,381.69 </w:t>
            </w: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年初财政拨款结转和结余</w:t>
            </w: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25</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165.80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年末财政拨款结转和结余</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54</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355.98 </w:t>
            </w: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355.98 </w:t>
            </w: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一、一般公共预算财政拨款</w:t>
            </w: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26</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165.80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55</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二、政府性基金预算财政拨款</w:t>
            </w: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27</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56</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28</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57</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总计</w:t>
            </w: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29</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1,737.67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总计</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58</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1,737.67 </w:t>
            </w: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1,737.67 </w:t>
            </w: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10067" w:type="dxa"/>
            <w:gridSpan w:val="9"/>
            <w:tcBorders>
              <w:top w:val="nil"/>
              <w:left w:val="nil"/>
              <w:bottom w:val="nil"/>
              <w:right w:val="nil"/>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注：本表反映部门本年度一般公共预算财政拨款和政府性基金预算财政拨款的总收支和年末结转结余情况。</w:t>
            </w:r>
          </w:p>
        </w:tc>
      </w:tr>
    </w:tbl>
    <w:p>
      <w:r>
        <w:br w:type="page"/>
      </w:r>
    </w:p>
    <w:tbl>
      <w:tblPr>
        <w:tblStyle w:val="7"/>
        <w:tblW w:w="9990" w:type="dxa"/>
        <w:jc w:val="center"/>
        <w:tblInd w:w="0" w:type="dxa"/>
        <w:tblLayout w:type="fixed"/>
        <w:tblCellMar>
          <w:top w:w="0" w:type="dxa"/>
          <w:left w:w="0" w:type="dxa"/>
          <w:bottom w:w="0" w:type="dxa"/>
          <w:right w:w="0" w:type="dxa"/>
        </w:tblCellMar>
      </w:tblPr>
      <w:tblGrid>
        <w:gridCol w:w="1201"/>
        <w:gridCol w:w="95"/>
        <w:gridCol w:w="95"/>
        <w:gridCol w:w="1734"/>
        <w:gridCol w:w="2288"/>
        <w:gridCol w:w="324"/>
        <w:gridCol w:w="1294"/>
        <w:gridCol w:w="1453"/>
        <w:gridCol w:w="1506"/>
      </w:tblGrid>
      <w:tr>
        <w:tblPrEx>
          <w:tblLayout w:type="fixed"/>
          <w:tblCellMar>
            <w:top w:w="0" w:type="dxa"/>
            <w:left w:w="0" w:type="dxa"/>
            <w:bottom w:w="0" w:type="dxa"/>
            <w:right w:w="0" w:type="dxa"/>
          </w:tblCellMar>
        </w:tblPrEx>
        <w:trPr>
          <w:trHeight w:val="600" w:hRule="atLeast"/>
          <w:jc w:val="center"/>
        </w:trPr>
        <w:tc>
          <w:tcPr>
            <w:tcW w:w="9990" w:type="dxa"/>
            <w:gridSpan w:val="9"/>
            <w:tcBorders>
              <w:top w:val="nil"/>
              <w:left w:val="nil"/>
              <w:bottom w:val="nil"/>
              <w:right w:val="nil"/>
            </w:tcBorders>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一般公共预算财政拨款支出决算表</w:t>
            </w:r>
          </w:p>
        </w:tc>
      </w:tr>
      <w:tr>
        <w:tblPrEx>
          <w:tblLayout w:type="fixed"/>
          <w:tblCellMar>
            <w:top w:w="0" w:type="dxa"/>
            <w:left w:w="0" w:type="dxa"/>
            <w:bottom w:w="0" w:type="dxa"/>
            <w:right w:w="0" w:type="dxa"/>
          </w:tblCellMar>
        </w:tblPrEx>
        <w:trPr>
          <w:trHeight w:val="255" w:hRule="atLeast"/>
          <w:jc w:val="center"/>
        </w:trPr>
        <w:tc>
          <w:tcPr>
            <w:tcW w:w="120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95"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95"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734"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2288"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4577" w:type="dxa"/>
            <w:gridSpan w:val="4"/>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05</w:t>
            </w:r>
            <w:r>
              <w:rPr>
                <w:rFonts w:hint="eastAsia" w:ascii="宋体" w:hAnsi="宋体" w:eastAsia="宋体" w:cs="宋体"/>
                <w:color w:val="000000"/>
                <w:kern w:val="0"/>
                <w:sz w:val="20"/>
                <w:szCs w:val="20"/>
              </w:rPr>
              <w:t>表</w:t>
            </w:r>
          </w:p>
        </w:tc>
      </w:tr>
      <w:tr>
        <w:tblPrEx>
          <w:tblLayout w:type="fixed"/>
          <w:tblCellMar>
            <w:top w:w="0" w:type="dxa"/>
            <w:left w:w="0" w:type="dxa"/>
            <w:bottom w:w="0" w:type="dxa"/>
            <w:right w:w="0" w:type="dxa"/>
          </w:tblCellMar>
        </w:tblPrEx>
        <w:trPr>
          <w:trHeight w:val="255" w:hRule="atLeast"/>
          <w:jc w:val="center"/>
        </w:trPr>
        <w:tc>
          <w:tcPr>
            <w:tcW w:w="1201" w:type="dxa"/>
            <w:tcBorders>
              <w:top w:val="nil"/>
              <w:left w:val="nil"/>
              <w:bottom w:val="nil"/>
              <w:right w:val="nil"/>
            </w:tcBorders>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95"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95"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4022" w:type="dxa"/>
            <w:gridSpan w:val="2"/>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r>
              <w:rPr>
                <w:rFonts w:hint="eastAsia" w:ascii="Arial" w:hAnsi="Arial" w:cs="Arial"/>
                <w:color w:val="000000"/>
                <w:sz w:val="20"/>
                <w:szCs w:val="20"/>
              </w:rPr>
              <w:t>唐山市曹妃甸区人力资源和社会保障局</w:t>
            </w:r>
          </w:p>
        </w:tc>
        <w:tc>
          <w:tcPr>
            <w:tcW w:w="4577" w:type="dxa"/>
            <w:gridSpan w:val="4"/>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Layout w:type="fixed"/>
          <w:tblCellMar>
            <w:top w:w="0" w:type="dxa"/>
            <w:left w:w="0" w:type="dxa"/>
            <w:bottom w:w="0" w:type="dxa"/>
            <w:right w:w="0" w:type="dxa"/>
          </w:tblCellMar>
        </w:tblPrEx>
        <w:trPr>
          <w:trHeight w:val="308" w:hRule="atLeast"/>
          <w:jc w:val="center"/>
        </w:trPr>
        <w:tc>
          <w:tcPr>
            <w:tcW w:w="5737"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4253"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w:t>
            </w:r>
          </w:p>
        </w:tc>
      </w:tr>
      <w:tr>
        <w:tblPrEx>
          <w:tblLayout w:type="fixed"/>
          <w:tblCellMar>
            <w:top w:w="0" w:type="dxa"/>
            <w:left w:w="0" w:type="dxa"/>
            <w:bottom w:w="0" w:type="dxa"/>
            <w:right w:w="0" w:type="dxa"/>
          </w:tblCellMar>
        </w:tblPrEx>
        <w:trPr>
          <w:trHeight w:val="312" w:hRule="atLeast"/>
          <w:jc w:val="center"/>
        </w:trPr>
        <w:tc>
          <w:tcPr>
            <w:tcW w:w="1391"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4346" w:type="dxa"/>
            <w:gridSpan w:val="3"/>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1294"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145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1506"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r>
      <w:tr>
        <w:tblPrEx>
          <w:tblLayout w:type="fixed"/>
          <w:tblCellMar>
            <w:top w:w="0" w:type="dxa"/>
            <w:left w:w="0" w:type="dxa"/>
            <w:bottom w:w="0" w:type="dxa"/>
            <w:right w:w="0" w:type="dxa"/>
          </w:tblCellMar>
        </w:tblPrEx>
        <w:trPr>
          <w:trHeight w:val="312" w:hRule="atLeast"/>
          <w:jc w:val="center"/>
        </w:trPr>
        <w:tc>
          <w:tcPr>
            <w:tcW w:w="1391"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4346" w:type="dxa"/>
            <w:gridSpan w:val="3"/>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294"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453"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506"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12" w:hRule="atLeast"/>
          <w:jc w:val="center"/>
        </w:trPr>
        <w:tc>
          <w:tcPr>
            <w:tcW w:w="1391"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4346" w:type="dxa"/>
            <w:gridSpan w:val="3"/>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294"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453"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506"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08" w:hRule="atLeast"/>
          <w:jc w:val="center"/>
        </w:trPr>
        <w:tc>
          <w:tcPr>
            <w:tcW w:w="5737" w:type="dxa"/>
            <w:gridSpan w:val="6"/>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1294"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1453"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150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r>
      <w:tr>
        <w:tblPrEx>
          <w:tblLayout w:type="fixed"/>
          <w:tblCellMar>
            <w:top w:w="0" w:type="dxa"/>
            <w:left w:w="0" w:type="dxa"/>
            <w:bottom w:w="0" w:type="dxa"/>
            <w:right w:w="0" w:type="dxa"/>
          </w:tblCellMar>
        </w:tblPrEx>
        <w:trPr>
          <w:trHeight w:val="308" w:hRule="atLeast"/>
          <w:jc w:val="center"/>
        </w:trPr>
        <w:tc>
          <w:tcPr>
            <w:tcW w:w="5737" w:type="dxa"/>
            <w:gridSpan w:val="6"/>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29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rPr>
            </w:pPr>
          </w:p>
        </w:tc>
        <w:tc>
          <w:tcPr>
            <w:tcW w:w="145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rPr>
            </w:pPr>
          </w:p>
        </w:tc>
        <w:tc>
          <w:tcPr>
            <w:tcW w:w="150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rPr>
            </w:pP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208 </w:t>
            </w:r>
          </w:p>
        </w:tc>
        <w:tc>
          <w:tcPr>
            <w:tcW w:w="4346"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社会保障和就业支出</w:t>
            </w:r>
            <w:r>
              <w:rPr>
                <w:rFonts w:ascii="宋体" w:hAnsi="宋体" w:eastAsia="宋体" w:cs="宋体"/>
                <w:color w:val="000000"/>
                <w:kern w:val="0"/>
                <w:sz w:val="20"/>
                <w:szCs w:val="20"/>
              </w:rPr>
              <w:t xml:space="preserve"> </w:t>
            </w:r>
          </w:p>
        </w:tc>
        <w:tc>
          <w:tcPr>
            <w:tcW w:w="129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1,265.64 </w:t>
            </w:r>
          </w:p>
        </w:tc>
        <w:tc>
          <w:tcPr>
            <w:tcW w:w="145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934.27 </w:t>
            </w:r>
          </w:p>
        </w:tc>
        <w:tc>
          <w:tcPr>
            <w:tcW w:w="150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331.38 </w:t>
            </w: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20801 </w:t>
            </w:r>
          </w:p>
        </w:tc>
        <w:tc>
          <w:tcPr>
            <w:tcW w:w="4346"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人力资源和社会保障管理事务</w:t>
            </w:r>
            <w:r>
              <w:rPr>
                <w:rFonts w:ascii="宋体" w:hAnsi="宋体" w:eastAsia="宋体" w:cs="宋体"/>
                <w:color w:val="000000"/>
                <w:kern w:val="0"/>
                <w:sz w:val="20"/>
                <w:szCs w:val="20"/>
              </w:rPr>
              <w:t xml:space="preserve"> </w:t>
            </w:r>
          </w:p>
        </w:tc>
        <w:tc>
          <w:tcPr>
            <w:tcW w:w="129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1,173.82 </w:t>
            </w:r>
          </w:p>
        </w:tc>
        <w:tc>
          <w:tcPr>
            <w:tcW w:w="145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852.94 </w:t>
            </w:r>
          </w:p>
        </w:tc>
        <w:tc>
          <w:tcPr>
            <w:tcW w:w="150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320.88 </w:t>
            </w: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2080101 </w:t>
            </w:r>
          </w:p>
        </w:tc>
        <w:tc>
          <w:tcPr>
            <w:tcW w:w="4346"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行政运行</w:t>
            </w:r>
            <w:r>
              <w:rPr>
                <w:rFonts w:ascii="宋体" w:hAnsi="宋体" w:eastAsia="宋体" w:cs="宋体"/>
                <w:color w:val="000000"/>
                <w:kern w:val="0"/>
                <w:sz w:val="20"/>
                <w:szCs w:val="20"/>
              </w:rPr>
              <w:t xml:space="preserve"> </w:t>
            </w:r>
          </w:p>
        </w:tc>
        <w:tc>
          <w:tcPr>
            <w:tcW w:w="129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999.98 </w:t>
            </w:r>
          </w:p>
        </w:tc>
        <w:tc>
          <w:tcPr>
            <w:tcW w:w="145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851.74 </w:t>
            </w:r>
          </w:p>
        </w:tc>
        <w:tc>
          <w:tcPr>
            <w:tcW w:w="150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148.24 </w:t>
            </w: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2080104 </w:t>
            </w:r>
          </w:p>
        </w:tc>
        <w:tc>
          <w:tcPr>
            <w:tcW w:w="4346"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综合业务管理</w:t>
            </w:r>
            <w:r>
              <w:rPr>
                <w:rFonts w:ascii="宋体" w:hAnsi="宋体" w:eastAsia="宋体" w:cs="宋体"/>
                <w:color w:val="000000"/>
                <w:kern w:val="0"/>
                <w:sz w:val="20"/>
                <w:szCs w:val="20"/>
              </w:rPr>
              <w:t xml:space="preserve"> </w:t>
            </w:r>
          </w:p>
        </w:tc>
        <w:tc>
          <w:tcPr>
            <w:tcW w:w="129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163.79 </w:t>
            </w:r>
          </w:p>
        </w:tc>
        <w:tc>
          <w:tcPr>
            <w:tcW w:w="145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150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163.79 </w:t>
            </w: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2080105 </w:t>
            </w:r>
          </w:p>
        </w:tc>
        <w:tc>
          <w:tcPr>
            <w:tcW w:w="4346"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劳动保障监察</w:t>
            </w:r>
            <w:r>
              <w:rPr>
                <w:rFonts w:ascii="宋体" w:hAnsi="宋体" w:eastAsia="宋体" w:cs="宋体"/>
                <w:color w:val="000000"/>
                <w:kern w:val="0"/>
                <w:sz w:val="20"/>
                <w:szCs w:val="20"/>
              </w:rPr>
              <w:t xml:space="preserve"> </w:t>
            </w:r>
          </w:p>
        </w:tc>
        <w:tc>
          <w:tcPr>
            <w:tcW w:w="129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7.00 </w:t>
            </w:r>
          </w:p>
        </w:tc>
        <w:tc>
          <w:tcPr>
            <w:tcW w:w="145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150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7.00 </w:t>
            </w: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2080106 </w:t>
            </w:r>
          </w:p>
        </w:tc>
        <w:tc>
          <w:tcPr>
            <w:tcW w:w="4346"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就业管理事务</w:t>
            </w:r>
            <w:r>
              <w:rPr>
                <w:rFonts w:ascii="宋体" w:hAnsi="宋体" w:eastAsia="宋体" w:cs="宋体"/>
                <w:color w:val="000000"/>
                <w:kern w:val="0"/>
                <w:sz w:val="20"/>
                <w:szCs w:val="20"/>
              </w:rPr>
              <w:t xml:space="preserve"> </w:t>
            </w:r>
          </w:p>
        </w:tc>
        <w:tc>
          <w:tcPr>
            <w:tcW w:w="129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1.20 </w:t>
            </w:r>
          </w:p>
        </w:tc>
        <w:tc>
          <w:tcPr>
            <w:tcW w:w="145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1.20 </w:t>
            </w:r>
          </w:p>
        </w:tc>
        <w:tc>
          <w:tcPr>
            <w:tcW w:w="150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2080112 </w:t>
            </w:r>
          </w:p>
        </w:tc>
        <w:tc>
          <w:tcPr>
            <w:tcW w:w="4346"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劳动人事争议调解仲裁</w:t>
            </w:r>
            <w:r>
              <w:rPr>
                <w:rFonts w:ascii="宋体" w:hAnsi="宋体" w:eastAsia="宋体" w:cs="宋体"/>
                <w:color w:val="000000"/>
                <w:kern w:val="0"/>
                <w:sz w:val="20"/>
                <w:szCs w:val="20"/>
              </w:rPr>
              <w:t xml:space="preserve"> </w:t>
            </w:r>
          </w:p>
        </w:tc>
        <w:tc>
          <w:tcPr>
            <w:tcW w:w="129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1.85 </w:t>
            </w:r>
          </w:p>
        </w:tc>
        <w:tc>
          <w:tcPr>
            <w:tcW w:w="145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150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1.85 </w:t>
            </w: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20802 </w:t>
            </w:r>
          </w:p>
        </w:tc>
        <w:tc>
          <w:tcPr>
            <w:tcW w:w="4346"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民政管理事务</w:t>
            </w:r>
            <w:r>
              <w:rPr>
                <w:rFonts w:ascii="宋体" w:hAnsi="宋体" w:eastAsia="宋体" w:cs="宋体"/>
                <w:color w:val="000000"/>
                <w:kern w:val="0"/>
                <w:sz w:val="20"/>
                <w:szCs w:val="20"/>
              </w:rPr>
              <w:t xml:space="preserve"> </w:t>
            </w:r>
          </w:p>
        </w:tc>
        <w:tc>
          <w:tcPr>
            <w:tcW w:w="129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7.50 </w:t>
            </w:r>
          </w:p>
        </w:tc>
        <w:tc>
          <w:tcPr>
            <w:tcW w:w="145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150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7.50 </w:t>
            </w: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2080299 </w:t>
            </w:r>
          </w:p>
        </w:tc>
        <w:tc>
          <w:tcPr>
            <w:tcW w:w="4346"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其他民政管理事务支出</w:t>
            </w:r>
            <w:r>
              <w:rPr>
                <w:rFonts w:ascii="宋体" w:hAnsi="宋体" w:eastAsia="宋体" w:cs="宋体"/>
                <w:color w:val="000000"/>
                <w:kern w:val="0"/>
                <w:sz w:val="20"/>
                <w:szCs w:val="20"/>
              </w:rPr>
              <w:t xml:space="preserve"> </w:t>
            </w:r>
          </w:p>
        </w:tc>
        <w:tc>
          <w:tcPr>
            <w:tcW w:w="129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7.50 </w:t>
            </w:r>
          </w:p>
        </w:tc>
        <w:tc>
          <w:tcPr>
            <w:tcW w:w="145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150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7.50 </w:t>
            </w: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20805 </w:t>
            </w:r>
          </w:p>
        </w:tc>
        <w:tc>
          <w:tcPr>
            <w:tcW w:w="4346"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行政事业单位离退休</w:t>
            </w:r>
            <w:r>
              <w:rPr>
                <w:rFonts w:ascii="宋体" w:hAnsi="宋体" w:eastAsia="宋体" w:cs="宋体"/>
                <w:color w:val="000000"/>
                <w:kern w:val="0"/>
                <w:sz w:val="20"/>
                <w:szCs w:val="20"/>
              </w:rPr>
              <w:t xml:space="preserve"> </w:t>
            </w:r>
          </w:p>
        </w:tc>
        <w:tc>
          <w:tcPr>
            <w:tcW w:w="129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81.33 </w:t>
            </w:r>
          </w:p>
        </w:tc>
        <w:tc>
          <w:tcPr>
            <w:tcW w:w="145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81.33 </w:t>
            </w:r>
          </w:p>
        </w:tc>
        <w:tc>
          <w:tcPr>
            <w:tcW w:w="150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2080505 </w:t>
            </w:r>
          </w:p>
        </w:tc>
        <w:tc>
          <w:tcPr>
            <w:tcW w:w="4346"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机关事业单位基本养老保险缴费支出</w:t>
            </w:r>
            <w:r>
              <w:rPr>
                <w:rFonts w:ascii="宋体" w:hAnsi="宋体" w:eastAsia="宋体" w:cs="宋体"/>
                <w:color w:val="000000"/>
                <w:kern w:val="0"/>
                <w:sz w:val="20"/>
                <w:szCs w:val="20"/>
              </w:rPr>
              <w:t xml:space="preserve"> </w:t>
            </w:r>
          </w:p>
        </w:tc>
        <w:tc>
          <w:tcPr>
            <w:tcW w:w="129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81.18 </w:t>
            </w:r>
          </w:p>
        </w:tc>
        <w:tc>
          <w:tcPr>
            <w:tcW w:w="145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81.18 </w:t>
            </w:r>
          </w:p>
        </w:tc>
        <w:tc>
          <w:tcPr>
            <w:tcW w:w="150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2080506 </w:t>
            </w:r>
          </w:p>
        </w:tc>
        <w:tc>
          <w:tcPr>
            <w:tcW w:w="4346"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机关事业单位职业年金缴费支出</w:t>
            </w:r>
            <w:r>
              <w:rPr>
                <w:rFonts w:ascii="宋体" w:hAnsi="宋体" w:eastAsia="宋体" w:cs="宋体"/>
                <w:color w:val="000000"/>
                <w:kern w:val="0"/>
                <w:sz w:val="20"/>
                <w:szCs w:val="20"/>
              </w:rPr>
              <w:t xml:space="preserve"> </w:t>
            </w:r>
          </w:p>
        </w:tc>
        <w:tc>
          <w:tcPr>
            <w:tcW w:w="129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0.15 </w:t>
            </w:r>
          </w:p>
        </w:tc>
        <w:tc>
          <w:tcPr>
            <w:tcW w:w="145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0.15 </w:t>
            </w:r>
          </w:p>
        </w:tc>
        <w:tc>
          <w:tcPr>
            <w:tcW w:w="150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20899 </w:t>
            </w:r>
          </w:p>
        </w:tc>
        <w:tc>
          <w:tcPr>
            <w:tcW w:w="4346"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其他社会保障和就业支出</w:t>
            </w:r>
            <w:r>
              <w:rPr>
                <w:rFonts w:ascii="宋体" w:hAnsi="宋体" w:eastAsia="宋体" w:cs="宋体"/>
                <w:color w:val="000000"/>
                <w:kern w:val="0"/>
                <w:sz w:val="20"/>
                <w:szCs w:val="20"/>
              </w:rPr>
              <w:t xml:space="preserve"> </w:t>
            </w:r>
          </w:p>
        </w:tc>
        <w:tc>
          <w:tcPr>
            <w:tcW w:w="129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3.00 </w:t>
            </w:r>
          </w:p>
        </w:tc>
        <w:tc>
          <w:tcPr>
            <w:tcW w:w="145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150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3.00 </w:t>
            </w: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2089901 </w:t>
            </w:r>
          </w:p>
        </w:tc>
        <w:tc>
          <w:tcPr>
            <w:tcW w:w="4346"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其他社会保障和就业支出</w:t>
            </w:r>
            <w:r>
              <w:rPr>
                <w:rFonts w:ascii="宋体" w:hAnsi="宋体" w:eastAsia="宋体" w:cs="宋体"/>
                <w:color w:val="000000"/>
                <w:kern w:val="0"/>
                <w:sz w:val="20"/>
                <w:szCs w:val="20"/>
              </w:rPr>
              <w:t xml:space="preserve"> </w:t>
            </w:r>
          </w:p>
        </w:tc>
        <w:tc>
          <w:tcPr>
            <w:tcW w:w="129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3.00 </w:t>
            </w:r>
          </w:p>
        </w:tc>
        <w:tc>
          <w:tcPr>
            <w:tcW w:w="145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c>
          <w:tcPr>
            <w:tcW w:w="150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3.00 </w:t>
            </w: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210 </w:t>
            </w:r>
          </w:p>
        </w:tc>
        <w:tc>
          <w:tcPr>
            <w:tcW w:w="4346"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卫生健康支出</w:t>
            </w:r>
            <w:r>
              <w:rPr>
                <w:rFonts w:ascii="宋体" w:hAnsi="宋体" w:eastAsia="宋体" w:cs="宋体"/>
                <w:color w:val="000000"/>
                <w:kern w:val="0"/>
                <w:sz w:val="20"/>
                <w:szCs w:val="20"/>
              </w:rPr>
              <w:t xml:space="preserve"> </w:t>
            </w:r>
          </w:p>
        </w:tc>
        <w:tc>
          <w:tcPr>
            <w:tcW w:w="129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66.74 </w:t>
            </w:r>
          </w:p>
        </w:tc>
        <w:tc>
          <w:tcPr>
            <w:tcW w:w="145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66.74 </w:t>
            </w:r>
          </w:p>
        </w:tc>
        <w:tc>
          <w:tcPr>
            <w:tcW w:w="150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21011 </w:t>
            </w:r>
          </w:p>
        </w:tc>
        <w:tc>
          <w:tcPr>
            <w:tcW w:w="4346"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行政事业单位医疗</w:t>
            </w:r>
            <w:r>
              <w:rPr>
                <w:rFonts w:ascii="宋体" w:hAnsi="宋体" w:eastAsia="宋体" w:cs="宋体"/>
                <w:color w:val="000000"/>
                <w:kern w:val="0"/>
                <w:sz w:val="20"/>
                <w:szCs w:val="20"/>
              </w:rPr>
              <w:t xml:space="preserve"> </w:t>
            </w:r>
          </w:p>
        </w:tc>
        <w:tc>
          <w:tcPr>
            <w:tcW w:w="129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66.74 </w:t>
            </w:r>
          </w:p>
        </w:tc>
        <w:tc>
          <w:tcPr>
            <w:tcW w:w="145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66.74 </w:t>
            </w:r>
          </w:p>
        </w:tc>
        <w:tc>
          <w:tcPr>
            <w:tcW w:w="150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auto"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2101101 </w:t>
            </w:r>
          </w:p>
        </w:tc>
        <w:tc>
          <w:tcPr>
            <w:tcW w:w="4346" w:type="dxa"/>
            <w:gridSpan w:val="3"/>
            <w:tcBorders>
              <w:top w:val="nil"/>
              <w:left w:val="nil"/>
              <w:bottom w:val="single" w:color="auto"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行政单位医疗</w:t>
            </w:r>
            <w:r>
              <w:rPr>
                <w:rFonts w:ascii="宋体" w:hAnsi="宋体" w:eastAsia="宋体" w:cs="宋体"/>
                <w:color w:val="000000"/>
                <w:kern w:val="0"/>
                <w:sz w:val="20"/>
                <w:szCs w:val="20"/>
              </w:rPr>
              <w:t xml:space="preserve"> </w:t>
            </w:r>
          </w:p>
        </w:tc>
        <w:tc>
          <w:tcPr>
            <w:tcW w:w="1294" w:type="dxa"/>
            <w:tcBorders>
              <w:top w:val="nil"/>
              <w:left w:val="nil"/>
              <w:bottom w:val="single" w:color="auto"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29.44 </w:t>
            </w:r>
          </w:p>
        </w:tc>
        <w:tc>
          <w:tcPr>
            <w:tcW w:w="1453" w:type="dxa"/>
            <w:tcBorders>
              <w:top w:val="nil"/>
              <w:left w:val="nil"/>
              <w:bottom w:val="single" w:color="auto"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29.44 </w:t>
            </w:r>
          </w:p>
        </w:tc>
        <w:tc>
          <w:tcPr>
            <w:tcW w:w="1506" w:type="dxa"/>
            <w:tcBorders>
              <w:top w:val="nil"/>
              <w:left w:val="nil"/>
              <w:bottom w:val="single" w:color="auto"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2101103 </w:t>
            </w:r>
          </w:p>
        </w:tc>
        <w:tc>
          <w:tcPr>
            <w:tcW w:w="4346"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公务员医疗补助</w:t>
            </w:r>
            <w:r>
              <w:rPr>
                <w:rFonts w:ascii="宋体" w:hAnsi="宋体" w:eastAsia="宋体" w:cs="宋体"/>
                <w:color w:val="000000"/>
                <w:kern w:val="0"/>
                <w:sz w:val="20"/>
                <w:szCs w:val="20"/>
              </w:rPr>
              <w:t xml:space="preserve"> </w:t>
            </w:r>
          </w:p>
        </w:tc>
        <w:tc>
          <w:tcPr>
            <w:tcW w:w="12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37.30 </w:t>
            </w:r>
          </w:p>
        </w:tc>
        <w:tc>
          <w:tcPr>
            <w:tcW w:w="14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37.30 </w:t>
            </w:r>
          </w:p>
        </w:tc>
        <w:tc>
          <w:tcPr>
            <w:tcW w:w="150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221 </w:t>
            </w:r>
          </w:p>
        </w:tc>
        <w:tc>
          <w:tcPr>
            <w:tcW w:w="4346"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住房保障支出</w:t>
            </w:r>
            <w:r>
              <w:rPr>
                <w:rFonts w:ascii="宋体" w:hAnsi="宋体" w:eastAsia="宋体" w:cs="宋体"/>
                <w:color w:val="000000"/>
                <w:kern w:val="0"/>
                <w:sz w:val="20"/>
                <w:szCs w:val="20"/>
              </w:rPr>
              <w:t xml:space="preserve"> </w:t>
            </w:r>
          </w:p>
        </w:tc>
        <w:tc>
          <w:tcPr>
            <w:tcW w:w="12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49.31 </w:t>
            </w:r>
          </w:p>
        </w:tc>
        <w:tc>
          <w:tcPr>
            <w:tcW w:w="14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49.31 </w:t>
            </w:r>
          </w:p>
        </w:tc>
        <w:tc>
          <w:tcPr>
            <w:tcW w:w="150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22102 </w:t>
            </w:r>
          </w:p>
        </w:tc>
        <w:tc>
          <w:tcPr>
            <w:tcW w:w="4346"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住房改革支出</w:t>
            </w:r>
            <w:r>
              <w:rPr>
                <w:rFonts w:ascii="宋体" w:hAnsi="宋体" w:eastAsia="宋体" w:cs="宋体"/>
                <w:color w:val="000000"/>
                <w:kern w:val="0"/>
                <w:sz w:val="20"/>
                <w:szCs w:val="20"/>
              </w:rPr>
              <w:t xml:space="preserve"> </w:t>
            </w:r>
          </w:p>
        </w:tc>
        <w:tc>
          <w:tcPr>
            <w:tcW w:w="12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49.31 </w:t>
            </w:r>
          </w:p>
        </w:tc>
        <w:tc>
          <w:tcPr>
            <w:tcW w:w="14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49.31 </w:t>
            </w:r>
          </w:p>
        </w:tc>
        <w:tc>
          <w:tcPr>
            <w:tcW w:w="150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2210201 </w:t>
            </w:r>
          </w:p>
        </w:tc>
        <w:tc>
          <w:tcPr>
            <w:tcW w:w="4346"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住房公积金</w:t>
            </w:r>
            <w:r>
              <w:rPr>
                <w:rFonts w:ascii="宋体" w:hAnsi="宋体" w:eastAsia="宋体" w:cs="宋体"/>
                <w:color w:val="000000"/>
                <w:kern w:val="0"/>
                <w:sz w:val="20"/>
                <w:szCs w:val="20"/>
              </w:rPr>
              <w:t xml:space="preserve"> </w:t>
            </w:r>
          </w:p>
        </w:tc>
        <w:tc>
          <w:tcPr>
            <w:tcW w:w="12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49.31 </w:t>
            </w:r>
          </w:p>
        </w:tc>
        <w:tc>
          <w:tcPr>
            <w:tcW w:w="14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49.31 </w:t>
            </w:r>
          </w:p>
        </w:tc>
        <w:tc>
          <w:tcPr>
            <w:tcW w:w="150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   </w:t>
            </w:r>
          </w:p>
        </w:tc>
      </w:tr>
    </w:tbl>
    <w:p>
      <w:r>
        <w:br w:type="page"/>
      </w:r>
    </w:p>
    <w:tbl>
      <w:tblPr>
        <w:tblStyle w:val="7"/>
        <w:tblW w:w="10000" w:type="dxa"/>
        <w:jc w:val="center"/>
        <w:tblInd w:w="0" w:type="dxa"/>
        <w:tblLayout w:type="fixed"/>
        <w:tblCellMar>
          <w:top w:w="0" w:type="dxa"/>
          <w:left w:w="0" w:type="dxa"/>
          <w:bottom w:w="0" w:type="dxa"/>
          <w:right w:w="0" w:type="dxa"/>
        </w:tblCellMar>
      </w:tblPr>
      <w:tblGrid>
        <w:gridCol w:w="896"/>
        <w:gridCol w:w="1932"/>
        <w:gridCol w:w="783"/>
        <w:gridCol w:w="655"/>
        <w:gridCol w:w="1599"/>
        <w:gridCol w:w="768"/>
        <w:gridCol w:w="744"/>
        <w:gridCol w:w="1891"/>
        <w:gridCol w:w="732"/>
      </w:tblGrid>
      <w:tr>
        <w:tblPrEx>
          <w:tblLayout w:type="fixed"/>
          <w:tblCellMar>
            <w:top w:w="0" w:type="dxa"/>
            <w:left w:w="0" w:type="dxa"/>
            <w:bottom w:w="0" w:type="dxa"/>
            <w:right w:w="0" w:type="dxa"/>
          </w:tblCellMar>
        </w:tblPrEx>
        <w:trPr>
          <w:trHeight w:val="662" w:hRule="atLeast"/>
          <w:jc w:val="center"/>
        </w:trPr>
        <w:tc>
          <w:tcPr>
            <w:tcW w:w="10000" w:type="dxa"/>
            <w:gridSpan w:val="9"/>
            <w:tcBorders>
              <w:top w:val="nil"/>
              <w:left w:val="nil"/>
              <w:bottom w:val="nil"/>
              <w:right w:val="nil"/>
            </w:tcBorders>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一般公共预算财政拨款基本支出决算表</w:t>
            </w:r>
          </w:p>
        </w:tc>
      </w:tr>
      <w:tr>
        <w:tblPrEx>
          <w:tblLayout w:type="fixed"/>
          <w:tblCellMar>
            <w:top w:w="0" w:type="dxa"/>
            <w:left w:w="0" w:type="dxa"/>
            <w:bottom w:w="0" w:type="dxa"/>
            <w:right w:w="0" w:type="dxa"/>
          </w:tblCellMar>
        </w:tblPrEx>
        <w:trPr>
          <w:trHeight w:val="339" w:hRule="atLeast"/>
          <w:jc w:val="center"/>
        </w:trPr>
        <w:tc>
          <w:tcPr>
            <w:tcW w:w="896"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932"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783"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655"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599"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768"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744"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2623" w:type="dxa"/>
            <w:gridSpan w:val="2"/>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w:t>
            </w:r>
            <w:r>
              <w:rPr>
                <w:rFonts w:ascii="宋体" w:hAnsi="宋体" w:eastAsia="宋体" w:cs="宋体"/>
                <w:color w:val="000000"/>
                <w:kern w:val="0"/>
                <w:sz w:val="18"/>
                <w:szCs w:val="18"/>
              </w:rPr>
              <w:t>06</w:t>
            </w:r>
            <w:r>
              <w:rPr>
                <w:rFonts w:hint="eastAsia" w:ascii="宋体" w:hAnsi="宋体" w:eastAsia="宋体" w:cs="宋体"/>
                <w:color w:val="000000"/>
                <w:kern w:val="0"/>
                <w:sz w:val="18"/>
                <w:szCs w:val="18"/>
              </w:rPr>
              <w:t>表</w:t>
            </w:r>
          </w:p>
        </w:tc>
      </w:tr>
      <w:tr>
        <w:tblPrEx>
          <w:tblLayout w:type="fixed"/>
          <w:tblCellMar>
            <w:top w:w="0" w:type="dxa"/>
            <w:left w:w="0" w:type="dxa"/>
            <w:bottom w:w="0" w:type="dxa"/>
            <w:right w:w="0" w:type="dxa"/>
          </w:tblCellMar>
        </w:tblPrEx>
        <w:trPr>
          <w:trHeight w:val="339" w:hRule="atLeast"/>
          <w:jc w:val="center"/>
        </w:trPr>
        <w:tc>
          <w:tcPr>
            <w:tcW w:w="896" w:type="dxa"/>
            <w:tcBorders>
              <w:top w:val="nil"/>
              <w:left w:val="nil"/>
              <w:bottom w:val="nil"/>
              <w:right w:val="nil"/>
            </w:tcBorders>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5737" w:type="dxa"/>
            <w:gridSpan w:val="5"/>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r>
              <w:rPr>
                <w:rFonts w:hint="eastAsia" w:ascii="Arial" w:hAnsi="Arial" w:cs="Arial"/>
                <w:color w:val="000000"/>
                <w:sz w:val="20"/>
                <w:szCs w:val="20"/>
              </w:rPr>
              <w:t>唐山市曹妃甸区人力资源和社会保障局</w:t>
            </w:r>
          </w:p>
        </w:tc>
        <w:tc>
          <w:tcPr>
            <w:tcW w:w="744"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2623" w:type="dxa"/>
            <w:gridSpan w:val="2"/>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Layout w:type="fixed"/>
          <w:tblCellMar>
            <w:top w:w="0" w:type="dxa"/>
            <w:left w:w="0" w:type="dxa"/>
            <w:bottom w:w="0" w:type="dxa"/>
            <w:right w:w="0" w:type="dxa"/>
          </w:tblCellMar>
        </w:tblPrEx>
        <w:trPr>
          <w:trHeight w:val="362" w:hRule="atLeast"/>
          <w:jc w:val="center"/>
        </w:trPr>
        <w:tc>
          <w:tcPr>
            <w:tcW w:w="3611"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人员经费</w:t>
            </w:r>
          </w:p>
        </w:tc>
        <w:tc>
          <w:tcPr>
            <w:tcW w:w="6389" w:type="dxa"/>
            <w:gridSpan w:val="6"/>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公用经费</w:t>
            </w:r>
          </w:p>
        </w:tc>
      </w:tr>
      <w:tr>
        <w:tblPrEx>
          <w:tblLayout w:type="fixed"/>
          <w:tblCellMar>
            <w:top w:w="0" w:type="dxa"/>
            <w:left w:w="0" w:type="dxa"/>
            <w:bottom w:w="0" w:type="dxa"/>
            <w:right w:w="0" w:type="dxa"/>
          </w:tblCellMar>
        </w:tblPrEx>
        <w:trPr>
          <w:trHeight w:val="362" w:hRule="atLeast"/>
          <w:jc w:val="center"/>
        </w:trPr>
        <w:tc>
          <w:tcPr>
            <w:tcW w:w="896"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kern w:val="0"/>
                <w:sz w:val="22"/>
              </w:rPr>
            </w:pPr>
            <w:r>
              <w:rPr>
                <w:rFonts w:hint="eastAsia" w:ascii="宋体" w:hAnsi="宋体" w:eastAsia="宋体" w:cs="宋体"/>
                <w:color w:val="000000"/>
                <w:kern w:val="0"/>
                <w:sz w:val="22"/>
              </w:rPr>
              <w:t>科目</w:t>
            </w:r>
          </w:p>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编码</w:t>
            </w:r>
          </w:p>
        </w:tc>
        <w:tc>
          <w:tcPr>
            <w:tcW w:w="193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78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c>
          <w:tcPr>
            <w:tcW w:w="655"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科目编码</w:t>
            </w:r>
          </w:p>
        </w:tc>
        <w:tc>
          <w:tcPr>
            <w:tcW w:w="159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76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c>
          <w:tcPr>
            <w:tcW w:w="744"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kern w:val="0"/>
                <w:sz w:val="22"/>
              </w:rPr>
            </w:pPr>
            <w:r>
              <w:rPr>
                <w:rFonts w:hint="eastAsia" w:ascii="宋体" w:hAnsi="宋体" w:eastAsia="宋体" w:cs="宋体"/>
                <w:color w:val="000000"/>
                <w:kern w:val="0"/>
                <w:sz w:val="22"/>
              </w:rPr>
              <w:t>科目</w:t>
            </w:r>
          </w:p>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编码</w:t>
            </w:r>
          </w:p>
        </w:tc>
        <w:tc>
          <w:tcPr>
            <w:tcW w:w="189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73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r>
      <w:tr>
        <w:tblPrEx>
          <w:tblLayout w:type="fixed"/>
          <w:tblCellMar>
            <w:top w:w="0" w:type="dxa"/>
            <w:left w:w="0" w:type="dxa"/>
            <w:bottom w:w="0" w:type="dxa"/>
            <w:right w:w="0" w:type="dxa"/>
          </w:tblCellMar>
        </w:tblPrEx>
        <w:trPr>
          <w:trHeight w:val="349" w:hRule="atLeast"/>
          <w:jc w:val="center"/>
        </w:trPr>
        <w:tc>
          <w:tcPr>
            <w:tcW w:w="896"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932"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783"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655"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599"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768"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744"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891"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732"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工资福利支出</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695.41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商品和服务支出</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80.14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307</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债务利息及费用支出</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30101</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基本工资</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184.59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30201</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办公费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3.61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30701</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国内债务付息</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30102</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津贴补贴</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93.00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30202</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印刷费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1.83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30702</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国外债务付息</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30103</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奖金</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30203</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咨询费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资本性支出</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30106</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伙食补助费</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30204</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手续费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31001</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房屋建筑物购建</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30107</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绩效工资</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126.75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30205</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水费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1.93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31002</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办公设备购置</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30108</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机关事业单位基本养老保险缴费</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81.18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30206</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电费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18.06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31003</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专用设备购置</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30109</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职业年金缴费</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0.15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30207</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邮电费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16.63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31005</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基础设施建设</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30110</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职工基本医疗保险缴费</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28.42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30208</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取暖费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31006</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大型修缮</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27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30111</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公务员医疗补助缴费</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37.30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30209</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物业管理费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3.96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31007</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16"/>
                <w:szCs w:val="16"/>
              </w:rPr>
              <w:t>信息网络及软件购置更新</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30112</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其他社会保障缴费</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5.23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30211</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差旅费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5.05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31008</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物资储备</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268"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30113</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住房公积金</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49.31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30212</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因公出国（境）费用</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31009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土地补偿</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30114</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医疗费</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30213</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维修（护）费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0.44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31010</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安置补助</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391"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30199</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其他工资福利支出</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89.48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30214</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租赁费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31011</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地上附着物和青苗补偿</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对个人和家庭的补助</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274.78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30215</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会议费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31012</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拆迁补偿</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30301</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离休费</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0.14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30216</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培训费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0.02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31013</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公务用车购置</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30302</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退休费</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21.02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公务接待费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31019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其他交通工具购置</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30303</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退职（役）费</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30218</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专用材料费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31021</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文物和陈列品购置</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30304</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抚恤金</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30224</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被装购置费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31022</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无形资产购置</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30305</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生活补助</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30225</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专用燃料费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31099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其他资本性支出</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30306</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救济费</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30226</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劳务费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399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其他支出</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30307</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医疗费补助</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30227</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委托业务费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39906</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赠与</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30308</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助学金</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30228</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工会经费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39907</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国家赔偿费用支出</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30309</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奖励金</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253.62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30229</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福利费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4.36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39908</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ascii="宋体" w:hAnsi="宋体" w:eastAsia="宋体" w:cs="宋体"/>
                <w:color w:val="000000"/>
                <w:kern w:val="0"/>
                <w:sz w:val="18"/>
                <w:szCs w:val="18"/>
              </w:rPr>
              <w:t xml:space="preserve"> </w:t>
            </w:r>
            <w:r>
              <w:rPr>
                <w:rFonts w:hint="eastAsia" w:ascii="宋体" w:hAnsi="宋体" w:eastAsia="宋体" w:cs="宋体"/>
                <w:color w:val="000000"/>
                <w:kern w:val="0"/>
                <w:sz w:val="18"/>
                <w:szCs w:val="18"/>
              </w:rPr>
              <w:t>对民间非营利组织和群众性自治组织补贴</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30310</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个人农业生产补贴</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30231</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公务用车运行维护费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9.87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39999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其他支出</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300"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30399</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16"/>
                <w:szCs w:val="16"/>
              </w:rPr>
              <w:t xml:space="preserve"> </w:t>
            </w:r>
            <w:r>
              <w:rPr>
                <w:rFonts w:hint="eastAsia" w:ascii="宋体" w:hAnsi="宋体" w:eastAsia="宋体" w:cs="宋体"/>
                <w:color w:val="000000"/>
                <w:kern w:val="0"/>
                <w:sz w:val="16"/>
                <w:szCs w:val="16"/>
              </w:rPr>
              <w:t>其他对个人和家庭的补助</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30239</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其他交通费用</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14.24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244"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30240</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16"/>
                <w:szCs w:val="16"/>
              </w:rPr>
              <w:t>税金及附加费用</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315"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30299</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16"/>
                <w:szCs w:val="16"/>
              </w:rPr>
              <w:t>其他商品和服务支出</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0.13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317" w:hRule="atLeast"/>
          <w:jc w:val="center"/>
        </w:trPr>
        <w:tc>
          <w:tcPr>
            <w:tcW w:w="2828"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人员经费合计</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970.18 </w:t>
            </w:r>
          </w:p>
        </w:tc>
        <w:tc>
          <w:tcPr>
            <w:tcW w:w="5657" w:type="dxa"/>
            <w:gridSpan w:val="5"/>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公用经费合计</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r>
              <w:rPr>
                <w:rFonts w:ascii="宋体" w:hAnsi="宋体" w:eastAsia="宋体" w:cs="宋体"/>
                <w:color w:val="000000"/>
                <w:sz w:val="20"/>
                <w:szCs w:val="20"/>
              </w:rPr>
              <w:t>80.14</w:t>
            </w:r>
          </w:p>
        </w:tc>
      </w:tr>
    </w:tbl>
    <w:p>
      <w:r>
        <w:br w:type="page"/>
      </w:r>
    </w:p>
    <w:tbl>
      <w:tblPr>
        <w:tblStyle w:val="7"/>
        <w:tblW w:w="9220" w:type="dxa"/>
        <w:jc w:val="center"/>
        <w:tblInd w:w="0" w:type="dxa"/>
        <w:tblLayout w:type="fixed"/>
        <w:tblCellMar>
          <w:top w:w="0" w:type="dxa"/>
          <w:left w:w="0" w:type="dxa"/>
          <w:bottom w:w="0" w:type="dxa"/>
          <w:right w:w="0" w:type="dxa"/>
        </w:tblCellMar>
      </w:tblPr>
      <w:tblGrid>
        <w:gridCol w:w="1267"/>
        <w:gridCol w:w="1686"/>
        <w:gridCol w:w="1565"/>
        <w:gridCol w:w="1565"/>
        <w:gridCol w:w="1565"/>
        <w:gridCol w:w="1572"/>
      </w:tblGrid>
      <w:tr>
        <w:tblPrEx>
          <w:tblLayout w:type="fixed"/>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一般公共预算财政拨款“三公”经费支出决算表</w:t>
            </w:r>
          </w:p>
        </w:tc>
      </w:tr>
      <w:tr>
        <w:tblPrEx>
          <w:tblLayout w:type="fixed"/>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686"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565"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565"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565"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572" w:type="dxa"/>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07</w:t>
            </w:r>
            <w:r>
              <w:rPr>
                <w:rFonts w:hint="eastAsia" w:ascii="宋体" w:hAnsi="宋体" w:eastAsia="宋体" w:cs="宋体"/>
                <w:color w:val="000000"/>
                <w:kern w:val="0"/>
                <w:sz w:val="20"/>
                <w:szCs w:val="20"/>
              </w:rPr>
              <w:t>表</w:t>
            </w:r>
          </w:p>
        </w:tc>
      </w:tr>
      <w:tr>
        <w:tblPrEx>
          <w:tblLayout w:type="fixed"/>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4816" w:type="dxa"/>
            <w:gridSpan w:val="3"/>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r>
              <w:rPr>
                <w:rFonts w:hint="eastAsia" w:ascii="Arial" w:hAnsi="Arial" w:cs="Arial"/>
                <w:color w:val="000000"/>
                <w:sz w:val="20"/>
                <w:szCs w:val="20"/>
              </w:rPr>
              <w:t>唐山市曹妃甸区人力资源和社会保障局</w:t>
            </w:r>
          </w:p>
        </w:tc>
        <w:tc>
          <w:tcPr>
            <w:tcW w:w="1565"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572" w:type="dxa"/>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Layout w:type="fixed"/>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预算数</w:t>
            </w:r>
          </w:p>
        </w:tc>
      </w:tr>
      <w:tr>
        <w:tblPrEx>
          <w:tblLayout w:type="fixed"/>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686"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因公出国（境）费</w:t>
            </w:r>
          </w:p>
        </w:tc>
        <w:tc>
          <w:tcPr>
            <w:tcW w:w="4695" w:type="dxa"/>
            <w:gridSpan w:val="3"/>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公务用车购置及运行费</w:t>
            </w:r>
          </w:p>
        </w:tc>
        <w:tc>
          <w:tcPr>
            <w:tcW w:w="1572" w:type="dxa"/>
            <w:vMerge w:val="restart"/>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公务接待费</w:t>
            </w:r>
          </w:p>
        </w:tc>
      </w:tr>
      <w:tr>
        <w:tblPrEx>
          <w:tblLayout w:type="fixed"/>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686"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公务用车购置费</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公务用车运行费</w:t>
            </w:r>
          </w:p>
        </w:tc>
        <w:tc>
          <w:tcPr>
            <w:tcW w:w="1572" w:type="dxa"/>
            <w:vMerge w:val="continue"/>
            <w:tcBorders>
              <w:top w:val="nil"/>
              <w:left w:val="nil"/>
              <w:bottom w:val="single" w:color="000000" w:sz="4" w:space="0"/>
              <w:right w:val="single" w:color="auto" w:sz="4" w:space="0"/>
            </w:tcBorders>
            <w:tcMar>
              <w:top w:w="15" w:type="dxa"/>
              <w:left w:w="15" w:type="dxa"/>
              <w:right w:w="15" w:type="dxa"/>
            </w:tcMar>
            <w:vAlign w:val="center"/>
          </w:tcPr>
          <w:p>
            <w:pPr>
              <w:jc w:val="center"/>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168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w:t>
            </w:r>
          </w:p>
        </w:tc>
        <w:tc>
          <w:tcPr>
            <w:tcW w:w="1572" w:type="dxa"/>
            <w:tcBorders>
              <w:top w:val="nil"/>
              <w:left w:val="nil"/>
              <w:bottom w:val="single" w:color="000000" w:sz="4" w:space="0"/>
              <w:right w:val="single" w:color="auto"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6</w:t>
            </w:r>
          </w:p>
        </w:tc>
      </w:tr>
      <w:tr>
        <w:tblPrEx>
          <w:tblLayout w:type="fixed"/>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12.00 </w:t>
            </w:r>
          </w:p>
        </w:tc>
        <w:tc>
          <w:tcPr>
            <w:tcW w:w="168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12.00 </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12.00 </w:t>
            </w:r>
          </w:p>
        </w:tc>
        <w:tc>
          <w:tcPr>
            <w:tcW w:w="1572" w:type="dxa"/>
            <w:tcBorders>
              <w:top w:val="nil"/>
              <w:left w:val="nil"/>
              <w:bottom w:val="single" w:color="000000" w:sz="4" w:space="0"/>
              <w:right w:val="single" w:color="auto"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r>
      <w:tr>
        <w:tblPrEx>
          <w:tblLayout w:type="fixed"/>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r>
      <w:tr>
        <w:tblPrEx>
          <w:tblLayout w:type="fixed"/>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686"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因公出国（境）费</w:t>
            </w:r>
          </w:p>
        </w:tc>
        <w:tc>
          <w:tcPr>
            <w:tcW w:w="4695" w:type="dxa"/>
            <w:gridSpan w:val="3"/>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公务用车购置及运行费</w:t>
            </w:r>
          </w:p>
        </w:tc>
        <w:tc>
          <w:tcPr>
            <w:tcW w:w="1572" w:type="dxa"/>
            <w:vMerge w:val="restart"/>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公务接待费</w:t>
            </w:r>
          </w:p>
        </w:tc>
      </w:tr>
      <w:tr>
        <w:tblPrEx>
          <w:tblLayout w:type="fixed"/>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686"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公务用车购置费</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公务用车运行费</w:t>
            </w:r>
          </w:p>
        </w:tc>
        <w:tc>
          <w:tcPr>
            <w:tcW w:w="1572" w:type="dxa"/>
            <w:vMerge w:val="continue"/>
            <w:tcBorders>
              <w:top w:val="nil"/>
              <w:left w:val="nil"/>
              <w:bottom w:val="single" w:color="000000" w:sz="4" w:space="0"/>
              <w:right w:val="single" w:color="auto" w:sz="4" w:space="0"/>
            </w:tcBorders>
            <w:tcMar>
              <w:top w:w="15" w:type="dxa"/>
              <w:left w:w="15" w:type="dxa"/>
              <w:right w:w="15" w:type="dxa"/>
            </w:tcMar>
            <w:vAlign w:val="center"/>
          </w:tcPr>
          <w:p>
            <w:pPr>
              <w:jc w:val="center"/>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7</w:t>
            </w:r>
          </w:p>
        </w:tc>
        <w:tc>
          <w:tcPr>
            <w:tcW w:w="168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8</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9</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10</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11</w:t>
            </w:r>
          </w:p>
        </w:tc>
        <w:tc>
          <w:tcPr>
            <w:tcW w:w="1572" w:type="dxa"/>
            <w:tcBorders>
              <w:top w:val="nil"/>
              <w:left w:val="nil"/>
              <w:bottom w:val="single" w:color="000000" w:sz="4" w:space="0"/>
              <w:right w:val="single" w:color="auto"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12</w:t>
            </w:r>
          </w:p>
        </w:tc>
      </w:tr>
      <w:tr>
        <w:tblPrEx>
          <w:tblLayout w:type="fixed"/>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9.87 </w:t>
            </w:r>
          </w:p>
        </w:tc>
        <w:tc>
          <w:tcPr>
            <w:tcW w:w="1686" w:type="dxa"/>
            <w:tcBorders>
              <w:top w:val="nil"/>
              <w:left w:val="nil"/>
              <w:bottom w:val="single" w:color="auto"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1565" w:type="dxa"/>
            <w:tcBorders>
              <w:top w:val="nil"/>
              <w:left w:val="nil"/>
              <w:bottom w:val="single" w:color="auto"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9.87 </w:t>
            </w:r>
          </w:p>
        </w:tc>
        <w:tc>
          <w:tcPr>
            <w:tcW w:w="1565" w:type="dxa"/>
            <w:tcBorders>
              <w:top w:val="nil"/>
              <w:left w:val="nil"/>
              <w:bottom w:val="single" w:color="auto"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1565" w:type="dxa"/>
            <w:tcBorders>
              <w:top w:val="nil"/>
              <w:left w:val="nil"/>
              <w:bottom w:val="single" w:color="auto"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9.87 </w:t>
            </w:r>
          </w:p>
        </w:tc>
        <w:tc>
          <w:tcPr>
            <w:tcW w:w="1572" w:type="dxa"/>
            <w:tcBorders>
              <w:top w:val="nil"/>
              <w:left w:val="nil"/>
              <w:bottom w:val="single" w:color="auto" w:sz="4" w:space="0"/>
              <w:right w:val="single" w:color="auto"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r>
    </w:tbl>
    <w:p>
      <w:r>
        <w:rPr>
          <w:rFonts w:hint="eastAsia" w:ascii="宋体" w:hAnsi="宋体" w:eastAsia="宋体" w:cs="宋体"/>
        </w:rPr>
        <w:t>注：本表反映部门本年度“三公”经费支出预决算情况。其中：预算数为“三公”经费全年预算数，反映按规定程序调整后的预算数；决算数是包括当年一般公共预算财政拨款和以前年度结转资金安排的实际支出。</w:t>
      </w:r>
      <w:r>
        <w:rPr>
          <w:rFonts w:ascii="仿宋_GB2312" w:hAnsi="仿宋_GB2312" w:eastAsia="仿宋_GB2312" w:cs="仿宋_GB2312"/>
        </w:rPr>
        <w:tab/>
      </w:r>
      <w:r>
        <w:tab/>
      </w:r>
      <w:r>
        <w:tab/>
      </w:r>
      <w:r>
        <w:tab/>
      </w:r>
      <w:r>
        <w:tab/>
      </w:r>
      <w:r>
        <w:tab/>
      </w:r>
      <w:r>
        <w:tab/>
      </w:r>
      <w:r>
        <w:tab/>
      </w:r>
      <w:r>
        <w:tab/>
      </w:r>
      <w:r>
        <w:tab/>
      </w:r>
      <w:r>
        <w:tab/>
      </w:r>
      <w:r>
        <w:br w:type="page"/>
      </w:r>
    </w:p>
    <w:tbl>
      <w:tblPr>
        <w:tblStyle w:val="7"/>
        <w:tblW w:w="9512" w:type="dxa"/>
        <w:jc w:val="center"/>
        <w:tblInd w:w="0" w:type="dxa"/>
        <w:tblLayout w:type="fixed"/>
        <w:tblCellMar>
          <w:top w:w="0" w:type="dxa"/>
          <w:left w:w="0" w:type="dxa"/>
          <w:bottom w:w="0" w:type="dxa"/>
          <w:right w:w="0" w:type="dxa"/>
        </w:tblCellMar>
      </w:tblPr>
      <w:tblGrid>
        <w:gridCol w:w="1093"/>
        <w:gridCol w:w="87"/>
        <w:gridCol w:w="87"/>
        <w:gridCol w:w="1579"/>
        <w:gridCol w:w="1111"/>
        <w:gridCol w:w="1111"/>
        <w:gridCol w:w="1111"/>
        <w:gridCol w:w="1111"/>
        <w:gridCol w:w="1111"/>
        <w:gridCol w:w="1111"/>
      </w:tblGrid>
      <w:tr>
        <w:tblPrEx>
          <w:tblLayout w:type="fixed"/>
          <w:tblCellMar>
            <w:top w:w="0" w:type="dxa"/>
            <w:left w:w="0" w:type="dxa"/>
            <w:bottom w:w="0" w:type="dxa"/>
            <w:right w:w="0" w:type="dxa"/>
          </w:tblCellMar>
        </w:tblPrEx>
        <w:trPr>
          <w:trHeight w:val="780" w:hRule="atLeast"/>
          <w:jc w:val="center"/>
        </w:trPr>
        <w:tc>
          <w:tcPr>
            <w:tcW w:w="9512" w:type="dxa"/>
            <w:gridSpan w:val="10"/>
            <w:tcBorders>
              <w:top w:val="nil"/>
              <w:left w:val="nil"/>
              <w:bottom w:val="nil"/>
              <w:right w:val="nil"/>
            </w:tcBorders>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政府性基金预算财政拨款收入支出决算表</w:t>
            </w:r>
          </w:p>
        </w:tc>
      </w:tr>
      <w:tr>
        <w:tblPrEx>
          <w:tblLayout w:type="fixed"/>
          <w:tblCellMar>
            <w:top w:w="0" w:type="dxa"/>
            <w:left w:w="0" w:type="dxa"/>
            <w:bottom w:w="0" w:type="dxa"/>
            <w:right w:w="0" w:type="dxa"/>
          </w:tblCellMar>
        </w:tblPrEx>
        <w:trPr>
          <w:trHeight w:val="255" w:hRule="atLeast"/>
          <w:jc w:val="center"/>
        </w:trPr>
        <w:tc>
          <w:tcPr>
            <w:tcW w:w="1093"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87"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87"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579"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11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11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11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11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2222" w:type="dxa"/>
            <w:gridSpan w:val="2"/>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08</w:t>
            </w:r>
            <w:r>
              <w:rPr>
                <w:rFonts w:hint="eastAsia" w:ascii="宋体" w:hAnsi="宋体" w:eastAsia="宋体" w:cs="宋体"/>
                <w:color w:val="000000"/>
                <w:kern w:val="0"/>
                <w:sz w:val="20"/>
                <w:szCs w:val="20"/>
              </w:rPr>
              <w:t>表</w:t>
            </w:r>
          </w:p>
        </w:tc>
      </w:tr>
      <w:tr>
        <w:tblPrEx>
          <w:tblLayout w:type="fixed"/>
          <w:tblCellMar>
            <w:top w:w="0" w:type="dxa"/>
            <w:left w:w="0" w:type="dxa"/>
            <w:bottom w:w="0" w:type="dxa"/>
            <w:right w:w="0" w:type="dxa"/>
          </w:tblCellMar>
        </w:tblPrEx>
        <w:trPr>
          <w:trHeight w:val="255" w:hRule="atLeast"/>
          <w:jc w:val="center"/>
        </w:trPr>
        <w:tc>
          <w:tcPr>
            <w:tcW w:w="1093" w:type="dxa"/>
            <w:tcBorders>
              <w:top w:val="nil"/>
              <w:left w:val="nil"/>
              <w:bottom w:val="nil"/>
              <w:right w:val="nil"/>
            </w:tcBorders>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87"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87"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4912" w:type="dxa"/>
            <w:gridSpan w:val="4"/>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r>
              <w:rPr>
                <w:rFonts w:hint="eastAsia" w:ascii="Arial" w:hAnsi="Arial" w:cs="Arial"/>
                <w:color w:val="000000"/>
                <w:sz w:val="20"/>
                <w:szCs w:val="20"/>
              </w:rPr>
              <w:t>唐山市曹妃甸区人力资源和社会保障局</w:t>
            </w:r>
          </w:p>
        </w:tc>
        <w:tc>
          <w:tcPr>
            <w:tcW w:w="111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2222" w:type="dxa"/>
            <w:gridSpan w:val="2"/>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Layout w:type="fixed"/>
          <w:tblCellMar>
            <w:top w:w="0" w:type="dxa"/>
            <w:left w:w="0" w:type="dxa"/>
            <w:bottom w:w="0" w:type="dxa"/>
            <w:right w:w="0" w:type="dxa"/>
          </w:tblCellMar>
        </w:tblPrEx>
        <w:trPr>
          <w:trHeight w:val="308" w:hRule="atLeast"/>
          <w:jc w:val="center"/>
        </w:trPr>
        <w:tc>
          <w:tcPr>
            <w:tcW w:w="2846"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111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年初结转和结余</w:t>
            </w:r>
          </w:p>
        </w:tc>
        <w:tc>
          <w:tcPr>
            <w:tcW w:w="111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本年收入</w:t>
            </w:r>
          </w:p>
        </w:tc>
        <w:tc>
          <w:tcPr>
            <w:tcW w:w="3333"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w:t>
            </w:r>
          </w:p>
        </w:tc>
        <w:tc>
          <w:tcPr>
            <w:tcW w:w="111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年末结转和结余</w:t>
            </w:r>
          </w:p>
        </w:tc>
      </w:tr>
      <w:tr>
        <w:tblPrEx>
          <w:tblLayout w:type="fixed"/>
          <w:tblCellMar>
            <w:top w:w="0" w:type="dxa"/>
            <w:left w:w="0" w:type="dxa"/>
            <w:bottom w:w="0" w:type="dxa"/>
            <w:right w:w="0" w:type="dxa"/>
          </w:tblCellMar>
        </w:tblPrEx>
        <w:trPr>
          <w:trHeight w:val="312" w:hRule="atLeast"/>
          <w:jc w:val="center"/>
        </w:trPr>
        <w:tc>
          <w:tcPr>
            <w:tcW w:w="1267"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157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11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1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111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111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c>
          <w:tcPr>
            <w:tcW w:w="11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12" w:hRule="atLeast"/>
          <w:jc w:val="center"/>
        </w:trPr>
        <w:tc>
          <w:tcPr>
            <w:tcW w:w="1267"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579"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11"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11"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11"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12" w:hRule="atLeast"/>
          <w:jc w:val="center"/>
        </w:trPr>
        <w:tc>
          <w:tcPr>
            <w:tcW w:w="1267"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579"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11"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11"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11"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08" w:hRule="atLeast"/>
          <w:jc w:val="center"/>
        </w:trPr>
        <w:tc>
          <w:tcPr>
            <w:tcW w:w="2846"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w:t>
            </w: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6</w:t>
            </w:r>
          </w:p>
        </w:tc>
      </w:tr>
      <w:tr>
        <w:tblPrEx>
          <w:tblLayout w:type="fixed"/>
          <w:tblCellMar>
            <w:top w:w="0" w:type="dxa"/>
            <w:left w:w="0" w:type="dxa"/>
            <w:bottom w:w="0" w:type="dxa"/>
            <w:right w:w="0" w:type="dxa"/>
          </w:tblCellMar>
        </w:tblPrEx>
        <w:trPr>
          <w:trHeight w:val="308" w:hRule="atLeast"/>
          <w:jc w:val="center"/>
        </w:trPr>
        <w:tc>
          <w:tcPr>
            <w:tcW w:w="2846"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rPr>
            </w:pPr>
          </w:p>
        </w:tc>
      </w:tr>
      <w:tr>
        <w:tblPrEx>
          <w:tblLayout w:type="fixed"/>
          <w:tblCellMar>
            <w:top w:w="0" w:type="dxa"/>
            <w:left w:w="0" w:type="dxa"/>
            <w:bottom w:w="0" w:type="dxa"/>
            <w:right w:w="0" w:type="dxa"/>
          </w:tblCellMar>
        </w:tblPrEx>
        <w:trPr>
          <w:trHeight w:val="308" w:hRule="atLeast"/>
          <w:jc w:val="center"/>
        </w:trPr>
        <w:tc>
          <w:tcPr>
            <w:tcW w:w="1267"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1579"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08" w:hRule="atLeast"/>
          <w:jc w:val="center"/>
        </w:trPr>
        <w:tc>
          <w:tcPr>
            <w:tcW w:w="1267"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1579"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08" w:hRule="atLeast"/>
          <w:jc w:val="center"/>
        </w:trPr>
        <w:tc>
          <w:tcPr>
            <w:tcW w:w="1267"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1579"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08" w:hRule="atLeast"/>
          <w:jc w:val="center"/>
        </w:trPr>
        <w:tc>
          <w:tcPr>
            <w:tcW w:w="1267"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1579"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08" w:hRule="atLeast"/>
          <w:jc w:val="center"/>
        </w:trPr>
        <w:tc>
          <w:tcPr>
            <w:tcW w:w="1267"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1579"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bl>
    <w:p>
      <w:r>
        <w:rPr>
          <w:rFonts w:hint="eastAsia"/>
        </w:rPr>
        <w:t>备注：本单位本年度无相关收支情况，按要求空表列式。</w:t>
      </w:r>
      <w:r>
        <w:br w:type="page"/>
      </w:r>
    </w:p>
    <w:tbl>
      <w:tblPr>
        <w:tblStyle w:val="7"/>
        <w:tblW w:w="9915" w:type="dxa"/>
        <w:jc w:val="center"/>
        <w:tblInd w:w="0" w:type="dxa"/>
        <w:tblLayout w:type="fixed"/>
        <w:tblCellMar>
          <w:top w:w="0" w:type="dxa"/>
          <w:left w:w="0" w:type="dxa"/>
          <w:bottom w:w="0" w:type="dxa"/>
          <w:right w:w="0" w:type="dxa"/>
        </w:tblCellMar>
      </w:tblPr>
      <w:tblGrid>
        <w:gridCol w:w="1277"/>
        <w:gridCol w:w="101"/>
        <w:gridCol w:w="101"/>
        <w:gridCol w:w="3792"/>
        <w:gridCol w:w="953"/>
        <w:gridCol w:w="1845"/>
        <w:gridCol w:w="1846"/>
      </w:tblGrid>
      <w:tr>
        <w:tblPrEx>
          <w:tblLayout w:type="fixed"/>
          <w:tblCellMar>
            <w:top w:w="0" w:type="dxa"/>
            <w:left w:w="0" w:type="dxa"/>
            <w:bottom w:w="0" w:type="dxa"/>
            <w:right w:w="0" w:type="dxa"/>
          </w:tblCellMar>
        </w:tblPrEx>
        <w:trPr>
          <w:trHeight w:val="840" w:hRule="atLeast"/>
          <w:jc w:val="center"/>
        </w:trPr>
        <w:tc>
          <w:tcPr>
            <w:tcW w:w="9915" w:type="dxa"/>
            <w:gridSpan w:val="7"/>
            <w:tcBorders>
              <w:top w:val="nil"/>
              <w:left w:val="nil"/>
              <w:bottom w:val="nil"/>
              <w:right w:val="nil"/>
            </w:tcBorders>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国有资本经营预算财政拨款支出决算表</w:t>
            </w:r>
          </w:p>
        </w:tc>
      </w:tr>
      <w:tr>
        <w:tblPrEx>
          <w:tblLayout w:type="fixed"/>
          <w:tblCellMar>
            <w:top w:w="0" w:type="dxa"/>
            <w:left w:w="0" w:type="dxa"/>
            <w:bottom w:w="0" w:type="dxa"/>
            <w:right w:w="0" w:type="dxa"/>
          </w:tblCellMar>
        </w:tblPrEx>
        <w:trPr>
          <w:trHeight w:val="255" w:hRule="atLeast"/>
          <w:jc w:val="center"/>
        </w:trPr>
        <w:tc>
          <w:tcPr>
            <w:tcW w:w="1277"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0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0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3792"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953"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3691" w:type="dxa"/>
            <w:gridSpan w:val="2"/>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09</w:t>
            </w:r>
            <w:r>
              <w:rPr>
                <w:rFonts w:hint="eastAsia" w:ascii="宋体" w:hAnsi="宋体" w:eastAsia="宋体" w:cs="宋体"/>
                <w:color w:val="000000"/>
                <w:kern w:val="0"/>
                <w:sz w:val="20"/>
                <w:szCs w:val="20"/>
              </w:rPr>
              <w:t>表</w:t>
            </w:r>
          </w:p>
        </w:tc>
      </w:tr>
      <w:tr>
        <w:tblPrEx>
          <w:tblLayout w:type="fixed"/>
          <w:tblCellMar>
            <w:top w:w="0" w:type="dxa"/>
            <w:left w:w="0" w:type="dxa"/>
            <w:bottom w:w="0" w:type="dxa"/>
            <w:right w:w="0" w:type="dxa"/>
          </w:tblCellMar>
        </w:tblPrEx>
        <w:trPr>
          <w:trHeight w:val="255" w:hRule="atLeast"/>
          <w:jc w:val="center"/>
        </w:trPr>
        <w:tc>
          <w:tcPr>
            <w:tcW w:w="1277" w:type="dxa"/>
            <w:tcBorders>
              <w:top w:val="nil"/>
              <w:left w:val="nil"/>
              <w:bottom w:val="nil"/>
              <w:right w:val="nil"/>
            </w:tcBorders>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10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0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3792"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r>
              <w:rPr>
                <w:rFonts w:hint="eastAsia" w:ascii="Arial" w:hAnsi="Arial" w:cs="Arial"/>
                <w:color w:val="000000"/>
                <w:sz w:val="20"/>
                <w:szCs w:val="20"/>
              </w:rPr>
              <w:t>唐山市曹妃甸区人力资源和社会保障局</w:t>
            </w:r>
          </w:p>
        </w:tc>
        <w:tc>
          <w:tcPr>
            <w:tcW w:w="953"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3691" w:type="dxa"/>
            <w:gridSpan w:val="2"/>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Layout w:type="fixed"/>
          <w:tblCellMar>
            <w:top w:w="0" w:type="dxa"/>
            <w:left w:w="0" w:type="dxa"/>
            <w:bottom w:w="0" w:type="dxa"/>
            <w:right w:w="0" w:type="dxa"/>
          </w:tblCellMar>
        </w:tblPrEx>
        <w:trPr>
          <w:trHeight w:val="308" w:hRule="atLeast"/>
          <w:jc w:val="center"/>
        </w:trPr>
        <w:tc>
          <w:tcPr>
            <w:tcW w:w="527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w:t>
            </w:r>
          </w:p>
        </w:tc>
        <w:tc>
          <w:tcPr>
            <w:tcW w:w="4644"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w:t>
            </w:r>
          </w:p>
        </w:tc>
      </w:tr>
      <w:tr>
        <w:tblPrEx>
          <w:tblLayout w:type="fixed"/>
          <w:tblCellMar>
            <w:top w:w="0" w:type="dxa"/>
            <w:left w:w="0" w:type="dxa"/>
            <w:bottom w:w="0" w:type="dxa"/>
            <w:right w:w="0" w:type="dxa"/>
          </w:tblCellMar>
        </w:tblPrEx>
        <w:trPr>
          <w:trHeight w:val="615" w:hRule="atLeast"/>
          <w:jc w:val="center"/>
        </w:trPr>
        <w:tc>
          <w:tcPr>
            <w:tcW w:w="1479"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3792"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953"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184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r>
      <w:tr>
        <w:tblPrEx>
          <w:tblLayout w:type="fixed"/>
          <w:tblCellMar>
            <w:top w:w="0" w:type="dxa"/>
            <w:left w:w="0" w:type="dxa"/>
            <w:bottom w:w="0" w:type="dxa"/>
            <w:right w:w="0" w:type="dxa"/>
          </w:tblCellMar>
        </w:tblPrEx>
        <w:trPr>
          <w:trHeight w:val="308" w:hRule="atLeast"/>
          <w:jc w:val="center"/>
        </w:trPr>
        <w:tc>
          <w:tcPr>
            <w:tcW w:w="5271"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953"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184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r>
      <w:tr>
        <w:tblPrEx>
          <w:tblLayout w:type="fixed"/>
          <w:tblCellMar>
            <w:top w:w="0" w:type="dxa"/>
            <w:left w:w="0" w:type="dxa"/>
            <w:bottom w:w="0" w:type="dxa"/>
            <w:right w:w="0" w:type="dxa"/>
          </w:tblCellMar>
        </w:tblPrEx>
        <w:trPr>
          <w:trHeight w:val="308" w:hRule="atLeast"/>
          <w:jc w:val="center"/>
        </w:trPr>
        <w:tc>
          <w:tcPr>
            <w:tcW w:w="5271"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95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rPr>
            </w:pPr>
          </w:p>
        </w:tc>
        <w:tc>
          <w:tcPr>
            <w:tcW w:w="1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rPr>
            </w:pP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rPr>
            </w:pPr>
          </w:p>
        </w:tc>
      </w:tr>
      <w:tr>
        <w:tblPrEx>
          <w:tblLayout w:type="fixed"/>
          <w:tblCellMar>
            <w:top w:w="0" w:type="dxa"/>
            <w:left w:w="0" w:type="dxa"/>
            <w:bottom w:w="0" w:type="dxa"/>
            <w:right w:w="0" w:type="dxa"/>
          </w:tblCellMar>
        </w:tblPrEx>
        <w:trPr>
          <w:trHeight w:val="308" w:hRule="atLeast"/>
          <w:jc w:val="center"/>
        </w:trPr>
        <w:tc>
          <w:tcPr>
            <w:tcW w:w="1479"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3792"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95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08" w:hRule="atLeast"/>
          <w:jc w:val="center"/>
        </w:trPr>
        <w:tc>
          <w:tcPr>
            <w:tcW w:w="1479"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3792"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95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08" w:hRule="atLeast"/>
          <w:jc w:val="center"/>
        </w:trPr>
        <w:tc>
          <w:tcPr>
            <w:tcW w:w="1479"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3792"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95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08" w:hRule="atLeast"/>
          <w:jc w:val="center"/>
        </w:trPr>
        <w:tc>
          <w:tcPr>
            <w:tcW w:w="1479"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3792"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95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08" w:hRule="atLeast"/>
          <w:jc w:val="center"/>
        </w:trPr>
        <w:tc>
          <w:tcPr>
            <w:tcW w:w="1479"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3792"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95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bl>
    <w:p>
      <w:r>
        <w:rPr>
          <w:rFonts w:hint="eastAsia"/>
        </w:rPr>
        <w:t>备注：本单位本年度无相关收支情况，按要求空表列式。</w:t>
      </w:r>
    </w:p>
    <w:p/>
    <w:p/>
    <w:p/>
    <w:p/>
    <w:p/>
    <w:p/>
    <w:p/>
    <w:p/>
    <w:p/>
    <w:p/>
    <w:p/>
    <w:p/>
    <w:p>
      <w:pPr>
        <w:rPr>
          <w:highlight w:val="none"/>
        </w:rPr>
      </w:pPr>
      <w:r>
        <w:rPr>
          <w:highlight w:val="none"/>
        </w:rPr>
        <w:pict>
          <v:shape id="_x0000_i1026" o:spt="75" type="#_x0000_t75" style="height:658.8pt;width:451.2pt;" filled="f" o:preferrelative="t" stroked="f" coordsize="21600,21600">
            <v:path/>
            <v:fill on="f" focussize="0,0"/>
            <v:stroke on="f" joinstyle="miter"/>
            <v:imagedata r:id="rId16" o:title=""/>
            <o:lock v:ext="edit" aspectratio="t"/>
            <w10:wrap type="none"/>
            <w10:anchorlock/>
          </v:shape>
        </w:pict>
      </w:r>
      <w:r>
        <w:rPr>
          <w:highlight w:val="none"/>
        </w:rPr>
        <w:pict>
          <v:shape id="_x0000_i1027" o:spt="75" type="#_x0000_t75" style="height:636.6pt;width:449.4pt;" filled="f" o:preferrelative="t" stroked="f" coordsize="21600,21600">
            <v:path/>
            <v:fill on="f" focussize="0,0"/>
            <v:stroke on="f" joinstyle="miter"/>
            <v:imagedata r:id="rId17" o:title=""/>
            <o:lock v:ext="edit" aspectratio="t"/>
            <w10:wrap type="none"/>
            <w10:anchorlock/>
          </v:shape>
        </w:pict>
      </w:r>
    </w:p>
    <w:p/>
    <w:p>
      <w:r>
        <w:br w:type="page"/>
      </w:r>
    </w:p>
    <w:p>
      <w:r>
        <w:pict>
          <v:rect id="_x0000_s1047" o:spid="_x0000_s1047" o:spt="1" style="position:absolute;left:0pt;margin-left:-70.5pt;margin-top:-85.25pt;height:841.15pt;width:595.1pt;z-index:251661312;v-text-anchor:middle;mso-width-relative:page;mso-height-relative:page;" fillcolor="#FFC000" filled="t" stroked="f" coordsize="21600,21600" o:gfxdata="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Cby1/dAAAADwEAAA8AAAAAAAAAAQAgAAAAIgAAAGRycy9kb3ducmV2LnhtbFBLAQIUABQA&#10;AAAIAIdO4kAlmqUrXQIAAIwEAAAOAAAAAAAAAAEAIAAAACwBAABkcnMvZTJvRG9jLnhtbFBLBQYA&#10;AAAABgAGAFkBAAD7BQAAAAA=&#10;">
            <v:path/>
            <v:fill on="t" focussize="0,0"/>
            <v:stroke on="f" weight="1pt"/>
            <v:imagedata o:title=""/>
            <o:lock v:ext="edit"/>
          </v:rect>
        </w:pict>
      </w:r>
    </w:p>
    <w:sectPr>
      <w:pgSz w:w="11906" w:h="16838"/>
      <w:pgMar w:top="1701" w:right="1417" w:bottom="1281" w:left="1417"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00000" w:csb1="00000000"/>
  </w:font>
  <w:font w:name="Yu Gothic UI Semibold">
    <w:panose1 w:val="020B0700000000000000"/>
    <w:charset w:val="80"/>
    <w:family w:val="swiss"/>
    <w:pitch w:val="default"/>
    <w:sig w:usb0="E00002FF" w:usb1="2AC7FDFF" w:usb2="00000016" w:usb3="00000000" w:csb0="2002009F" w:csb1="00000000"/>
  </w:font>
  <w:font w:name="思源黑体 HW Bold">
    <w:altName w:val="黑体"/>
    <w:panose1 w:val="00000000000000000000"/>
    <w:charset w:val="86"/>
    <w:family w:val="swiss"/>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ArialUnicodeMS">
    <w:altName w:val="Malgun Gothic"/>
    <w:panose1 w:val="00000000000000000000"/>
    <w:charset w:val="81"/>
    <w:family w:val="auto"/>
    <w:pitch w:val="default"/>
    <w:sig w:usb0="00000000" w:usb1="00000000" w:usb2="00000010" w:usb3="00000000" w:csb0="00080000" w:csb1="00000000"/>
  </w:font>
  <w:font w:name="DengXian-Regular">
    <w:altName w:val="宋体"/>
    <w:panose1 w:val="00000000000000000000"/>
    <w:charset w:val="86"/>
    <w:family w:val="auto"/>
    <w:pitch w:val="default"/>
    <w:sig w:usb0="00000000" w:usb1="00000000" w:usb2="00000010" w:usb3="00000000" w:csb0="00040000" w:csb1="00000000"/>
  </w:font>
  <w:font w:name="DengXian-Bold">
    <w:altName w:val="宋体"/>
    <w:panose1 w:val="00000000000000000000"/>
    <w:charset w:val="86"/>
    <w:family w:val="auto"/>
    <w:pitch w:val="default"/>
    <w:sig w:usb0="00000000" w:usb1="00000000" w:usb2="00000010" w:usb3="00000000" w:csb0="00040000" w:csb1="00000000"/>
  </w:font>
  <w:font w:name="µÈÏß Western">
    <w:altName w:val="Times New Roman"/>
    <w:panose1 w:val="00000000000000000000"/>
    <w:charset w:val="00"/>
    <w:family w:val="auto"/>
    <w:pitch w:val="default"/>
    <w:sig w:usb0="00000000" w:usb1="00000000" w:usb2="00000000" w:usb3="00000000" w:csb0="00000001" w:csb1="00000000"/>
  </w:font>
  <w:font w:name="TimesNewRomanPSMT">
    <w:altName w:val="Arial"/>
    <w:panose1 w:val="00000000000000000000"/>
    <w:charset w:val="00"/>
    <w:family w:val="swiss"/>
    <w:pitch w:val="default"/>
    <w:sig w:usb0="00000000" w:usb1="00000000" w:usb2="00000000" w:usb3="00000000" w:csb0="00000001" w:csb1="00000000"/>
  </w:font>
  <w:font w:name="MS-UIGothic,Bold">
    <w:altName w:val="Malgun Gothic"/>
    <w:panose1 w:val="00000000000000000000"/>
    <w:charset w:val="81"/>
    <w:family w:val="auto"/>
    <w:pitch w:val="default"/>
    <w:sig w:usb0="00000000" w:usb1="00000000" w:usb2="00000010" w:usb3="00000000" w:csb0="00080000" w:csb1="00000000"/>
  </w:font>
  <w:font w:name="楷体">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none" w:color="auto" w:sz="0" w:space="0"/>
        <w:left w:val="none" w:color="auto" w:sz="0" w:space="0"/>
        <w:bottom w:val="none" w:color="auto" w:sz="0" w:space="0"/>
        <w:right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none" w:color="auto" w:sz="0" w:space="0"/>
        <w:left w:val="none" w:color="auto" w:sz="0" w:space="0"/>
        <w:bottom w:val="none" w:color="auto" w:sz="0" w:space="0"/>
        <w:right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none" w:color="auto" w:sz="0" w:space="0"/>
        <w:left w:val="none" w:color="auto" w:sz="0" w:space="0"/>
        <w:bottom w:val="none" w:color="auto" w:sz="0" w:space="0"/>
        <w:right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none" w:color="auto" w:sz="0" w:space="0"/>
        <w:left w:val="none" w:color="auto" w:sz="0" w:space="0"/>
        <w:bottom w:val="none" w:color="auto" w:sz="0" w:space="0"/>
        <w:right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DF258C"/>
    <w:multiLevelType w:val="singleLevel"/>
    <w:tmpl w:val="12DF258C"/>
    <w:lvl w:ilvl="0" w:tentative="0">
      <w:start w:val="2"/>
      <w:numFmt w:val="chineseCounting"/>
      <w:suff w:val="nothing"/>
      <w:lvlText w:val="（%1）"/>
      <w:lvlJc w:val="left"/>
      <w:rPr>
        <w:rFonts w:hint="eastAsia" w:cs="Times New Roman"/>
      </w:rPr>
    </w:lvl>
  </w:abstractNum>
  <w:abstractNum w:abstractNumId="1">
    <w:nsid w:val="45DB9A87"/>
    <w:multiLevelType w:val="singleLevel"/>
    <w:tmpl w:val="45DB9A87"/>
    <w:lvl w:ilvl="0" w:tentative="0">
      <w:start w:val="3"/>
      <w:numFmt w:val="chineseCounting"/>
      <w:suff w:val="nothing"/>
      <w:lvlText w:val="（%1）"/>
      <w:lvlJc w:val="left"/>
      <w:rPr>
        <w:rFonts w:hint="eastAsia"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attachedTemplate r:id="rId1"/>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6AAF1C96"/>
    <w:rsid w:val="0007063E"/>
    <w:rsid w:val="00073392"/>
    <w:rsid w:val="00073F4E"/>
    <w:rsid w:val="00080115"/>
    <w:rsid w:val="00084648"/>
    <w:rsid w:val="00086C89"/>
    <w:rsid w:val="000A39FB"/>
    <w:rsid w:val="000A5FEB"/>
    <w:rsid w:val="000A6CB8"/>
    <w:rsid w:val="00117746"/>
    <w:rsid w:val="00126179"/>
    <w:rsid w:val="001341A1"/>
    <w:rsid w:val="00163F95"/>
    <w:rsid w:val="0017754F"/>
    <w:rsid w:val="00180A9A"/>
    <w:rsid w:val="001829C0"/>
    <w:rsid w:val="00184809"/>
    <w:rsid w:val="00192112"/>
    <w:rsid w:val="001B0127"/>
    <w:rsid w:val="001C12D5"/>
    <w:rsid w:val="001C69F7"/>
    <w:rsid w:val="001F13AE"/>
    <w:rsid w:val="00204872"/>
    <w:rsid w:val="002216CF"/>
    <w:rsid w:val="002650EC"/>
    <w:rsid w:val="00271CB9"/>
    <w:rsid w:val="002A6C46"/>
    <w:rsid w:val="002C19B5"/>
    <w:rsid w:val="00324743"/>
    <w:rsid w:val="00355AE7"/>
    <w:rsid w:val="003A4EE8"/>
    <w:rsid w:val="004150A4"/>
    <w:rsid w:val="00442CC2"/>
    <w:rsid w:val="00446244"/>
    <w:rsid w:val="00473C20"/>
    <w:rsid w:val="004D61CB"/>
    <w:rsid w:val="005011D6"/>
    <w:rsid w:val="00503F2E"/>
    <w:rsid w:val="00511C0D"/>
    <w:rsid w:val="00552226"/>
    <w:rsid w:val="00566120"/>
    <w:rsid w:val="00576379"/>
    <w:rsid w:val="00582E6D"/>
    <w:rsid w:val="005954D5"/>
    <w:rsid w:val="005A53FA"/>
    <w:rsid w:val="005D1293"/>
    <w:rsid w:val="005E1E2F"/>
    <w:rsid w:val="00637B0D"/>
    <w:rsid w:val="00644D5F"/>
    <w:rsid w:val="006727AD"/>
    <w:rsid w:val="00691425"/>
    <w:rsid w:val="006A179A"/>
    <w:rsid w:val="006A516E"/>
    <w:rsid w:val="006B0830"/>
    <w:rsid w:val="006F5B67"/>
    <w:rsid w:val="00700A09"/>
    <w:rsid w:val="0071343C"/>
    <w:rsid w:val="00716E2B"/>
    <w:rsid w:val="00770F18"/>
    <w:rsid w:val="00773B74"/>
    <w:rsid w:val="0078290C"/>
    <w:rsid w:val="007C06CA"/>
    <w:rsid w:val="007D1F90"/>
    <w:rsid w:val="007F6166"/>
    <w:rsid w:val="008163FB"/>
    <w:rsid w:val="00821C97"/>
    <w:rsid w:val="0082605B"/>
    <w:rsid w:val="00855C36"/>
    <w:rsid w:val="00857DBE"/>
    <w:rsid w:val="008701BC"/>
    <w:rsid w:val="00883D92"/>
    <w:rsid w:val="008A5362"/>
    <w:rsid w:val="008F21F1"/>
    <w:rsid w:val="008F221B"/>
    <w:rsid w:val="008F5A2D"/>
    <w:rsid w:val="00921602"/>
    <w:rsid w:val="00956AD5"/>
    <w:rsid w:val="00957EA1"/>
    <w:rsid w:val="00966E5B"/>
    <w:rsid w:val="009B4EF0"/>
    <w:rsid w:val="009D271F"/>
    <w:rsid w:val="00A04A1D"/>
    <w:rsid w:val="00A57776"/>
    <w:rsid w:val="00A929C2"/>
    <w:rsid w:val="00AA4B49"/>
    <w:rsid w:val="00AD097F"/>
    <w:rsid w:val="00B128CD"/>
    <w:rsid w:val="00B155A8"/>
    <w:rsid w:val="00B613BB"/>
    <w:rsid w:val="00B64701"/>
    <w:rsid w:val="00B844F4"/>
    <w:rsid w:val="00BA06A1"/>
    <w:rsid w:val="00BA770A"/>
    <w:rsid w:val="00C054DE"/>
    <w:rsid w:val="00C363CE"/>
    <w:rsid w:val="00C679A9"/>
    <w:rsid w:val="00C74914"/>
    <w:rsid w:val="00C7541C"/>
    <w:rsid w:val="00C961B9"/>
    <w:rsid w:val="00CC0FAA"/>
    <w:rsid w:val="00CD0736"/>
    <w:rsid w:val="00D1570F"/>
    <w:rsid w:val="00D32830"/>
    <w:rsid w:val="00DB7153"/>
    <w:rsid w:val="00DB7F05"/>
    <w:rsid w:val="00DE34FA"/>
    <w:rsid w:val="00E028C3"/>
    <w:rsid w:val="00E14F77"/>
    <w:rsid w:val="00E3076B"/>
    <w:rsid w:val="00E36978"/>
    <w:rsid w:val="00E62F01"/>
    <w:rsid w:val="00E74E00"/>
    <w:rsid w:val="00E82A1E"/>
    <w:rsid w:val="00E96287"/>
    <w:rsid w:val="00EC06F4"/>
    <w:rsid w:val="00EE4E36"/>
    <w:rsid w:val="00F665F4"/>
    <w:rsid w:val="00FA1DA8"/>
    <w:rsid w:val="00FD225F"/>
    <w:rsid w:val="00FF67D3"/>
    <w:rsid w:val="0326242D"/>
    <w:rsid w:val="047C2ECD"/>
    <w:rsid w:val="07283B96"/>
    <w:rsid w:val="0BE67A16"/>
    <w:rsid w:val="10546F55"/>
    <w:rsid w:val="11085357"/>
    <w:rsid w:val="11E0653E"/>
    <w:rsid w:val="157E4C2D"/>
    <w:rsid w:val="18815B78"/>
    <w:rsid w:val="18FC1E04"/>
    <w:rsid w:val="25E83CBA"/>
    <w:rsid w:val="2945789D"/>
    <w:rsid w:val="2EAC5D9A"/>
    <w:rsid w:val="30A5696A"/>
    <w:rsid w:val="31C2036A"/>
    <w:rsid w:val="320D02A5"/>
    <w:rsid w:val="32507C4F"/>
    <w:rsid w:val="348E566F"/>
    <w:rsid w:val="35DC6287"/>
    <w:rsid w:val="3A226944"/>
    <w:rsid w:val="3A9D673E"/>
    <w:rsid w:val="3AEE6A48"/>
    <w:rsid w:val="3C1620AA"/>
    <w:rsid w:val="3D8F080F"/>
    <w:rsid w:val="3E28615C"/>
    <w:rsid w:val="442F1080"/>
    <w:rsid w:val="44CE1FA4"/>
    <w:rsid w:val="487F73ED"/>
    <w:rsid w:val="4A347EAE"/>
    <w:rsid w:val="4B1A1C88"/>
    <w:rsid w:val="4F964319"/>
    <w:rsid w:val="5086205C"/>
    <w:rsid w:val="52600405"/>
    <w:rsid w:val="529B4319"/>
    <w:rsid w:val="57773DD6"/>
    <w:rsid w:val="578B79AB"/>
    <w:rsid w:val="58313844"/>
    <w:rsid w:val="5C33223C"/>
    <w:rsid w:val="5CA73277"/>
    <w:rsid w:val="5CCD3FD5"/>
    <w:rsid w:val="5CF8165E"/>
    <w:rsid w:val="61197F6F"/>
    <w:rsid w:val="611D1FDA"/>
    <w:rsid w:val="61E603DA"/>
    <w:rsid w:val="61FA5F9D"/>
    <w:rsid w:val="64CD6910"/>
    <w:rsid w:val="663814C5"/>
    <w:rsid w:val="6789158D"/>
    <w:rsid w:val="67D81BA4"/>
    <w:rsid w:val="687E622A"/>
    <w:rsid w:val="688E1225"/>
    <w:rsid w:val="68CA6D7A"/>
    <w:rsid w:val="6AAF1C96"/>
    <w:rsid w:val="6D425904"/>
    <w:rsid w:val="73D23B7C"/>
    <w:rsid w:val="75681757"/>
    <w:rsid w:val="75A346A8"/>
    <w:rsid w:val="76A7510F"/>
    <w:rsid w:val="79B9382C"/>
    <w:rsid w:val="7B043B76"/>
    <w:rsid w:val="7C041A6A"/>
    <w:rsid w:val="7C392214"/>
    <w:rsid w:val="7D9854A9"/>
    <w:rsid w:val="7E327570"/>
    <w:rsid w:val="7EE30D1D"/>
    <w:rsid w:val="7F8F00AD"/>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paragraph" w:styleId="2">
    <w:name w:val="heading 1"/>
    <w:basedOn w:val="1"/>
    <w:next w:val="1"/>
    <w:link w:val="9"/>
    <w:qFormat/>
    <w:uiPriority w:val="99"/>
    <w:pPr>
      <w:keepNext/>
      <w:keepLines/>
      <w:spacing w:before="340" w:after="330" w:line="578" w:lineRule="auto"/>
      <w:outlineLvl w:val="0"/>
    </w:pPr>
    <w:rPr>
      <w:b/>
      <w:bCs/>
      <w:kern w:val="44"/>
      <w:sz w:val="44"/>
      <w:szCs w:val="44"/>
    </w:rPr>
  </w:style>
  <w:style w:type="character" w:default="1" w:styleId="6">
    <w:name w:val="Default Paragraph Font"/>
    <w:semiHidden/>
    <w:uiPriority w:val="99"/>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3">
    <w:name w:val="Body Text"/>
    <w:basedOn w:val="1"/>
    <w:link w:val="10"/>
    <w:uiPriority w:val="99"/>
    <w:rPr>
      <w:rFonts w:ascii="仿宋_GB2312" w:hAnsi="仿宋_GB2312" w:eastAsia="仿宋_GB2312" w:cs="仿宋_GB2312"/>
      <w:sz w:val="32"/>
      <w:szCs w:val="32"/>
      <w:lang w:val="zh-CN"/>
    </w:rPr>
  </w:style>
  <w:style w:type="paragraph" w:styleId="4">
    <w:name w:val="footer"/>
    <w:basedOn w:val="1"/>
    <w:link w:val="11"/>
    <w:qFormat/>
    <w:uiPriority w:val="99"/>
    <w:pPr>
      <w:tabs>
        <w:tab w:val="center" w:pos="4153"/>
        <w:tab w:val="right" w:pos="8306"/>
      </w:tabs>
      <w:snapToGrid w:val="0"/>
      <w:jc w:val="left"/>
    </w:pPr>
    <w:rPr>
      <w:sz w:val="18"/>
      <w:szCs w:val="18"/>
    </w:rPr>
  </w:style>
  <w:style w:type="paragraph" w:styleId="5">
    <w:name w:val="header"/>
    <w:basedOn w:val="1"/>
    <w:link w:val="12"/>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8">
    <w:name w:val="Table Grid"/>
    <w:basedOn w:val="7"/>
    <w:qFormat/>
    <w:uiPriority w:val="99"/>
    <w:rPr>
      <w:kern w:val="0"/>
      <w:sz w:val="22"/>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customStyle="1" w:styleId="9">
    <w:name w:val="Heading 1 Char"/>
    <w:basedOn w:val="6"/>
    <w:link w:val="2"/>
    <w:qFormat/>
    <w:locked/>
    <w:uiPriority w:val="99"/>
    <w:rPr>
      <w:rFonts w:ascii="等线" w:hAnsi="等线" w:eastAsia="等线" w:cs="Times New Roman"/>
      <w:b/>
      <w:bCs/>
      <w:kern w:val="44"/>
      <w:sz w:val="44"/>
      <w:szCs w:val="44"/>
    </w:rPr>
  </w:style>
  <w:style w:type="character" w:customStyle="1" w:styleId="10">
    <w:name w:val="Body Text Char"/>
    <w:basedOn w:val="6"/>
    <w:link w:val="3"/>
    <w:semiHidden/>
    <w:qFormat/>
    <w:locked/>
    <w:uiPriority w:val="99"/>
    <w:rPr>
      <w:rFonts w:ascii="等线" w:hAnsi="等线" w:eastAsia="等线" w:cs="Times New Roman"/>
    </w:rPr>
  </w:style>
  <w:style w:type="character" w:customStyle="1" w:styleId="11">
    <w:name w:val="Footer Char"/>
    <w:basedOn w:val="6"/>
    <w:link w:val="4"/>
    <w:qFormat/>
    <w:locked/>
    <w:uiPriority w:val="99"/>
    <w:rPr>
      <w:rFonts w:cs="Times New Roman"/>
      <w:sz w:val="18"/>
      <w:szCs w:val="18"/>
    </w:rPr>
  </w:style>
  <w:style w:type="character" w:customStyle="1" w:styleId="12">
    <w:name w:val="Header Char"/>
    <w:basedOn w:val="6"/>
    <w:link w:val="5"/>
    <w:qFormat/>
    <w:locked/>
    <w:uiPriority w:val="99"/>
    <w:rPr>
      <w:rFonts w:ascii="等线" w:hAnsi="等线" w:eastAsia="等线" w:cs="Times New Roman"/>
      <w:sz w:val="18"/>
      <w:szCs w:val="18"/>
    </w:rPr>
  </w:style>
  <w:style w:type="paragraph" w:customStyle="1" w:styleId="13">
    <w:name w:val="List Paragraph1"/>
    <w:basedOn w:val="1"/>
    <w:uiPriority w:val="99"/>
    <w:pPr>
      <w:spacing w:before="2"/>
      <w:ind w:left="119" w:right="434" w:firstLine="643"/>
    </w:pPr>
    <w:rPr>
      <w:rFonts w:ascii="仿宋_GB2312" w:hAnsi="仿宋_GB2312" w:eastAsia="仿宋_GB2312" w:cs="仿宋_GB2312"/>
      <w:lang w:val="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emf"/><Relationship Id="rId14" Type="http://schemas.openxmlformats.org/officeDocument/2006/relationships/image" Target="media/image5.emf"/><Relationship Id="rId13" Type="http://schemas.openxmlformats.org/officeDocument/2006/relationships/image" Target="media/image4.emf"/><Relationship Id="rId12" Type="http://schemas.openxmlformats.org/officeDocument/2006/relationships/image" Target="media/image3.emf"/><Relationship Id="rId11" Type="http://schemas.openxmlformats.org/officeDocument/2006/relationships/image" Target="media/image2.emf"/><Relationship Id="rId10" Type="http://schemas.openxmlformats.org/officeDocument/2006/relationships/image" Target="media/image1.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mingxin\AppData\Roaming\kingsoft\office6\templates\download\5185bd05-a416-9a0b-b3d5-d2d8db942b83\&#31616;&#32422;&#25991;&#26723;&#23553;&#38754;&#27169;&#26495;.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1"/>
    <customShpInfo spid="_x0000_s1032"/>
    <customShpInfo spid="_x0000_s1030"/>
    <customShpInfo spid="_x0000_s1034"/>
    <customShpInfo spid="_x0000_s1035"/>
    <customShpInfo spid="_x0000_s1033"/>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简约文档封面模板</Template>
  <Pages>40</Pages>
  <Words>2356</Words>
  <Characters>13431</Characters>
  <Lines>0</Lines>
  <Paragraphs>0</Paragraphs>
  <ScaleCrop>false</ScaleCrop>
  <LinksUpToDate>false</LinksUpToDate>
  <CharactersWithSpaces>0</CharactersWithSpaces>
  <Application>WPS Office_10.1.0.7223_F1E327BC-269C-435d-A152-05C5408002CA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2020-07-29T09:42:00Z</dcterms:created>
  <dc:creator>王明新TIAD</dc:creator>
  <cp:lastModifiedBy>Marathon</cp:lastModifiedBy>
  <cp:lastPrinted>2020-08-21T07:36:00Z</cp:lastPrinted>
  <dcterms:modified xsi:type="dcterms:W3CDTF">2021-07-19T09:29:17Z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2052-10.1.0.7223</vt:lpwstr>
  </property>
</Properties>
</file>