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44"/>
        </w:rPr>
        <w:t>2022年</w:t>
      </w:r>
      <w:r>
        <w:rPr>
          <w:rFonts w:hint="eastAsia" w:ascii="黑体" w:hAnsi="黑体" w:eastAsia="黑体" w:cs="黑体"/>
          <w:b/>
          <w:color w:val="000000"/>
          <w:sz w:val="44"/>
          <w:lang w:val="en-US" w:eastAsia="zh-CN"/>
        </w:rPr>
        <w:t>曹妃甸港口物流园区管理委员会部门所属单位</w:t>
      </w:r>
    </w:p>
    <w:p>
      <w:pPr>
        <w:jc w:val="center"/>
        <w:outlineLvl w:val="0"/>
      </w:pPr>
      <w:r>
        <w:rPr>
          <w:rFonts w:ascii="黑体" w:hAnsi="黑体" w:eastAsia="黑体" w:cs="黑体"/>
          <w:b/>
          <w:color w:val="000000"/>
          <w:sz w:val="44"/>
        </w:rPr>
        <w:t>预算</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一、曹妃甸港口物流园区管理委员会本级收支预算</w:t>
      </w:r>
      <w:r>
        <w:tab/>
      </w:r>
      <w:r>
        <w:rPr>
          <w:rFonts w:hint="eastAsia"/>
          <w:lang w:val="en-US" w:eastAsia="zh-CN"/>
        </w:rPr>
        <w:t>4</w:t>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eastAsia="方正小标宋_GBK" w:cs="方正小标宋_GBK"/>
          <w:color w:val="000000"/>
          <w:sz w:val="36"/>
          <w:lang w:val="en-US" w:eastAsia="zh-CN"/>
        </w:rPr>
      </w:pPr>
      <w:bookmarkStart w:id="0" w:name="_Toc_2_2_0000000001"/>
    </w:p>
    <w:p>
      <w:pPr>
        <w:jc w:val="center"/>
        <w:outlineLvl w:val="1"/>
        <w:rPr>
          <w:rFonts w:hint="eastAsia" w:ascii="方正小标宋_GBK" w:hAnsi="方正小标宋_GBK" w:eastAsia="方正小标宋_GBK" w:cs="方正小标宋_GBK"/>
          <w:color w:val="000000"/>
          <w:sz w:val="36"/>
          <w:lang w:val="en-US" w:eastAsia="zh-CN"/>
        </w:rPr>
      </w:pPr>
    </w:p>
    <w:p>
      <w:pPr>
        <w:jc w:val="center"/>
        <w:outlineLvl w:val="1"/>
        <w:rPr>
          <w:rFonts w:hint="eastAsia" w:ascii="方正小标宋_GBK" w:hAnsi="方正小标宋_GBK" w:eastAsia="方正小标宋_GBK" w:cs="方正小标宋_GBK"/>
          <w:color w:val="000000"/>
          <w:sz w:val="36"/>
          <w:lang w:val="en-US" w:eastAsia="zh-CN"/>
        </w:rPr>
      </w:pPr>
    </w:p>
    <w:p>
      <w:pPr>
        <w:jc w:val="center"/>
        <w:outlineLvl w:val="1"/>
        <w:rPr>
          <w:rFonts w:hint="eastAsia" w:ascii="方正小标宋_GBK" w:hAnsi="方正小标宋_GBK" w:eastAsia="方正小标宋_GBK" w:cs="方正小标宋_GBK"/>
          <w:color w:val="000000"/>
          <w:sz w:val="36"/>
          <w:lang w:val="en-US" w:eastAsia="zh-CN"/>
        </w:rPr>
      </w:pPr>
    </w:p>
    <w:bookmarkEnd w:id="0"/>
    <w:p>
      <w:pPr>
        <w:sectPr>
          <w:footerReference r:id="rId3" w:type="default"/>
          <w:footerReference r:id="rId4" w:type="even"/>
          <w:pgSz w:w="16840" w:h="11900" w:orient="landscape"/>
          <w:pgMar w:top="1361" w:right="1020" w:bottom="1134" w:left="1020" w:header="720" w:footer="720" w:gutter="0"/>
          <w:cols w:space="720" w:num="1"/>
        </w:sectPr>
      </w:pP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val="en-US" w:eastAsia="zh-CN"/>
        </w:rPr>
        <w:t>2022年曹妃甸港口物流园区管理委员会</w:t>
      </w:r>
      <w:r>
        <w:rPr>
          <w:rFonts w:ascii="方正小标宋_GBK" w:hAnsi="方正小标宋_GBK" w:eastAsia="方正小标宋_GBK" w:cs="方正小标宋_GBK"/>
          <w:color w:val="000000"/>
          <w:sz w:val="72"/>
        </w:rPr>
        <w:t>部门所属单位预算</w:t>
      </w:r>
    </w:p>
    <w:p>
      <w:pPr>
        <w:jc w:val="center"/>
        <w:outlineLvl w:val="3"/>
      </w:pPr>
      <w:bookmarkStart w:id="1" w:name="_Toc_4_4_0000000019"/>
      <w:r>
        <w:rPr>
          <w:rFonts w:ascii="方正小标宋_GBK" w:hAnsi="方正小标宋_GBK" w:eastAsia="方正小标宋_GBK" w:cs="方正小标宋_GBK"/>
          <w:color w:val="000000"/>
          <w:sz w:val="44"/>
        </w:rPr>
        <w:t>一、曹妃甸港口物流园区管理委员会本级收支预算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2248.10</w:t>
            </w:r>
          </w:p>
        </w:tc>
        <w:tc>
          <w:tcPr>
            <w:tcW w:w="4535" w:type="dxa"/>
            <w:vAlign w:val="center"/>
          </w:tcPr>
          <w:p>
            <w:pPr>
              <w:pStyle w:val="14"/>
            </w:pPr>
            <w:r>
              <w:t>一、一般公共服务支出</w:t>
            </w:r>
          </w:p>
        </w:tc>
        <w:tc>
          <w:tcPr>
            <w:tcW w:w="2126" w:type="dxa"/>
            <w:vAlign w:val="center"/>
          </w:tcPr>
          <w:p>
            <w:pPr>
              <w:pStyle w:val="13"/>
            </w:pPr>
            <w:r>
              <w:t>1558.95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2248.10</w:t>
            </w:r>
          </w:p>
        </w:tc>
        <w:tc>
          <w:tcPr>
            <w:tcW w:w="4535" w:type="dxa"/>
            <w:vAlign w:val="center"/>
          </w:tcPr>
          <w:p>
            <w:pPr>
              <w:pStyle w:val="16"/>
            </w:pPr>
            <w:r>
              <w:t>本年支出合计</w:t>
            </w:r>
          </w:p>
        </w:tc>
        <w:tc>
          <w:tcPr>
            <w:tcW w:w="2126" w:type="dxa"/>
            <w:vAlign w:val="center"/>
          </w:tcPr>
          <w:p>
            <w:pPr>
              <w:pStyle w:val="17"/>
            </w:pPr>
            <w:r>
              <w:t>2248.10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2248.10</w:t>
            </w:r>
          </w:p>
        </w:tc>
        <w:tc>
          <w:tcPr>
            <w:tcW w:w="4535" w:type="dxa"/>
            <w:vAlign w:val="center"/>
          </w:tcPr>
          <w:p>
            <w:pPr>
              <w:pStyle w:val="16"/>
            </w:pPr>
            <w:r>
              <w:t>支出总计</w:t>
            </w:r>
          </w:p>
        </w:tc>
        <w:tc>
          <w:tcPr>
            <w:tcW w:w="2126" w:type="dxa"/>
            <w:vAlign w:val="center"/>
          </w:tcPr>
          <w:p>
            <w:pPr>
              <w:pStyle w:val="17"/>
            </w:pPr>
            <w:r>
              <w:t>2248.10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2248.10</w:t>
            </w:r>
          </w:p>
        </w:tc>
        <w:tc>
          <w:tcPr>
            <w:tcW w:w="1134" w:type="dxa"/>
            <w:vAlign w:val="center"/>
          </w:tcPr>
          <w:p>
            <w:pPr>
              <w:pStyle w:val="17"/>
            </w:pPr>
            <w:r>
              <w:t>2248.10</w:t>
            </w:r>
          </w:p>
        </w:tc>
        <w:tc>
          <w:tcPr>
            <w:tcW w:w="1134" w:type="dxa"/>
            <w:vAlign w:val="center"/>
          </w:tcPr>
          <w:p>
            <w:pPr>
              <w:pStyle w:val="17"/>
            </w:pPr>
            <w:r>
              <w:t>2248.10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1558.95</w:t>
            </w:r>
          </w:p>
        </w:tc>
        <w:tc>
          <w:tcPr>
            <w:tcW w:w="1134" w:type="dxa"/>
            <w:vAlign w:val="center"/>
          </w:tcPr>
          <w:p>
            <w:pPr>
              <w:pStyle w:val="13"/>
            </w:pPr>
            <w:r>
              <w:t>1558.95</w:t>
            </w:r>
          </w:p>
        </w:tc>
        <w:tc>
          <w:tcPr>
            <w:tcW w:w="1134" w:type="dxa"/>
            <w:vAlign w:val="center"/>
          </w:tcPr>
          <w:p>
            <w:pPr>
              <w:pStyle w:val="13"/>
            </w:pPr>
            <w:r>
              <w:t>1558.95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1408.95</w:t>
            </w:r>
          </w:p>
        </w:tc>
        <w:tc>
          <w:tcPr>
            <w:tcW w:w="1134" w:type="dxa"/>
            <w:vAlign w:val="center"/>
          </w:tcPr>
          <w:p>
            <w:pPr>
              <w:pStyle w:val="13"/>
            </w:pPr>
            <w:r>
              <w:t>1408.95</w:t>
            </w:r>
          </w:p>
        </w:tc>
        <w:tc>
          <w:tcPr>
            <w:tcW w:w="1134" w:type="dxa"/>
            <w:vAlign w:val="center"/>
          </w:tcPr>
          <w:p>
            <w:pPr>
              <w:pStyle w:val="13"/>
            </w:pPr>
            <w:r>
              <w:t>1408.95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742.85</w:t>
            </w:r>
          </w:p>
        </w:tc>
        <w:tc>
          <w:tcPr>
            <w:tcW w:w="1134" w:type="dxa"/>
            <w:vAlign w:val="center"/>
          </w:tcPr>
          <w:p>
            <w:pPr>
              <w:pStyle w:val="13"/>
            </w:pPr>
            <w:r>
              <w:t>742.85</w:t>
            </w:r>
          </w:p>
        </w:tc>
        <w:tc>
          <w:tcPr>
            <w:tcW w:w="1134" w:type="dxa"/>
            <w:vAlign w:val="center"/>
          </w:tcPr>
          <w:p>
            <w:pPr>
              <w:pStyle w:val="13"/>
            </w:pPr>
            <w:r>
              <w:t>742.85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59.80</w:t>
            </w:r>
          </w:p>
        </w:tc>
        <w:tc>
          <w:tcPr>
            <w:tcW w:w="1134" w:type="dxa"/>
            <w:vAlign w:val="center"/>
          </w:tcPr>
          <w:p>
            <w:pPr>
              <w:pStyle w:val="13"/>
            </w:pPr>
            <w:r>
              <w:t>59.80</w:t>
            </w:r>
          </w:p>
        </w:tc>
        <w:tc>
          <w:tcPr>
            <w:tcW w:w="1134" w:type="dxa"/>
            <w:vAlign w:val="center"/>
          </w:tcPr>
          <w:p>
            <w:pPr>
              <w:pStyle w:val="13"/>
            </w:pPr>
            <w:r>
              <w:t>59.80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606.30</w:t>
            </w:r>
          </w:p>
        </w:tc>
        <w:tc>
          <w:tcPr>
            <w:tcW w:w="1134" w:type="dxa"/>
            <w:vAlign w:val="center"/>
          </w:tcPr>
          <w:p>
            <w:pPr>
              <w:pStyle w:val="13"/>
            </w:pPr>
            <w:r>
              <w:t>606.30</w:t>
            </w:r>
          </w:p>
        </w:tc>
        <w:tc>
          <w:tcPr>
            <w:tcW w:w="1134" w:type="dxa"/>
            <w:vAlign w:val="center"/>
          </w:tcPr>
          <w:p>
            <w:pPr>
              <w:pStyle w:val="13"/>
            </w:pPr>
            <w:r>
              <w:t>606.30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109.87</w:t>
            </w:r>
          </w:p>
        </w:tc>
        <w:tc>
          <w:tcPr>
            <w:tcW w:w="1134" w:type="dxa"/>
            <w:vAlign w:val="center"/>
          </w:tcPr>
          <w:p>
            <w:pPr>
              <w:pStyle w:val="13"/>
            </w:pPr>
            <w:r>
              <w:t>109.87</w:t>
            </w:r>
          </w:p>
        </w:tc>
        <w:tc>
          <w:tcPr>
            <w:tcW w:w="1134" w:type="dxa"/>
            <w:vAlign w:val="center"/>
          </w:tcPr>
          <w:p>
            <w:pPr>
              <w:pStyle w:val="13"/>
            </w:pPr>
            <w:r>
              <w:t>109.87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109.87</w:t>
            </w:r>
          </w:p>
        </w:tc>
        <w:tc>
          <w:tcPr>
            <w:tcW w:w="1134" w:type="dxa"/>
            <w:vAlign w:val="center"/>
          </w:tcPr>
          <w:p>
            <w:pPr>
              <w:pStyle w:val="13"/>
            </w:pPr>
            <w:r>
              <w:t>109.87</w:t>
            </w:r>
          </w:p>
        </w:tc>
        <w:tc>
          <w:tcPr>
            <w:tcW w:w="1134" w:type="dxa"/>
            <w:vAlign w:val="center"/>
          </w:tcPr>
          <w:p>
            <w:pPr>
              <w:pStyle w:val="13"/>
            </w:pPr>
            <w:r>
              <w:t>109.87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73.25</w:t>
            </w:r>
          </w:p>
        </w:tc>
        <w:tc>
          <w:tcPr>
            <w:tcW w:w="1134" w:type="dxa"/>
            <w:vAlign w:val="center"/>
          </w:tcPr>
          <w:p>
            <w:pPr>
              <w:pStyle w:val="13"/>
            </w:pPr>
            <w:r>
              <w:t>73.25</w:t>
            </w:r>
          </w:p>
        </w:tc>
        <w:tc>
          <w:tcPr>
            <w:tcW w:w="1134" w:type="dxa"/>
            <w:vAlign w:val="center"/>
          </w:tcPr>
          <w:p>
            <w:pPr>
              <w:pStyle w:val="13"/>
            </w:pPr>
            <w:r>
              <w:t>73.25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36.62</w:t>
            </w:r>
          </w:p>
        </w:tc>
        <w:tc>
          <w:tcPr>
            <w:tcW w:w="1134" w:type="dxa"/>
            <w:vAlign w:val="center"/>
          </w:tcPr>
          <w:p>
            <w:pPr>
              <w:pStyle w:val="13"/>
            </w:pPr>
            <w:r>
              <w:t>36.62</w:t>
            </w:r>
          </w:p>
        </w:tc>
        <w:tc>
          <w:tcPr>
            <w:tcW w:w="1134" w:type="dxa"/>
            <w:vAlign w:val="center"/>
          </w:tcPr>
          <w:p>
            <w:pPr>
              <w:pStyle w:val="13"/>
            </w:pPr>
            <w:r>
              <w:t>36.62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187.45</w:t>
            </w:r>
          </w:p>
        </w:tc>
        <w:tc>
          <w:tcPr>
            <w:tcW w:w="1134" w:type="dxa"/>
            <w:vAlign w:val="center"/>
          </w:tcPr>
          <w:p>
            <w:pPr>
              <w:pStyle w:val="13"/>
            </w:pPr>
            <w:r>
              <w:t>187.45</w:t>
            </w:r>
          </w:p>
        </w:tc>
        <w:tc>
          <w:tcPr>
            <w:tcW w:w="1134" w:type="dxa"/>
            <w:vAlign w:val="center"/>
          </w:tcPr>
          <w:p>
            <w:pPr>
              <w:pStyle w:val="13"/>
            </w:pPr>
            <w:r>
              <w:t>187.45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67.45</w:t>
            </w:r>
          </w:p>
        </w:tc>
        <w:tc>
          <w:tcPr>
            <w:tcW w:w="1134" w:type="dxa"/>
            <w:vAlign w:val="center"/>
          </w:tcPr>
          <w:p>
            <w:pPr>
              <w:pStyle w:val="13"/>
            </w:pPr>
            <w:r>
              <w:t>67.45</w:t>
            </w:r>
          </w:p>
        </w:tc>
        <w:tc>
          <w:tcPr>
            <w:tcW w:w="1134" w:type="dxa"/>
            <w:vAlign w:val="center"/>
          </w:tcPr>
          <w:p>
            <w:pPr>
              <w:pStyle w:val="13"/>
            </w:pPr>
            <w:r>
              <w:t>67.45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31.87</w:t>
            </w:r>
          </w:p>
        </w:tc>
        <w:tc>
          <w:tcPr>
            <w:tcW w:w="1134" w:type="dxa"/>
            <w:vAlign w:val="center"/>
          </w:tcPr>
          <w:p>
            <w:pPr>
              <w:pStyle w:val="13"/>
            </w:pPr>
            <w:r>
              <w:t>31.87</w:t>
            </w:r>
          </w:p>
        </w:tc>
        <w:tc>
          <w:tcPr>
            <w:tcW w:w="1134" w:type="dxa"/>
            <w:vAlign w:val="center"/>
          </w:tcPr>
          <w:p>
            <w:pPr>
              <w:pStyle w:val="13"/>
            </w:pPr>
            <w:r>
              <w:t>31.87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35.58</w:t>
            </w:r>
          </w:p>
        </w:tc>
        <w:tc>
          <w:tcPr>
            <w:tcW w:w="1134" w:type="dxa"/>
            <w:vAlign w:val="center"/>
          </w:tcPr>
          <w:p>
            <w:pPr>
              <w:pStyle w:val="13"/>
            </w:pPr>
            <w:r>
              <w:t>35.58</w:t>
            </w:r>
          </w:p>
        </w:tc>
        <w:tc>
          <w:tcPr>
            <w:tcW w:w="1134" w:type="dxa"/>
            <w:vAlign w:val="center"/>
          </w:tcPr>
          <w:p>
            <w:pPr>
              <w:pStyle w:val="13"/>
            </w:pPr>
            <w:r>
              <w:t>35.58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286.90</w:t>
            </w:r>
          </w:p>
        </w:tc>
        <w:tc>
          <w:tcPr>
            <w:tcW w:w="1134" w:type="dxa"/>
            <w:vAlign w:val="center"/>
          </w:tcPr>
          <w:p>
            <w:pPr>
              <w:pStyle w:val="13"/>
            </w:pPr>
            <w:r>
              <w:t>286.90</w:t>
            </w:r>
          </w:p>
        </w:tc>
        <w:tc>
          <w:tcPr>
            <w:tcW w:w="1134" w:type="dxa"/>
            <w:vAlign w:val="center"/>
          </w:tcPr>
          <w:p>
            <w:pPr>
              <w:pStyle w:val="13"/>
            </w:pPr>
            <w:r>
              <w:t>286.90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226.90</w:t>
            </w:r>
          </w:p>
        </w:tc>
        <w:tc>
          <w:tcPr>
            <w:tcW w:w="1134" w:type="dxa"/>
            <w:vAlign w:val="center"/>
          </w:tcPr>
          <w:p>
            <w:pPr>
              <w:pStyle w:val="13"/>
            </w:pPr>
            <w:r>
              <w:t>226.90</w:t>
            </w:r>
          </w:p>
        </w:tc>
        <w:tc>
          <w:tcPr>
            <w:tcW w:w="1134" w:type="dxa"/>
            <w:vAlign w:val="center"/>
          </w:tcPr>
          <w:p>
            <w:pPr>
              <w:pStyle w:val="13"/>
            </w:pPr>
            <w:r>
              <w:t>226.90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226.90</w:t>
            </w:r>
          </w:p>
        </w:tc>
        <w:tc>
          <w:tcPr>
            <w:tcW w:w="1134" w:type="dxa"/>
            <w:vAlign w:val="center"/>
          </w:tcPr>
          <w:p>
            <w:pPr>
              <w:pStyle w:val="13"/>
            </w:pPr>
            <w:r>
              <w:t>226.90</w:t>
            </w:r>
          </w:p>
        </w:tc>
        <w:tc>
          <w:tcPr>
            <w:tcW w:w="1134" w:type="dxa"/>
            <w:vAlign w:val="center"/>
          </w:tcPr>
          <w:p>
            <w:pPr>
              <w:pStyle w:val="13"/>
            </w:pPr>
            <w:r>
              <w:t>226.90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54.93</w:t>
            </w:r>
          </w:p>
        </w:tc>
        <w:tc>
          <w:tcPr>
            <w:tcW w:w="1134" w:type="dxa"/>
            <w:vAlign w:val="center"/>
          </w:tcPr>
          <w:p>
            <w:pPr>
              <w:pStyle w:val="13"/>
            </w:pPr>
            <w:r>
              <w:t>54.93</w:t>
            </w:r>
          </w:p>
        </w:tc>
        <w:tc>
          <w:tcPr>
            <w:tcW w:w="1134" w:type="dxa"/>
            <w:vAlign w:val="center"/>
          </w:tcPr>
          <w:p>
            <w:pPr>
              <w:pStyle w:val="13"/>
            </w:pPr>
            <w:r>
              <w:t>54.93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54.93</w:t>
            </w:r>
          </w:p>
        </w:tc>
        <w:tc>
          <w:tcPr>
            <w:tcW w:w="1134" w:type="dxa"/>
            <w:vAlign w:val="center"/>
          </w:tcPr>
          <w:p>
            <w:pPr>
              <w:pStyle w:val="13"/>
            </w:pPr>
            <w:r>
              <w:t>54.93</w:t>
            </w:r>
          </w:p>
        </w:tc>
        <w:tc>
          <w:tcPr>
            <w:tcW w:w="1134" w:type="dxa"/>
            <w:vAlign w:val="center"/>
          </w:tcPr>
          <w:p>
            <w:pPr>
              <w:pStyle w:val="13"/>
            </w:pPr>
            <w:r>
              <w:t>54.93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54.93</w:t>
            </w:r>
          </w:p>
        </w:tc>
        <w:tc>
          <w:tcPr>
            <w:tcW w:w="1134" w:type="dxa"/>
            <w:vAlign w:val="center"/>
          </w:tcPr>
          <w:p>
            <w:pPr>
              <w:pStyle w:val="13"/>
            </w:pPr>
            <w:r>
              <w:t>54.93</w:t>
            </w:r>
          </w:p>
        </w:tc>
        <w:tc>
          <w:tcPr>
            <w:tcW w:w="1134" w:type="dxa"/>
            <w:vAlign w:val="center"/>
          </w:tcPr>
          <w:p>
            <w:pPr>
              <w:pStyle w:val="13"/>
            </w:pPr>
            <w:r>
              <w:t>54.93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2248.10</w:t>
            </w:r>
          </w:p>
        </w:tc>
        <w:tc>
          <w:tcPr>
            <w:tcW w:w="1361" w:type="dxa"/>
            <w:vAlign w:val="center"/>
          </w:tcPr>
          <w:p>
            <w:pPr>
              <w:pStyle w:val="17"/>
            </w:pPr>
            <w:r>
              <w:t>753.25</w:t>
            </w:r>
          </w:p>
        </w:tc>
        <w:tc>
          <w:tcPr>
            <w:tcW w:w="1361" w:type="dxa"/>
            <w:vAlign w:val="center"/>
          </w:tcPr>
          <w:p>
            <w:pPr>
              <w:pStyle w:val="17"/>
            </w:pPr>
            <w:r>
              <w:t>1494.85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1558.95</w:t>
            </w:r>
          </w:p>
        </w:tc>
        <w:tc>
          <w:tcPr>
            <w:tcW w:w="1361" w:type="dxa"/>
            <w:vAlign w:val="center"/>
          </w:tcPr>
          <w:p>
            <w:pPr>
              <w:pStyle w:val="13"/>
            </w:pPr>
            <w:r>
              <w:t>521.00</w:t>
            </w:r>
          </w:p>
        </w:tc>
        <w:tc>
          <w:tcPr>
            <w:tcW w:w="1361" w:type="dxa"/>
            <w:vAlign w:val="center"/>
          </w:tcPr>
          <w:p>
            <w:pPr>
              <w:pStyle w:val="13"/>
            </w:pPr>
            <w:r>
              <w:t>1037.95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1408.95</w:t>
            </w:r>
          </w:p>
        </w:tc>
        <w:tc>
          <w:tcPr>
            <w:tcW w:w="1361" w:type="dxa"/>
            <w:vAlign w:val="center"/>
          </w:tcPr>
          <w:p>
            <w:pPr>
              <w:pStyle w:val="13"/>
            </w:pPr>
            <w:r>
              <w:t>521.00</w:t>
            </w:r>
          </w:p>
        </w:tc>
        <w:tc>
          <w:tcPr>
            <w:tcW w:w="1361" w:type="dxa"/>
            <w:vAlign w:val="center"/>
          </w:tcPr>
          <w:p>
            <w:pPr>
              <w:pStyle w:val="13"/>
            </w:pPr>
            <w:r>
              <w:t>887.95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742.85</w:t>
            </w:r>
          </w:p>
        </w:tc>
        <w:tc>
          <w:tcPr>
            <w:tcW w:w="1361" w:type="dxa"/>
            <w:vAlign w:val="center"/>
          </w:tcPr>
          <w:p>
            <w:pPr>
              <w:pStyle w:val="13"/>
            </w:pPr>
            <w:r>
              <w:t>521.00</w:t>
            </w:r>
          </w:p>
        </w:tc>
        <w:tc>
          <w:tcPr>
            <w:tcW w:w="1361" w:type="dxa"/>
            <w:vAlign w:val="center"/>
          </w:tcPr>
          <w:p>
            <w:pPr>
              <w:pStyle w:val="13"/>
            </w:pPr>
            <w:r>
              <w:t>221.85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59.80</w:t>
            </w:r>
          </w:p>
        </w:tc>
        <w:tc>
          <w:tcPr>
            <w:tcW w:w="1361" w:type="dxa"/>
            <w:vAlign w:val="center"/>
          </w:tcPr>
          <w:p>
            <w:pPr>
              <w:pStyle w:val="13"/>
            </w:pPr>
          </w:p>
        </w:tc>
        <w:tc>
          <w:tcPr>
            <w:tcW w:w="1361" w:type="dxa"/>
            <w:vAlign w:val="center"/>
          </w:tcPr>
          <w:p>
            <w:pPr>
              <w:pStyle w:val="13"/>
            </w:pPr>
            <w:r>
              <w:t>59.80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606.30</w:t>
            </w:r>
          </w:p>
        </w:tc>
        <w:tc>
          <w:tcPr>
            <w:tcW w:w="1361" w:type="dxa"/>
            <w:vAlign w:val="center"/>
          </w:tcPr>
          <w:p>
            <w:pPr>
              <w:pStyle w:val="13"/>
            </w:pPr>
          </w:p>
        </w:tc>
        <w:tc>
          <w:tcPr>
            <w:tcW w:w="1361" w:type="dxa"/>
            <w:vAlign w:val="center"/>
          </w:tcPr>
          <w:p>
            <w:pPr>
              <w:pStyle w:val="13"/>
            </w:pPr>
            <w:r>
              <w:t>606.30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109.87</w:t>
            </w:r>
          </w:p>
        </w:tc>
        <w:tc>
          <w:tcPr>
            <w:tcW w:w="1361" w:type="dxa"/>
            <w:vAlign w:val="center"/>
          </w:tcPr>
          <w:p>
            <w:pPr>
              <w:pStyle w:val="13"/>
            </w:pPr>
            <w:r>
              <w:t>109.87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109.87</w:t>
            </w:r>
          </w:p>
        </w:tc>
        <w:tc>
          <w:tcPr>
            <w:tcW w:w="1361" w:type="dxa"/>
            <w:vAlign w:val="center"/>
          </w:tcPr>
          <w:p>
            <w:pPr>
              <w:pStyle w:val="13"/>
            </w:pPr>
            <w:r>
              <w:t>109.87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73.25</w:t>
            </w:r>
          </w:p>
        </w:tc>
        <w:tc>
          <w:tcPr>
            <w:tcW w:w="1361" w:type="dxa"/>
            <w:vAlign w:val="center"/>
          </w:tcPr>
          <w:p>
            <w:pPr>
              <w:pStyle w:val="13"/>
            </w:pPr>
            <w:r>
              <w:t>73.25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36.62</w:t>
            </w:r>
          </w:p>
        </w:tc>
        <w:tc>
          <w:tcPr>
            <w:tcW w:w="1361" w:type="dxa"/>
            <w:vAlign w:val="center"/>
          </w:tcPr>
          <w:p>
            <w:pPr>
              <w:pStyle w:val="13"/>
            </w:pPr>
            <w:r>
              <w:t>36.62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187.45</w:t>
            </w:r>
          </w:p>
        </w:tc>
        <w:tc>
          <w:tcPr>
            <w:tcW w:w="1361" w:type="dxa"/>
            <w:vAlign w:val="center"/>
          </w:tcPr>
          <w:p>
            <w:pPr>
              <w:pStyle w:val="13"/>
            </w:pPr>
            <w:r>
              <w:t>67.45</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67.45</w:t>
            </w:r>
          </w:p>
        </w:tc>
        <w:tc>
          <w:tcPr>
            <w:tcW w:w="1361" w:type="dxa"/>
            <w:vAlign w:val="center"/>
          </w:tcPr>
          <w:p>
            <w:pPr>
              <w:pStyle w:val="13"/>
            </w:pPr>
            <w:r>
              <w:t>67.45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31.87</w:t>
            </w:r>
          </w:p>
        </w:tc>
        <w:tc>
          <w:tcPr>
            <w:tcW w:w="1361" w:type="dxa"/>
            <w:vAlign w:val="center"/>
          </w:tcPr>
          <w:p>
            <w:pPr>
              <w:pStyle w:val="13"/>
            </w:pPr>
            <w:r>
              <w:t>31.87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35.58</w:t>
            </w:r>
          </w:p>
        </w:tc>
        <w:tc>
          <w:tcPr>
            <w:tcW w:w="1361" w:type="dxa"/>
            <w:vAlign w:val="center"/>
          </w:tcPr>
          <w:p>
            <w:pPr>
              <w:pStyle w:val="13"/>
            </w:pPr>
            <w:r>
              <w:t>35.58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286.90</w:t>
            </w:r>
          </w:p>
        </w:tc>
        <w:tc>
          <w:tcPr>
            <w:tcW w:w="1361" w:type="dxa"/>
            <w:vAlign w:val="center"/>
          </w:tcPr>
          <w:p>
            <w:pPr>
              <w:pStyle w:val="13"/>
            </w:pPr>
          </w:p>
        </w:tc>
        <w:tc>
          <w:tcPr>
            <w:tcW w:w="1361" w:type="dxa"/>
            <w:vAlign w:val="center"/>
          </w:tcPr>
          <w:p>
            <w:pPr>
              <w:pStyle w:val="13"/>
            </w:pPr>
            <w:r>
              <w:t>286.90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226.90</w:t>
            </w:r>
          </w:p>
        </w:tc>
        <w:tc>
          <w:tcPr>
            <w:tcW w:w="1361" w:type="dxa"/>
            <w:vAlign w:val="center"/>
          </w:tcPr>
          <w:p>
            <w:pPr>
              <w:pStyle w:val="13"/>
            </w:pPr>
          </w:p>
        </w:tc>
        <w:tc>
          <w:tcPr>
            <w:tcW w:w="1361" w:type="dxa"/>
            <w:vAlign w:val="center"/>
          </w:tcPr>
          <w:p>
            <w:pPr>
              <w:pStyle w:val="13"/>
            </w:pPr>
            <w:r>
              <w:t>226.90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226.90</w:t>
            </w:r>
          </w:p>
        </w:tc>
        <w:tc>
          <w:tcPr>
            <w:tcW w:w="1361" w:type="dxa"/>
            <w:vAlign w:val="center"/>
          </w:tcPr>
          <w:p>
            <w:pPr>
              <w:pStyle w:val="13"/>
            </w:pPr>
          </w:p>
        </w:tc>
        <w:tc>
          <w:tcPr>
            <w:tcW w:w="1361" w:type="dxa"/>
            <w:vAlign w:val="center"/>
          </w:tcPr>
          <w:p>
            <w:pPr>
              <w:pStyle w:val="13"/>
            </w:pPr>
            <w:r>
              <w:t>226.90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54.93</w:t>
            </w:r>
          </w:p>
        </w:tc>
        <w:tc>
          <w:tcPr>
            <w:tcW w:w="1361" w:type="dxa"/>
            <w:vAlign w:val="center"/>
          </w:tcPr>
          <w:p>
            <w:pPr>
              <w:pStyle w:val="13"/>
            </w:pPr>
            <w:r>
              <w:t>54.93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54.93</w:t>
            </w:r>
          </w:p>
        </w:tc>
        <w:tc>
          <w:tcPr>
            <w:tcW w:w="1361" w:type="dxa"/>
            <w:vAlign w:val="center"/>
          </w:tcPr>
          <w:p>
            <w:pPr>
              <w:pStyle w:val="13"/>
            </w:pPr>
            <w:r>
              <w:t>54.93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54.93</w:t>
            </w:r>
          </w:p>
        </w:tc>
        <w:tc>
          <w:tcPr>
            <w:tcW w:w="1361" w:type="dxa"/>
            <w:vAlign w:val="center"/>
          </w:tcPr>
          <w:p>
            <w:pPr>
              <w:pStyle w:val="13"/>
            </w:pPr>
            <w:r>
              <w:t>54.93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2248.10</w:t>
            </w:r>
          </w:p>
        </w:tc>
        <w:tc>
          <w:tcPr>
            <w:tcW w:w="3402" w:type="dxa"/>
            <w:vAlign w:val="center"/>
          </w:tcPr>
          <w:p>
            <w:pPr>
              <w:pStyle w:val="14"/>
            </w:pPr>
            <w:r>
              <w:t>一、一般公共服务支出</w:t>
            </w:r>
          </w:p>
        </w:tc>
        <w:tc>
          <w:tcPr>
            <w:tcW w:w="1474" w:type="dxa"/>
            <w:vAlign w:val="center"/>
          </w:tcPr>
          <w:p>
            <w:pPr>
              <w:pStyle w:val="13"/>
            </w:pPr>
            <w:r>
              <w:t>1558.95</w:t>
            </w:r>
          </w:p>
        </w:tc>
        <w:tc>
          <w:tcPr>
            <w:tcW w:w="1474" w:type="dxa"/>
            <w:vAlign w:val="center"/>
          </w:tcPr>
          <w:p>
            <w:pPr>
              <w:pStyle w:val="13"/>
            </w:pPr>
            <w:r>
              <w:t>1558.95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109.87</w:t>
            </w:r>
          </w:p>
        </w:tc>
        <w:tc>
          <w:tcPr>
            <w:tcW w:w="1474" w:type="dxa"/>
            <w:vAlign w:val="center"/>
          </w:tcPr>
          <w:p>
            <w:pPr>
              <w:pStyle w:val="13"/>
            </w:pPr>
            <w:r>
              <w:t>109.87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187.45</w:t>
            </w:r>
          </w:p>
        </w:tc>
        <w:tc>
          <w:tcPr>
            <w:tcW w:w="1474" w:type="dxa"/>
            <w:vAlign w:val="center"/>
          </w:tcPr>
          <w:p>
            <w:pPr>
              <w:pStyle w:val="13"/>
            </w:pPr>
            <w:r>
              <w:t>187.45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286.90</w:t>
            </w:r>
          </w:p>
        </w:tc>
        <w:tc>
          <w:tcPr>
            <w:tcW w:w="1474" w:type="dxa"/>
            <w:vAlign w:val="center"/>
          </w:tcPr>
          <w:p>
            <w:pPr>
              <w:pStyle w:val="13"/>
            </w:pPr>
            <w:r>
              <w:t>286.90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54.93</w:t>
            </w:r>
          </w:p>
        </w:tc>
        <w:tc>
          <w:tcPr>
            <w:tcW w:w="1474" w:type="dxa"/>
            <w:vAlign w:val="center"/>
          </w:tcPr>
          <w:p>
            <w:pPr>
              <w:pStyle w:val="13"/>
            </w:pPr>
            <w:r>
              <w:t>54.93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50.00</w:t>
            </w:r>
          </w:p>
        </w:tc>
        <w:tc>
          <w:tcPr>
            <w:tcW w:w="1474" w:type="dxa"/>
            <w:vAlign w:val="center"/>
          </w:tcPr>
          <w:p>
            <w:pPr>
              <w:pStyle w:val="13"/>
            </w:pPr>
            <w:r>
              <w:t>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2248.10</w:t>
            </w:r>
          </w:p>
        </w:tc>
        <w:tc>
          <w:tcPr>
            <w:tcW w:w="3402" w:type="dxa"/>
            <w:vAlign w:val="center"/>
          </w:tcPr>
          <w:p>
            <w:pPr>
              <w:pStyle w:val="16"/>
            </w:pPr>
            <w:r>
              <w:t>本年支出合计</w:t>
            </w:r>
          </w:p>
        </w:tc>
        <w:tc>
          <w:tcPr>
            <w:tcW w:w="1474" w:type="dxa"/>
            <w:vAlign w:val="center"/>
          </w:tcPr>
          <w:p>
            <w:pPr>
              <w:pStyle w:val="17"/>
            </w:pPr>
            <w:r>
              <w:t>2248.10</w:t>
            </w:r>
          </w:p>
        </w:tc>
        <w:tc>
          <w:tcPr>
            <w:tcW w:w="1474" w:type="dxa"/>
            <w:vAlign w:val="center"/>
          </w:tcPr>
          <w:p>
            <w:pPr>
              <w:pStyle w:val="17"/>
            </w:pPr>
            <w:r>
              <w:t>2248.10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2248.10</w:t>
            </w:r>
          </w:p>
        </w:tc>
        <w:tc>
          <w:tcPr>
            <w:tcW w:w="3402" w:type="dxa"/>
            <w:vAlign w:val="center"/>
          </w:tcPr>
          <w:p>
            <w:pPr>
              <w:pStyle w:val="16"/>
            </w:pPr>
            <w:r>
              <w:t>支出总计</w:t>
            </w:r>
          </w:p>
        </w:tc>
        <w:tc>
          <w:tcPr>
            <w:tcW w:w="1474" w:type="dxa"/>
            <w:vAlign w:val="center"/>
          </w:tcPr>
          <w:p>
            <w:pPr>
              <w:pStyle w:val="17"/>
            </w:pPr>
            <w:r>
              <w:t>2248.10</w:t>
            </w:r>
          </w:p>
        </w:tc>
        <w:tc>
          <w:tcPr>
            <w:tcW w:w="1474" w:type="dxa"/>
            <w:vAlign w:val="center"/>
          </w:tcPr>
          <w:p>
            <w:pPr>
              <w:pStyle w:val="17"/>
            </w:pPr>
            <w:r>
              <w:t>2248.10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2248.10</w:t>
            </w:r>
          </w:p>
        </w:tc>
        <w:tc>
          <w:tcPr>
            <w:tcW w:w="2551" w:type="dxa"/>
            <w:vAlign w:val="center"/>
          </w:tcPr>
          <w:p>
            <w:pPr>
              <w:pStyle w:val="17"/>
            </w:pPr>
            <w:r>
              <w:t>753.25</w:t>
            </w:r>
          </w:p>
        </w:tc>
        <w:tc>
          <w:tcPr>
            <w:tcW w:w="2551" w:type="dxa"/>
            <w:vAlign w:val="center"/>
          </w:tcPr>
          <w:p>
            <w:pPr>
              <w:pStyle w:val="17"/>
            </w:pPr>
            <w:r>
              <w:t>1494.85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1558.95</w:t>
            </w:r>
          </w:p>
        </w:tc>
        <w:tc>
          <w:tcPr>
            <w:tcW w:w="2551" w:type="dxa"/>
            <w:vAlign w:val="center"/>
          </w:tcPr>
          <w:p>
            <w:pPr>
              <w:pStyle w:val="13"/>
            </w:pPr>
            <w:r>
              <w:t>521.00</w:t>
            </w:r>
          </w:p>
        </w:tc>
        <w:tc>
          <w:tcPr>
            <w:tcW w:w="2551" w:type="dxa"/>
            <w:vAlign w:val="center"/>
          </w:tcPr>
          <w:p>
            <w:pPr>
              <w:pStyle w:val="13"/>
            </w:pPr>
            <w:r>
              <w:t>1037.95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1408.95</w:t>
            </w:r>
          </w:p>
        </w:tc>
        <w:tc>
          <w:tcPr>
            <w:tcW w:w="2551" w:type="dxa"/>
            <w:vAlign w:val="center"/>
          </w:tcPr>
          <w:p>
            <w:pPr>
              <w:pStyle w:val="13"/>
            </w:pPr>
            <w:r>
              <w:t>521.00</w:t>
            </w:r>
          </w:p>
        </w:tc>
        <w:tc>
          <w:tcPr>
            <w:tcW w:w="2551" w:type="dxa"/>
            <w:vAlign w:val="center"/>
          </w:tcPr>
          <w:p>
            <w:pPr>
              <w:pStyle w:val="13"/>
            </w:pPr>
            <w:r>
              <w:t>887.95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742.85</w:t>
            </w:r>
          </w:p>
        </w:tc>
        <w:tc>
          <w:tcPr>
            <w:tcW w:w="2551" w:type="dxa"/>
            <w:vAlign w:val="center"/>
          </w:tcPr>
          <w:p>
            <w:pPr>
              <w:pStyle w:val="13"/>
            </w:pPr>
            <w:r>
              <w:t>521.00</w:t>
            </w:r>
          </w:p>
        </w:tc>
        <w:tc>
          <w:tcPr>
            <w:tcW w:w="2551" w:type="dxa"/>
            <w:vAlign w:val="center"/>
          </w:tcPr>
          <w:p>
            <w:pPr>
              <w:pStyle w:val="13"/>
            </w:pPr>
            <w:r>
              <w:t>221.85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59.80</w:t>
            </w:r>
          </w:p>
        </w:tc>
        <w:tc>
          <w:tcPr>
            <w:tcW w:w="2551" w:type="dxa"/>
            <w:vAlign w:val="center"/>
          </w:tcPr>
          <w:p>
            <w:pPr>
              <w:pStyle w:val="13"/>
            </w:pPr>
          </w:p>
        </w:tc>
        <w:tc>
          <w:tcPr>
            <w:tcW w:w="2551" w:type="dxa"/>
            <w:vAlign w:val="center"/>
          </w:tcPr>
          <w:p>
            <w:pPr>
              <w:pStyle w:val="13"/>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606.30</w:t>
            </w:r>
          </w:p>
        </w:tc>
        <w:tc>
          <w:tcPr>
            <w:tcW w:w="2551" w:type="dxa"/>
            <w:vAlign w:val="center"/>
          </w:tcPr>
          <w:p>
            <w:pPr>
              <w:pStyle w:val="13"/>
            </w:pPr>
          </w:p>
        </w:tc>
        <w:tc>
          <w:tcPr>
            <w:tcW w:w="2551" w:type="dxa"/>
            <w:vAlign w:val="center"/>
          </w:tcPr>
          <w:p>
            <w:pPr>
              <w:pStyle w:val="13"/>
            </w:pPr>
            <w:r>
              <w:t>606.30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109.87</w:t>
            </w:r>
          </w:p>
        </w:tc>
        <w:tc>
          <w:tcPr>
            <w:tcW w:w="2551" w:type="dxa"/>
            <w:vAlign w:val="center"/>
          </w:tcPr>
          <w:p>
            <w:pPr>
              <w:pStyle w:val="13"/>
            </w:pPr>
            <w:r>
              <w:t>109.87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109.87</w:t>
            </w:r>
          </w:p>
        </w:tc>
        <w:tc>
          <w:tcPr>
            <w:tcW w:w="2551" w:type="dxa"/>
            <w:vAlign w:val="center"/>
          </w:tcPr>
          <w:p>
            <w:pPr>
              <w:pStyle w:val="13"/>
            </w:pPr>
            <w:r>
              <w:t>109.87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73.25</w:t>
            </w:r>
          </w:p>
        </w:tc>
        <w:tc>
          <w:tcPr>
            <w:tcW w:w="2551" w:type="dxa"/>
            <w:vAlign w:val="center"/>
          </w:tcPr>
          <w:p>
            <w:pPr>
              <w:pStyle w:val="13"/>
            </w:pPr>
            <w:r>
              <w:t>73.25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36.62</w:t>
            </w:r>
          </w:p>
        </w:tc>
        <w:tc>
          <w:tcPr>
            <w:tcW w:w="2551" w:type="dxa"/>
            <w:vAlign w:val="center"/>
          </w:tcPr>
          <w:p>
            <w:pPr>
              <w:pStyle w:val="13"/>
            </w:pPr>
            <w:r>
              <w:t>36.62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187.45</w:t>
            </w:r>
          </w:p>
        </w:tc>
        <w:tc>
          <w:tcPr>
            <w:tcW w:w="2551" w:type="dxa"/>
            <w:vAlign w:val="center"/>
          </w:tcPr>
          <w:p>
            <w:pPr>
              <w:pStyle w:val="13"/>
            </w:pPr>
            <w:r>
              <w:t>67.45</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67.45</w:t>
            </w:r>
          </w:p>
        </w:tc>
        <w:tc>
          <w:tcPr>
            <w:tcW w:w="2551" w:type="dxa"/>
            <w:vAlign w:val="center"/>
          </w:tcPr>
          <w:p>
            <w:pPr>
              <w:pStyle w:val="13"/>
            </w:pPr>
            <w:r>
              <w:t>67.45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31.87</w:t>
            </w:r>
          </w:p>
        </w:tc>
        <w:tc>
          <w:tcPr>
            <w:tcW w:w="2551" w:type="dxa"/>
            <w:vAlign w:val="center"/>
          </w:tcPr>
          <w:p>
            <w:pPr>
              <w:pStyle w:val="13"/>
            </w:pPr>
            <w:r>
              <w:t>31.87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35.58</w:t>
            </w:r>
          </w:p>
        </w:tc>
        <w:tc>
          <w:tcPr>
            <w:tcW w:w="2551" w:type="dxa"/>
            <w:vAlign w:val="center"/>
          </w:tcPr>
          <w:p>
            <w:pPr>
              <w:pStyle w:val="13"/>
            </w:pPr>
            <w:r>
              <w:t>35.58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286.90</w:t>
            </w:r>
          </w:p>
        </w:tc>
        <w:tc>
          <w:tcPr>
            <w:tcW w:w="2551" w:type="dxa"/>
            <w:vAlign w:val="center"/>
          </w:tcPr>
          <w:p>
            <w:pPr>
              <w:pStyle w:val="13"/>
            </w:pPr>
          </w:p>
        </w:tc>
        <w:tc>
          <w:tcPr>
            <w:tcW w:w="2551" w:type="dxa"/>
            <w:vAlign w:val="center"/>
          </w:tcPr>
          <w:p>
            <w:pPr>
              <w:pStyle w:val="13"/>
            </w:pPr>
            <w:r>
              <w:t>286.90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226.90</w:t>
            </w:r>
          </w:p>
        </w:tc>
        <w:tc>
          <w:tcPr>
            <w:tcW w:w="2551" w:type="dxa"/>
            <w:vAlign w:val="center"/>
          </w:tcPr>
          <w:p>
            <w:pPr>
              <w:pStyle w:val="13"/>
            </w:pPr>
          </w:p>
        </w:tc>
        <w:tc>
          <w:tcPr>
            <w:tcW w:w="2551" w:type="dxa"/>
            <w:vAlign w:val="center"/>
          </w:tcPr>
          <w:p>
            <w:pPr>
              <w:pStyle w:val="13"/>
            </w:pPr>
            <w:r>
              <w:t>226.90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226.90</w:t>
            </w:r>
          </w:p>
        </w:tc>
        <w:tc>
          <w:tcPr>
            <w:tcW w:w="2551" w:type="dxa"/>
            <w:vAlign w:val="center"/>
          </w:tcPr>
          <w:p>
            <w:pPr>
              <w:pStyle w:val="13"/>
            </w:pPr>
          </w:p>
        </w:tc>
        <w:tc>
          <w:tcPr>
            <w:tcW w:w="2551" w:type="dxa"/>
            <w:vAlign w:val="center"/>
          </w:tcPr>
          <w:p>
            <w:pPr>
              <w:pStyle w:val="13"/>
            </w:pPr>
            <w:r>
              <w:t>226.90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54.93</w:t>
            </w:r>
          </w:p>
        </w:tc>
        <w:tc>
          <w:tcPr>
            <w:tcW w:w="2551" w:type="dxa"/>
            <w:vAlign w:val="center"/>
          </w:tcPr>
          <w:p>
            <w:pPr>
              <w:pStyle w:val="13"/>
            </w:pPr>
            <w:r>
              <w:t>54.93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54.93</w:t>
            </w:r>
          </w:p>
        </w:tc>
        <w:tc>
          <w:tcPr>
            <w:tcW w:w="2551" w:type="dxa"/>
            <w:vAlign w:val="center"/>
          </w:tcPr>
          <w:p>
            <w:pPr>
              <w:pStyle w:val="13"/>
            </w:pPr>
            <w:r>
              <w:t>54.93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54.93</w:t>
            </w:r>
          </w:p>
        </w:tc>
        <w:tc>
          <w:tcPr>
            <w:tcW w:w="2551" w:type="dxa"/>
            <w:vAlign w:val="center"/>
          </w:tcPr>
          <w:p>
            <w:pPr>
              <w:pStyle w:val="13"/>
            </w:pPr>
            <w:r>
              <w:t>54.93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753.25</w:t>
            </w:r>
          </w:p>
        </w:tc>
        <w:tc>
          <w:tcPr>
            <w:tcW w:w="2551" w:type="dxa"/>
            <w:vAlign w:val="center"/>
          </w:tcPr>
          <w:p>
            <w:pPr>
              <w:pStyle w:val="17"/>
            </w:pPr>
            <w:r>
              <w:t>712.38</w:t>
            </w:r>
          </w:p>
        </w:tc>
        <w:tc>
          <w:tcPr>
            <w:tcW w:w="2551" w:type="dxa"/>
            <w:vAlign w:val="center"/>
          </w:tcPr>
          <w:p>
            <w:pPr>
              <w:pStyle w:val="17"/>
            </w:pPr>
            <w:r>
              <w:t>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711.85</w:t>
            </w:r>
          </w:p>
        </w:tc>
        <w:tc>
          <w:tcPr>
            <w:tcW w:w="2551" w:type="dxa"/>
            <w:vAlign w:val="center"/>
          </w:tcPr>
          <w:p>
            <w:pPr>
              <w:pStyle w:val="13"/>
            </w:pPr>
            <w:r>
              <w:t>711.85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445.54</w:t>
            </w:r>
          </w:p>
        </w:tc>
        <w:tc>
          <w:tcPr>
            <w:tcW w:w="2551" w:type="dxa"/>
            <w:vAlign w:val="center"/>
          </w:tcPr>
          <w:p>
            <w:pPr>
              <w:pStyle w:val="13"/>
            </w:pPr>
            <w:r>
              <w:t>445.54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10.72</w:t>
            </w:r>
          </w:p>
        </w:tc>
        <w:tc>
          <w:tcPr>
            <w:tcW w:w="2551" w:type="dxa"/>
            <w:vAlign w:val="center"/>
          </w:tcPr>
          <w:p>
            <w:pPr>
              <w:pStyle w:val="13"/>
            </w:pPr>
            <w:r>
              <w:t>10.72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2.97</w:t>
            </w:r>
          </w:p>
        </w:tc>
        <w:tc>
          <w:tcPr>
            <w:tcW w:w="2551" w:type="dxa"/>
            <w:vAlign w:val="center"/>
          </w:tcPr>
          <w:p>
            <w:pPr>
              <w:pStyle w:val="13"/>
            </w:pPr>
            <w:r>
              <w:t>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73.25</w:t>
            </w:r>
          </w:p>
        </w:tc>
        <w:tc>
          <w:tcPr>
            <w:tcW w:w="2551" w:type="dxa"/>
            <w:vAlign w:val="center"/>
          </w:tcPr>
          <w:p>
            <w:pPr>
              <w:pStyle w:val="13"/>
            </w:pPr>
            <w:r>
              <w:t>73.25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36.62</w:t>
            </w:r>
          </w:p>
        </w:tc>
        <w:tc>
          <w:tcPr>
            <w:tcW w:w="2551" w:type="dxa"/>
            <w:vAlign w:val="center"/>
          </w:tcPr>
          <w:p>
            <w:pPr>
              <w:pStyle w:val="13"/>
            </w:pPr>
            <w:r>
              <w:t>36.62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31.87</w:t>
            </w:r>
          </w:p>
        </w:tc>
        <w:tc>
          <w:tcPr>
            <w:tcW w:w="2551" w:type="dxa"/>
            <w:vAlign w:val="center"/>
          </w:tcPr>
          <w:p>
            <w:pPr>
              <w:pStyle w:val="13"/>
            </w:pPr>
            <w:r>
              <w:t>31.87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35.58</w:t>
            </w:r>
          </w:p>
        </w:tc>
        <w:tc>
          <w:tcPr>
            <w:tcW w:w="2551" w:type="dxa"/>
            <w:vAlign w:val="center"/>
          </w:tcPr>
          <w:p>
            <w:pPr>
              <w:pStyle w:val="13"/>
            </w:pPr>
            <w:r>
              <w:t>35.58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6.07</w:t>
            </w:r>
          </w:p>
        </w:tc>
        <w:tc>
          <w:tcPr>
            <w:tcW w:w="2551" w:type="dxa"/>
            <w:vAlign w:val="center"/>
          </w:tcPr>
          <w:p>
            <w:pPr>
              <w:pStyle w:val="13"/>
            </w:pPr>
            <w:r>
              <w:t>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54.93</w:t>
            </w:r>
          </w:p>
        </w:tc>
        <w:tc>
          <w:tcPr>
            <w:tcW w:w="2551" w:type="dxa"/>
            <w:vAlign w:val="center"/>
          </w:tcPr>
          <w:p>
            <w:pPr>
              <w:pStyle w:val="13"/>
            </w:pPr>
            <w:r>
              <w:t>54.93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14.30</w:t>
            </w:r>
          </w:p>
        </w:tc>
        <w:tc>
          <w:tcPr>
            <w:tcW w:w="2551" w:type="dxa"/>
            <w:vAlign w:val="center"/>
          </w:tcPr>
          <w:p>
            <w:pPr>
              <w:pStyle w:val="13"/>
            </w:pPr>
            <w:r>
              <w:t>14.30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40.87</w:t>
            </w:r>
          </w:p>
        </w:tc>
        <w:tc>
          <w:tcPr>
            <w:tcW w:w="2551" w:type="dxa"/>
            <w:vAlign w:val="center"/>
          </w:tcPr>
          <w:p>
            <w:pPr>
              <w:pStyle w:val="13"/>
            </w:pPr>
          </w:p>
        </w:tc>
        <w:tc>
          <w:tcPr>
            <w:tcW w:w="2551" w:type="dxa"/>
            <w:vAlign w:val="center"/>
          </w:tcPr>
          <w:p>
            <w:pPr>
              <w:pStyle w:val="13"/>
            </w:pPr>
            <w:r>
              <w:t>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3.16</w:t>
            </w:r>
          </w:p>
        </w:tc>
        <w:tc>
          <w:tcPr>
            <w:tcW w:w="2551" w:type="dxa"/>
            <w:vAlign w:val="center"/>
          </w:tcPr>
          <w:p>
            <w:pPr>
              <w:pStyle w:val="13"/>
            </w:pPr>
          </w:p>
        </w:tc>
        <w:tc>
          <w:tcPr>
            <w:tcW w:w="2551" w:type="dxa"/>
            <w:vAlign w:val="center"/>
          </w:tcPr>
          <w:p>
            <w:pPr>
              <w:pStyle w:val="13"/>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5.20</w:t>
            </w:r>
          </w:p>
        </w:tc>
        <w:tc>
          <w:tcPr>
            <w:tcW w:w="2551" w:type="dxa"/>
            <w:vAlign w:val="center"/>
          </w:tcPr>
          <w:p>
            <w:pPr>
              <w:pStyle w:val="13"/>
            </w:pPr>
          </w:p>
        </w:tc>
        <w:tc>
          <w:tcPr>
            <w:tcW w:w="2551"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4.68</w:t>
            </w:r>
          </w:p>
        </w:tc>
        <w:tc>
          <w:tcPr>
            <w:tcW w:w="2551" w:type="dxa"/>
            <w:vAlign w:val="center"/>
          </w:tcPr>
          <w:p>
            <w:pPr>
              <w:pStyle w:val="13"/>
            </w:pPr>
          </w:p>
        </w:tc>
        <w:tc>
          <w:tcPr>
            <w:tcW w:w="2551"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1.73</w:t>
            </w:r>
          </w:p>
        </w:tc>
        <w:tc>
          <w:tcPr>
            <w:tcW w:w="2551" w:type="dxa"/>
            <w:vAlign w:val="center"/>
          </w:tcPr>
          <w:p>
            <w:pPr>
              <w:pStyle w:val="13"/>
            </w:pPr>
          </w:p>
        </w:tc>
        <w:tc>
          <w:tcPr>
            <w:tcW w:w="2551" w:type="dxa"/>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5.10</w:t>
            </w:r>
          </w:p>
        </w:tc>
        <w:tc>
          <w:tcPr>
            <w:tcW w:w="2551" w:type="dxa"/>
            <w:vAlign w:val="center"/>
          </w:tcPr>
          <w:p>
            <w:pPr>
              <w:pStyle w:val="13"/>
            </w:pPr>
          </w:p>
        </w:tc>
        <w:tc>
          <w:tcPr>
            <w:tcW w:w="2551"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0.53</w:t>
            </w:r>
          </w:p>
        </w:tc>
        <w:tc>
          <w:tcPr>
            <w:tcW w:w="2551" w:type="dxa"/>
            <w:vAlign w:val="center"/>
          </w:tcPr>
          <w:p>
            <w:pPr>
              <w:pStyle w:val="13"/>
            </w:pPr>
            <w:r>
              <w:t>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804001曹妃甸港口物流园区管理委员会本级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32.05</w:t>
            </w:r>
          </w:p>
        </w:tc>
        <w:tc>
          <w:tcPr>
            <w:tcW w:w="2381" w:type="dxa"/>
            <w:vAlign w:val="center"/>
          </w:tcPr>
          <w:p>
            <w:pPr>
              <w:pStyle w:val="17"/>
            </w:pPr>
            <w:r>
              <w:t>32.05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20.05</w:t>
            </w:r>
          </w:p>
        </w:tc>
        <w:tc>
          <w:tcPr>
            <w:tcW w:w="2381" w:type="dxa"/>
            <w:vAlign w:val="center"/>
          </w:tcPr>
          <w:p>
            <w:pPr>
              <w:pStyle w:val="13"/>
            </w:pPr>
            <w:r>
              <w:t>20.05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14.05</w:t>
            </w:r>
          </w:p>
        </w:tc>
        <w:tc>
          <w:tcPr>
            <w:tcW w:w="2381" w:type="dxa"/>
            <w:vAlign w:val="center"/>
          </w:tcPr>
          <w:p>
            <w:pPr>
              <w:pStyle w:val="13"/>
            </w:pPr>
            <w:r>
              <w:t>14.05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11.00</w:t>
            </w:r>
          </w:p>
        </w:tc>
        <w:tc>
          <w:tcPr>
            <w:tcW w:w="2381" w:type="dxa"/>
            <w:vAlign w:val="center"/>
          </w:tcPr>
          <w:p>
            <w:pPr>
              <w:pStyle w:val="13"/>
            </w:pPr>
            <w:r>
              <w:t>11.00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曹妃甸港口物流园区管理委员会本级2022年单位预算信息公开情况说明</w:t>
      </w:r>
    </w:p>
    <w:p>
      <w:pPr>
        <w:keepNext w:val="0"/>
        <w:keepLines w:val="0"/>
        <w:pageBreakBefore w:val="0"/>
        <w:kinsoku/>
        <w:wordWrap/>
        <w:overflowPunct/>
        <w:topLinePunct w:val="0"/>
        <w:bidi w:val="0"/>
        <w:snapToGrid/>
        <w:spacing w:line="560" w:lineRule="exact"/>
        <w:ind w:firstLine="560" w:firstLineChars="200"/>
        <w:jc w:val="both"/>
        <w:textAlignment w:val="auto"/>
      </w:pPr>
      <w:r>
        <w:rPr>
          <w:rFonts w:eastAsia="方正仿宋_GBK"/>
          <w:color w:val="000000"/>
          <w:sz w:val="28"/>
        </w:rPr>
        <w:t>按照《预算法》、《地方预决算公开操作规程》和《关于进一步推进预算公开工作的实施意见》规定，现将曹妃甸港口物流园区管理委员会本级2022年单位预算公开如下：</w:t>
      </w:r>
    </w:p>
    <w:p>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bidi w:val="0"/>
        <w:snapToGrid/>
        <w:spacing w:line="560" w:lineRule="exact"/>
        <w:ind w:firstLine="643" w:firstLineChars="200"/>
        <w:jc w:val="both"/>
        <w:textAlignment w:val="auto"/>
      </w:pPr>
      <w:r>
        <w:rPr>
          <w:rFonts w:ascii="方正楷体_GBK" w:hAnsi="方正楷体_GBK" w:eastAsia="方正楷体_GBK" w:cs="方正楷体_GBK"/>
          <w:b/>
          <w:color w:val="000000"/>
          <w:sz w:val="32"/>
        </w:rPr>
        <w:t>单位职责：</w:t>
      </w:r>
    </w:p>
    <w:p>
      <w:pPr>
        <w:keepNext w:val="0"/>
        <w:keepLines w:val="0"/>
        <w:pageBreakBefore w:val="0"/>
        <w:kinsoku/>
        <w:wordWrap/>
        <w:overflowPunct/>
        <w:topLinePunct w:val="0"/>
        <w:bidi w:val="0"/>
        <w:snapToGrid/>
        <w:spacing w:line="560" w:lineRule="exact"/>
        <w:ind w:firstLine="560" w:firstLineChars="200"/>
        <w:jc w:val="both"/>
        <w:textAlignment w:val="auto"/>
        <w:rPr>
          <w:rFonts w:hint="eastAsia" w:eastAsia="方正仿宋_GBK"/>
          <w:color w:val="000000"/>
          <w:sz w:val="28"/>
          <w:lang w:val="en-US" w:eastAsia="zh-CN"/>
        </w:rPr>
      </w:pPr>
      <w:r>
        <w:rPr>
          <w:rFonts w:hint="eastAsia" w:eastAsia="方正仿宋_GBK"/>
          <w:color w:val="000000"/>
          <w:sz w:val="28"/>
          <w:lang w:val="en-US" w:eastAsia="zh-CN"/>
        </w:rPr>
        <w:t>港口物流园区管理委员会对辖区行使管理、监督、协调、服务职能。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港口物流产业的培育与协调联系行业管理；负责协助有关部门做好辖区港口及相关设施的建设与管理；负责协助有关部门做好港航管理工作；负责辖区财务管理、国有资产管理和财务监督工作；负责辖区安全生产监督、管理；负责协调辖区内上级有关部门派驻机构的工作；负责唐山市曹妃甸区政府交办的其他事项。</w:t>
      </w:r>
    </w:p>
    <w:p>
      <w:pPr>
        <w:pStyle w:val="27"/>
        <w:keepNext w:val="0"/>
        <w:keepLines w:val="0"/>
        <w:pageBreakBefore w:val="0"/>
        <w:kinsoku/>
        <w:wordWrap/>
        <w:overflowPunct/>
        <w:topLinePunct w:val="0"/>
        <w:bidi w:val="0"/>
        <w:snapToGrid/>
        <w:spacing w:line="560" w:lineRule="exact"/>
        <w:ind w:firstLine="560" w:firstLineChars="200"/>
        <w:jc w:val="both"/>
        <w:textAlignment w:val="auto"/>
      </w:pPr>
    </w:p>
    <w:p>
      <w:pPr>
        <w:keepNext w:val="0"/>
        <w:keepLines w:val="0"/>
        <w:pageBreakBefore w:val="0"/>
        <w:kinsoku/>
        <w:wordWrap/>
        <w:overflowPunct/>
        <w:topLinePunct w:val="0"/>
        <w:bidi w:val="0"/>
        <w:snapToGrid/>
        <w:spacing w:line="560" w:lineRule="exact"/>
        <w:ind w:firstLine="643" w:firstLineChars="200"/>
        <w:jc w:val="both"/>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snapToGrid/>
        <w:spacing w:line="560" w:lineRule="exact"/>
        <w:ind w:firstLine="640" w:firstLineChars="200"/>
        <w:jc w:val="both"/>
        <w:textAlignment w:val="auto"/>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keepNext w:val="0"/>
              <w:keepLines w:val="0"/>
              <w:pageBreakBefore w:val="0"/>
              <w:kinsoku/>
              <w:wordWrap/>
              <w:overflowPunct/>
              <w:topLinePunct w:val="0"/>
              <w:bidi w:val="0"/>
              <w:snapToGrid/>
              <w:spacing w:line="560" w:lineRule="exact"/>
              <w:ind w:firstLine="422" w:firstLineChars="200"/>
              <w:jc w:val="both"/>
              <w:textAlignment w:val="auto"/>
            </w:pPr>
            <w:r>
              <w:t>单位名称</w:t>
            </w:r>
          </w:p>
        </w:tc>
        <w:tc>
          <w:tcPr>
            <w:tcW w:w="1843" w:type="dxa"/>
            <w:vAlign w:val="center"/>
          </w:tcPr>
          <w:p>
            <w:pPr>
              <w:pStyle w:val="12"/>
              <w:keepNext w:val="0"/>
              <w:keepLines w:val="0"/>
              <w:pageBreakBefore w:val="0"/>
              <w:kinsoku/>
              <w:wordWrap/>
              <w:overflowPunct/>
              <w:topLinePunct w:val="0"/>
              <w:bidi w:val="0"/>
              <w:snapToGrid/>
              <w:spacing w:line="560" w:lineRule="exact"/>
              <w:ind w:firstLine="422" w:firstLineChars="200"/>
              <w:jc w:val="both"/>
              <w:textAlignment w:val="auto"/>
            </w:pPr>
            <w:r>
              <w:t>单位性质</w:t>
            </w:r>
          </w:p>
        </w:tc>
        <w:tc>
          <w:tcPr>
            <w:tcW w:w="2126" w:type="dxa"/>
            <w:vAlign w:val="center"/>
          </w:tcPr>
          <w:p>
            <w:pPr>
              <w:pStyle w:val="12"/>
              <w:keepNext w:val="0"/>
              <w:keepLines w:val="0"/>
              <w:pageBreakBefore w:val="0"/>
              <w:kinsoku/>
              <w:wordWrap/>
              <w:overflowPunct/>
              <w:topLinePunct w:val="0"/>
              <w:bidi w:val="0"/>
              <w:snapToGrid/>
              <w:spacing w:line="560" w:lineRule="exact"/>
              <w:ind w:firstLine="422" w:firstLineChars="200"/>
              <w:jc w:val="both"/>
              <w:textAlignment w:val="auto"/>
            </w:pPr>
            <w:r>
              <w:t>单位规格</w:t>
            </w:r>
          </w:p>
        </w:tc>
        <w:tc>
          <w:tcPr>
            <w:tcW w:w="3827" w:type="dxa"/>
            <w:vAlign w:val="center"/>
          </w:tcPr>
          <w:p>
            <w:pPr>
              <w:pStyle w:val="12"/>
              <w:keepNext w:val="0"/>
              <w:keepLines w:val="0"/>
              <w:pageBreakBefore w:val="0"/>
              <w:kinsoku/>
              <w:wordWrap/>
              <w:overflowPunct/>
              <w:topLinePunct w:val="0"/>
              <w:bidi w:val="0"/>
              <w:snapToGrid/>
              <w:spacing w:line="560" w:lineRule="exact"/>
              <w:ind w:firstLine="422" w:firstLineChars="200"/>
              <w:jc w:val="both"/>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keepNext w:val="0"/>
              <w:keepLines w:val="0"/>
              <w:pageBreakBefore w:val="0"/>
              <w:kinsoku/>
              <w:wordWrap/>
              <w:overflowPunct/>
              <w:topLinePunct w:val="0"/>
              <w:bidi w:val="0"/>
              <w:snapToGrid/>
              <w:spacing w:line="560" w:lineRule="exact"/>
              <w:ind w:firstLine="420" w:firstLineChars="200"/>
              <w:jc w:val="both"/>
              <w:textAlignment w:val="auto"/>
            </w:pPr>
            <w:r>
              <w:t>曹妃甸港口物流园区管理委员会本级</w:t>
            </w:r>
          </w:p>
        </w:tc>
        <w:tc>
          <w:tcPr>
            <w:tcW w:w="1843" w:type="dxa"/>
            <w:vAlign w:val="center"/>
          </w:tcPr>
          <w:p>
            <w:pPr>
              <w:pStyle w:val="15"/>
              <w:keepNext w:val="0"/>
              <w:keepLines w:val="0"/>
              <w:pageBreakBefore w:val="0"/>
              <w:kinsoku/>
              <w:wordWrap/>
              <w:overflowPunct/>
              <w:topLinePunct w:val="0"/>
              <w:bidi w:val="0"/>
              <w:snapToGrid/>
              <w:spacing w:line="560" w:lineRule="exact"/>
              <w:ind w:firstLine="420" w:firstLineChars="200"/>
              <w:jc w:val="both"/>
              <w:textAlignment w:val="auto"/>
            </w:pPr>
            <w:r>
              <w:t>行政</w:t>
            </w:r>
          </w:p>
        </w:tc>
        <w:tc>
          <w:tcPr>
            <w:tcW w:w="2126" w:type="dxa"/>
            <w:vAlign w:val="center"/>
          </w:tcPr>
          <w:p>
            <w:pPr>
              <w:pStyle w:val="15"/>
              <w:keepNext w:val="0"/>
              <w:keepLines w:val="0"/>
              <w:pageBreakBefore w:val="0"/>
              <w:kinsoku/>
              <w:wordWrap/>
              <w:overflowPunct/>
              <w:topLinePunct w:val="0"/>
              <w:bidi w:val="0"/>
              <w:snapToGrid/>
              <w:spacing w:line="560" w:lineRule="exact"/>
              <w:ind w:firstLine="420" w:firstLineChars="200"/>
              <w:jc w:val="both"/>
              <w:textAlignment w:val="auto"/>
            </w:pPr>
            <w:r>
              <w:t>正处（县）级</w:t>
            </w:r>
          </w:p>
        </w:tc>
        <w:tc>
          <w:tcPr>
            <w:tcW w:w="3827" w:type="dxa"/>
            <w:vAlign w:val="center"/>
          </w:tcPr>
          <w:p>
            <w:pPr>
              <w:pStyle w:val="15"/>
              <w:keepNext w:val="0"/>
              <w:keepLines w:val="0"/>
              <w:pageBreakBefore w:val="0"/>
              <w:kinsoku/>
              <w:wordWrap/>
              <w:overflowPunct/>
              <w:topLinePunct w:val="0"/>
              <w:bidi w:val="0"/>
              <w:snapToGrid/>
              <w:spacing w:line="560" w:lineRule="exact"/>
              <w:ind w:firstLine="420" w:firstLineChars="200"/>
              <w:jc w:val="both"/>
              <w:textAlignment w:val="auto"/>
            </w:pPr>
            <w:r>
              <w:t>财政拨款</w:t>
            </w:r>
          </w:p>
        </w:tc>
      </w:tr>
    </w:tbl>
    <w:p>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60" w:lineRule="exact"/>
        <w:ind w:left="198"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本单位当年全部收入，2022年预算收入2248.10万</w:t>
      </w:r>
      <w:r>
        <w:rPr>
          <w:rFonts w:hint="eastAsia" w:ascii="Times New Roman" w:hAnsi="Times New Roman" w:eastAsia="方正仿宋_GBK" w:cs="Times New Roman"/>
          <w:color w:val="000000"/>
          <w:sz w:val="28"/>
          <w:szCs w:val="24"/>
          <w:lang w:val="en-US" w:eastAsia="uk-UA" w:bidi="ar-SA"/>
        </w:rPr>
        <w:t>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一般公共</w:t>
      </w:r>
      <w:r>
        <w:rPr>
          <w:rFonts w:hint="eastAsia" w:ascii="Times New Roman" w:hAnsi="Times New Roman" w:eastAsia="方正仿宋_GBK" w:cs="Times New Roman"/>
          <w:color w:val="000000"/>
          <w:sz w:val="28"/>
          <w:szCs w:val="24"/>
          <w:lang w:val="en-US" w:eastAsia="zh-CN" w:bidi="ar-SA"/>
        </w:rPr>
        <w:t>预算收入2248.10万元，基金预算收入0万元，财政专户核拨收入0万元，其他来源收入0万元。</w:t>
      </w:r>
    </w:p>
    <w:p>
      <w:pPr>
        <w:keepNext w:val="0"/>
        <w:keepLines w:val="0"/>
        <w:pageBreakBefore w:val="0"/>
        <w:numPr>
          <w:ilvl w:val="0"/>
          <w:numId w:val="1"/>
        </w:numPr>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收支预算总表支出栏、基本支出表、项目支出表按经济分类和支出功能分类科目编制，反映曹妃甸港口物流园区管理委员会年度单位预算中支出预算的总体情况。2022年单位支出预算为2248.10万元，其中基本支出753.25万元，包括人员经费712.38万元和公用经费40.87万元；项目支出1494.85万元，全部为本级支出。</w:t>
      </w:r>
    </w:p>
    <w:p>
      <w:pPr>
        <w:keepNext w:val="0"/>
        <w:keepLines w:val="0"/>
        <w:pageBreakBefore w:val="0"/>
        <w:numPr>
          <w:ilvl w:val="0"/>
          <w:numId w:val="1"/>
        </w:numPr>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2022年单位预算收支安排2248.10万元，较2021年减少1010.73万元，其中：基本支出增加95.53万元，主要是人员工资调整使基本支出经费增加；项目支出减少1106.26万元，主要原因是疫情影响，财政经费压减，并且比往年减少了十四五规划编制经费、铁路规划编制专项经费、海巡船艇运行维护费、打击走私经费、视频监控经费等已完成的业务经费，所以我园区总体2022年预算经费对比2021年减少。</w:t>
      </w:r>
    </w:p>
    <w:p>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三、机关运行经费安排情况</w:t>
      </w:r>
    </w:p>
    <w:p>
      <w:pPr>
        <w:pStyle w:val="29"/>
        <w:keepNext w:val="0"/>
        <w:keepLines w:val="0"/>
        <w:pageBreakBefore w:val="0"/>
        <w:kinsoku/>
        <w:wordWrap/>
        <w:overflowPunct/>
        <w:topLinePunct w:val="0"/>
        <w:bidi w:val="0"/>
        <w:snapToGrid/>
        <w:spacing w:line="560" w:lineRule="exact"/>
        <w:ind w:firstLine="560" w:firstLineChars="200"/>
        <w:jc w:val="both"/>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ascii="Times New Roman" w:hAnsi="Times New Roman" w:eastAsia="方正仿宋_GBK" w:cs="Times New Roman"/>
          <w:color w:val="000000"/>
          <w:sz w:val="28"/>
          <w:szCs w:val="24"/>
          <w:lang w:val="en-US" w:eastAsia="zh-CN" w:bidi="ar-SA"/>
        </w:rPr>
        <w:t>40.87</w:t>
      </w:r>
      <w:r>
        <w:rPr>
          <w:rFonts w:hint="eastAsia" w:ascii="Times New Roman" w:hAnsi="Times New Roman" w:eastAsia="方正仿宋_GBK" w:cs="Times New Roman"/>
          <w:color w:val="000000"/>
          <w:sz w:val="28"/>
          <w:szCs w:val="24"/>
          <w:lang w:val="en-US" w:eastAsia="uk-UA" w:bidi="ar-SA"/>
        </w:rPr>
        <w:t>万元，主要用于</w:t>
      </w:r>
      <w:r>
        <w:rPr>
          <w:rFonts w:hint="eastAsia" w:ascii="Times New Roman" w:hAnsi="Times New Roman" w:eastAsia="方正仿宋_GBK" w:cs="Times New Roman"/>
          <w:color w:val="000000"/>
          <w:sz w:val="28"/>
          <w:szCs w:val="24"/>
          <w:lang w:val="en-US" w:eastAsia="zh-CN" w:bidi="ar-SA"/>
        </w:rPr>
        <w:t>保证机关正常运转的办公及印刷费、邮电费、差旅费、培训费、会议费、福利费、一般设备购置费、日常维修费、办公楼物业管理费、公务车运行维护费等支出</w:t>
      </w:r>
      <w:r>
        <w:rPr>
          <w:rFonts w:hint="eastAsia" w:ascii="Times New Roman" w:hAnsi="Times New Roman" w:eastAsia="方正仿宋_GBK" w:cs="Times New Roman"/>
          <w:color w:val="000000"/>
          <w:sz w:val="28"/>
          <w:szCs w:val="24"/>
          <w:lang w:val="en-US" w:eastAsia="uk-UA" w:bidi="ar-SA"/>
        </w:rPr>
        <w:t>。</w:t>
      </w:r>
    </w:p>
    <w:p>
      <w:pPr>
        <w:keepNext w:val="0"/>
        <w:keepLines w:val="0"/>
        <w:pageBreakBefore w:val="0"/>
        <w:kinsoku/>
        <w:wordWrap/>
        <w:overflowPunct/>
        <w:topLinePunct w:val="0"/>
        <w:bidi w:val="0"/>
        <w:snapToGrid/>
        <w:spacing w:before="10" w:after="10" w:line="560" w:lineRule="exact"/>
        <w:ind w:firstLine="640" w:firstLineChars="200"/>
        <w:jc w:val="both"/>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kinsoku/>
        <w:wordWrap/>
        <w:overflowPunct/>
        <w:topLinePunct w:val="0"/>
        <w:autoSpaceDE w:val="0"/>
        <w:autoSpaceDN w:val="0"/>
        <w:bidi w:val="0"/>
        <w:adjustRightInd w:val="0"/>
        <w:snapToGrid/>
        <w:spacing w:line="560" w:lineRule="exact"/>
        <w:ind w:left="198" w:firstLine="560" w:firstLineChars="200"/>
        <w:jc w:val="both"/>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年，财政拨款“三公”经费预算安排</w:t>
      </w:r>
      <w:r>
        <w:rPr>
          <w:rFonts w:hint="eastAsia" w:ascii="Times New Roman" w:hAnsi="Times New Roman" w:eastAsia="方正仿宋_GBK" w:cs="Times New Roman"/>
          <w:color w:val="000000"/>
          <w:sz w:val="28"/>
          <w:szCs w:val="24"/>
          <w:lang w:val="en-US" w:eastAsia="zh-CN" w:bidi="ar-SA"/>
        </w:rPr>
        <w:t>32.05</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2021年减少54.1万元。2022年“三公经费”具体安排情况为：因公出国（境）费0万元，与2021年相比持平，无增减变化；公务用车购置及运行费6万元（其中公务用车购置费0万元，比2021年减少0万元，主要原因是2022年无车辆购置预算经费；公务用车运行及维护费6万元，与2021年相比减少14万元，主要原因是2022年预算未安排省市下放审批权限新增业务车辆使用经费，且财政压减公车经费为每车3万元）；公务接待费14.05万元，比2021年增加1.64万元，主要原因是2022年省重点跑办项目中增加了接待经费。</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1、2022年曹妃甸火车站疫情防控绩效目标表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1.保障进出旅客防控安全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全年</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保障工作正常开展</w:t>
            </w:r>
          </w:p>
        </w:tc>
        <w:tc>
          <w:tcPr>
            <w:tcW w:w="2551" w:type="dxa"/>
            <w:vAlign w:val="center"/>
          </w:tcPr>
          <w:p>
            <w:pPr>
              <w:pStyle w:val="14"/>
            </w:pPr>
            <w:r>
              <w:t>带动社会和经济发展</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≥95百分比</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减少空气污染</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带动经济和社会发展</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《关于进一步加强交通场站疫情防控工作的紧急通知》（唐防办[2021]451号）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≥90百分比</w:t>
            </w:r>
          </w:p>
        </w:tc>
        <w:tc>
          <w:tcPr>
            <w:tcW w:w="2268" w:type="dxa"/>
            <w:vAlign w:val="center"/>
          </w:tcPr>
          <w:p>
            <w:pPr>
              <w:pStyle w:val="14"/>
            </w:pPr>
            <w:r>
              <w:t>《关于进一步加强交通场站疫情防控工作的紧急通知》（唐防办[2021]451号）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2、2022年防疫经费绩效目标表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1.为严格把控进出港人员，在各码头均设立固定防控点</w:t>
            </w:r>
          </w:p>
          <w:p>
            <w:pPr>
              <w:pStyle w:val="14"/>
            </w:pPr>
            <w:r>
              <w:t>2.防控点租用了集装箱简易房；购买了口罩、消毒水、防护服、喷雾器、测温枪等防控物资；提供各防控点防控人员的餐食；制作防疫宣传栏、印发防疫手册、告知单</w:t>
            </w:r>
          </w:p>
          <w:p>
            <w:pPr>
              <w:pStyle w:val="14"/>
            </w:pPr>
            <w:r>
              <w:t>3.在紧急事件及靠泊船员的隔离处理过程中，我园区租用酒店房间作为紧急隔离点；向工作人员提供口罩、防护服、护目镜、胶靴、酒精、消毒水等防护物资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2022年12月31日之前完成</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保障工作正常开展</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推进工作开展</w:t>
            </w:r>
          </w:p>
        </w:tc>
        <w:tc>
          <w:tcPr>
            <w:tcW w:w="2835" w:type="dxa"/>
            <w:vAlign w:val="center"/>
          </w:tcPr>
          <w:p>
            <w:pPr>
              <w:pStyle w:val="14"/>
            </w:pPr>
            <w:r>
              <w:t>推进工作开展</w:t>
            </w:r>
          </w:p>
        </w:tc>
        <w:tc>
          <w:tcPr>
            <w:tcW w:w="2551" w:type="dxa"/>
            <w:vAlign w:val="center"/>
          </w:tcPr>
          <w:p>
            <w:pPr>
              <w:pStyle w:val="14"/>
            </w:pPr>
            <w:r>
              <w:t>保障工作正常开展</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3、2022年港口物流园区管理委员会办公用房租赁费绩效目标表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1.2022年我园区办公用房租赁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办公用房租赁</w:t>
            </w:r>
          </w:p>
        </w:tc>
        <w:tc>
          <w:tcPr>
            <w:tcW w:w="2835" w:type="dxa"/>
            <w:vAlign w:val="center"/>
          </w:tcPr>
          <w:p>
            <w:pPr>
              <w:pStyle w:val="14"/>
            </w:pPr>
            <w:r>
              <w:t>办公用房租赁</w:t>
            </w:r>
          </w:p>
        </w:tc>
        <w:tc>
          <w:tcPr>
            <w:tcW w:w="2551" w:type="dxa"/>
            <w:vAlign w:val="center"/>
          </w:tcPr>
          <w:p>
            <w:pPr>
              <w:pStyle w:val="14"/>
            </w:pPr>
            <w:r>
              <w:t>租赁完成率</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2022年12月31日前</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≥90百分比</w:t>
            </w:r>
          </w:p>
          <w:p>
            <w:pPr>
              <w:pStyle w:val="14"/>
            </w:pP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≥100百分比</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完成业务用房租赁及维护</w:t>
            </w:r>
          </w:p>
        </w:tc>
        <w:tc>
          <w:tcPr>
            <w:tcW w:w="2835" w:type="dxa"/>
            <w:vAlign w:val="center"/>
          </w:tcPr>
          <w:p>
            <w:pPr>
              <w:pStyle w:val="14"/>
            </w:pPr>
            <w:r>
              <w:t>完成业务用房租赁及维护</w:t>
            </w:r>
          </w:p>
        </w:tc>
        <w:tc>
          <w:tcPr>
            <w:tcW w:w="2551" w:type="dxa"/>
            <w:vAlign w:val="center"/>
          </w:tcPr>
          <w:p>
            <w:pPr>
              <w:pStyle w:val="14"/>
            </w:pPr>
            <w:r>
              <w:t>≥100百分比</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2835" w:type="dxa"/>
            <w:vAlign w:val="center"/>
          </w:tcPr>
          <w:p>
            <w:pPr>
              <w:pStyle w:val="14"/>
            </w:pPr>
            <w:r>
              <w:t>效果持续时间</w:t>
            </w:r>
          </w:p>
        </w:tc>
        <w:tc>
          <w:tcPr>
            <w:tcW w:w="2551" w:type="dxa"/>
            <w:vAlign w:val="center"/>
          </w:tcPr>
          <w:p>
            <w:pPr>
              <w:pStyle w:val="14"/>
            </w:pPr>
            <w:r>
              <w:t>≥1年</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《港口贸易大厦房屋租赁合同、物业合同》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《港口贸易大厦房屋租赁合同、物业合同》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4、2022年为承接省市下放审批权限（船舶检验）购买服务经费绩效目标表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1.为承接省市下放审批权限，需招聘12名工作人员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2022年12月31日</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≥90百分比</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保障工作正常开展</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保障工作正常开展</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≥100百分比</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《为承接省市下放审批权限（船舶检验）购买服务采购合同》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≥90百分比</w:t>
            </w:r>
          </w:p>
        </w:tc>
        <w:tc>
          <w:tcPr>
            <w:tcW w:w="2268" w:type="dxa"/>
            <w:vAlign w:val="center"/>
          </w:tcPr>
          <w:p>
            <w:pPr>
              <w:pStyle w:val="14"/>
            </w:pPr>
            <w:r>
              <w:t>《为承接省市下放审批权限（船舶检验）购买服务采购合同》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5、2022年招商引资经费绩效目标表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1.实施重点区域招商，走访北京、天津、上海、广东、浙江、江苏、内蒙、山西等各地港口物流贸易企业</w:t>
            </w:r>
          </w:p>
          <w:p>
            <w:pPr>
              <w:pStyle w:val="14"/>
            </w:pPr>
            <w:r>
              <w:t>2.参加京津经贸洽谈会、中国能源物流产业大会、廊坊国际经贸洽谈会、中国进出口商品交易会、高交会、侨商北京洽谈会等各类与港口相关的重要会议或活动</w:t>
            </w:r>
          </w:p>
          <w:p>
            <w:pPr>
              <w:pStyle w:val="14"/>
            </w:pPr>
            <w:r>
              <w:t>3.完成区政府布置招商任务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举办招商引资活动数量（个）</w:t>
            </w:r>
          </w:p>
        </w:tc>
        <w:tc>
          <w:tcPr>
            <w:tcW w:w="2835" w:type="dxa"/>
            <w:vAlign w:val="center"/>
          </w:tcPr>
          <w:p>
            <w:pPr>
              <w:pStyle w:val="14"/>
            </w:pPr>
            <w:r>
              <w:t>举办招商引资活动数量（个）</w:t>
            </w:r>
          </w:p>
        </w:tc>
        <w:tc>
          <w:tcPr>
            <w:tcW w:w="2551" w:type="dxa"/>
            <w:vAlign w:val="center"/>
          </w:tcPr>
          <w:p>
            <w:pPr>
              <w:pStyle w:val="14"/>
            </w:pPr>
            <w:r>
              <w:t>≥20次</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招商活动的签约项目个数（个）</w:t>
            </w:r>
          </w:p>
        </w:tc>
        <w:tc>
          <w:tcPr>
            <w:tcW w:w="2835" w:type="dxa"/>
            <w:vAlign w:val="center"/>
          </w:tcPr>
          <w:p>
            <w:pPr>
              <w:pStyle w:val="14"/>
            </w:pPr>
            <w:r>
              <w:t>招商活动的签约项目个数（个）</w:t>
            </w:r>
          </w:p>
        </w:tc>
        <w:tc>
          <w:tcPr>
            <w:tcW w:w="2551" w:type="dxa"/>
            <w:vAlign w:val="center"/>
          </w:tcPr>
          <w:p>
            <w:pPr>
              <w:pStyle w:val="14"/>
            </w:pPr>
            <w:r>
              <w:t>≥20个</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按时参加各次会议、培训等活动</w:t>
            </w:r>
          </w:p>
        </w:tc>
        <w:tc>
          <w:tcPr>
            <w:tcW w:w="2835" w:type="dxa"/>
            <w:vAlign w:val="center"/>
          </w:tcPr>
          <w:p>
            <w:pPr>
              <w:pStyle w:val="14"/>
            </w:pPr>
            <w:r>
              <w:t>按时参加各次会议、培训等活动</w:t>
            </w:r>
          </w:p>
        </w:tc>
        <w:tc>
          <w:tcPr>
            <w:tcW w:w="2551" w:type="dxa"/>
            <w:vAlign w:val="center"/>
          </w:tcPr>
          <w:p>
            <w:pPr>
              <w:pStyle w:val="14"/>
            </w:pPr>
            <w:r>
              <w:t>≥20次</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不超预算</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超过十年</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经贸活动知名度</w:t>
            </w:r>
          </w:p>
        </w:tc>
        <w:tc>
          <w:tcPr>
            <w:tcW w:w="2835" w:type="dxa"/>
            <w:vAlign w:val="center"/>
          </w:tcPr>
          <w:p>
            <w:pPr>
              <w:pStyle w:val="14"/>
            </w:pPr>
            <w:r>
              <w:t>经贸活动知名度</w:t>
            </w:r>
          </w:p>
        </w:tc>
        <w:tc>
          <w:tcPr>
            <w:tcW w:w="2551" w:type="dxa"/>
            <w:vAlign w:val="center"/>
          </w:tcPr>
          <w:p>
            <w:pPr>
              <w:pStyle w:val="14"/>
            </w:pPr>
            <w:r>
              <w:t>大于去年</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不破坏环境</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高于去年</w:t>
            </w:r>
          </w:p>
        </w:tc>
        <w:tc>
          <w:tcPr>
            <w:tcW w:w="2268" w:type="dxa"/>
            <w:vAlign w:val="center"/>
          </w:tcPr>
          <w:p>
            <w:pPr>
              <w:pStyle w:val="14"/>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6、曹妃甸港区东区临时待泊区工程施工和监理的招标代理费绩效目标表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1.完成招标工作</w:t>
            </w:r>
          </w:p>
          <w:p>
            <w:pPr>
              <w:pStyle w:val="14"/>
            </w:pPr>
            <w:r>
              <w:t>2.签订合同</w:t>
            </w:r>
          </w:p>
          <w:p>
            <w:pPr>
              <w:pStyle w:val="14"/>
            </w:pPr>
            <w:r>
              <w:t>3.支付代理费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2022年内完成</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≥80百分比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≥80百分比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区领导在《关于港口物流园区申请三港池临时待泊区及抛泥区相关工作费用请示的拟办意见》上的批示。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≥95百分比</w:t>
            </w:r>
          </w:p>
        </w:tc>
        <w:tc>
          <w:tcPr>
            <w:tcW w:w="2268" w:type="dxa"/>
            <w:vAlign w:val="center"/>
          </w:tcPr>
          <w:p>
            <w:pPr>
              <w:pStyle w:val="14"/>
            </w:pPr>
            <w:r>
              <w:t>区领导在《关于港口物流园区申请三港池临时待泊区及抛泥区相关工作费用请示的拟办意见》上的批示。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7、曹妃甸铁矿石价格指数采集办公室办公经费绩效目标表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1.做优做强曹妃甸铁矿石价格指数</w:t>
            </w:r>
          </w:p>
          <w:p>
            <w:pPr>
              <w:pStyle w:val="14"/>
            </w:pPr>
            <w:r>
              <w:t>2.全年发布曹妃甸铁矿石价格指数230期</w:t>
            </w:r>
          </w:p>
          <w:p>
            <w:pPr>
              <w:pStyle w:val="14"/>
            </w:pPr>
            <w:r>
              <w:t>3.全年采集指数基础数据1000条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采集指数基础数据</w:t>
            </w:r>
          </w:p>
        </w:tc>
        <w:tc>
          <w:tcPr>
            <w:tcW w:w="2551" w:type="dxa"/>
            <w:vAlign w:val="center"/>
          </w:tcPr>
          <w:p>
            <w:pPr>
              <w:pStyle w:val="14"/>
            </w:pPr>
            <w:r>
              <w:t>≥1000条</w:t>
            </w:r>
          </w:p>
        </w:tc>
        <w:tc>
          <w:tcPr>
            <w:tcW w:w="2268" w:type="dxa"/>
            <w:vAlign w:val="center"/>
          </w:tcPr>
          <w:p>
            <w:pPr>
              <w:pStyle w:val="14"/>
            </w:pPr>
            <w:r>
              <w:t>采集指数年平均情况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发布曹妃甸铁矿石价格指数</w:t>
            </w:r>
          </w:p>
        </w:tc>
        <w:tc>
          <w:tcPr>
            <w:tcW w:w="2551" w:type="dxa"/>
            <w:vAlign w:val="center"/>
          </w:tcPr>
          <w:p>
            <w:pPr>
              <w:pStyle w:val="14"/>
            </w:pPr>
            <w:r>
              <w:t>≥230期</w:t>
            </w:r>
          </w:p>
        </w:tc>
        <w:tc>
          <w:tcPr>
            <w:tcW w:w="2268" w:type="dxa"/>
            <w:vAlign w:val="center"/>
          </w:tcPr>
          <w:p>
            <w:pPr>
              <w:pStyle w:val="14"/>
            </w:pPr>
            <w:r>
              <w:t>如无特殊情况每个工作日发布1期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全年完成全部指标</w:t>
            </w:r>
          </w:p>
        </w:tc>
        <w:tc>
          <w:tcPr>
            <w:tcW w:w="2551" w:type="dxa"/>
            <w:vAlign w:val="center"/>
          </w:tcPr>
          <w:p>
            <w:pPr>
              <w:pStyle w:val="14"/>
            </w:pPr>
            <w:r>
              <w:t>≥1年</w:t>
            </w:r>
          </w:p>
        </w:tc>
        <w:tc>
          <w:tcPr>
            <w:tcW w:w="2268" w:type="dxa"/>
            <w:vAlign w:val="center"/>
          </w:tcPr>
          <w:p>
            <w:pPr>
              <w:pStyle w:val="14"/>
            </w:pPr>
            <w:r>
              <w:t>价格指数发布需按工作日发布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按每季度执行预算</w:t>
            </w:r>
          </w:p>
        </w:tc>
        <w:tc>
          <w:tcPr>
            <w:tcW w:w="2551" w:type="dxa"/>
            <w:vAlign w:val="center"/>
          </w:tcPr>
          <w:p>
            <w:pPr>
              <w:pStyle w:val="14"/>
            </w:pPr>
            <w:r>
              <w:t>≥25百分比</w:t>
            </w:r>
          </w:p>
        </w:tc>
        <w:tc>
          <w:tcPr>
            <w:tcW w:w="2268" w:type="dxa"/>
            <w:vAlign w:val="center"/>
          </w:tcPr>
          <w:p>
            <w:pPr>
              <w:pStyle w:val="14"/>
            </w:pPr>
            <w:r>
              <w:t>企业激励资金按季度发放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形成曹妃甸定价影响，促进贸易增长，间接保障税收</w:t>
            </w:r>
          </w:p>
        </w:tc>
        <w:tc>
          <w:tcPr>
            <w:tcW w:w="2551" w:type="dxa"/>
            <w:vAlign w:val="center"/>
          </w:tcPr>
          <w:p>
            <w:pPr>
              <w:pStyle w:val="14"/>
            </w:pPr>
            <w:r>
              <w:t>≥80百分比</w:t>
            </w:r>
          </w:p>
          <w:p>
            <w:pPr>
              <w:pStyle w:val="14"/>
            </w:pPr>
          </w:p>
        </w:tc>
        <w:tc>
          <w:tcPr>
            <w:tcW w:w="2268" w:type="dxa"/>
            <w:vAlign w:val="center"/>
          </w:tcPr>
          <w:p>
            <w:pPr>
              <w:pStyle w:val="14"/>
            </w:pPr>
            <w:r>
              <w:t>采集指数企业年平均情况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业务保障能力</w:t>
            </w:r>
          </w:p>
        </w:tc>
        <w:tc>
          <w:tcPr>
            <w:tcW w:w="2551" w:type="dxa"/>
            <w:vAlign w:val="center"/>
          </w:tcPr>
          <w:p>
            <w:pPr>
              <w:pStyle w:val="14"/>
            </w:pPr>
            <w:r>
              <w:t>≥80百分比</w:t>
            </w:r>
          </w:p>
        </w:tc>
        <w:tc>
          <w:tcPr>
            <w:tcW w:w="2268" w:type="dxa"/>
            <w:vAlign w:val="center"/>
          </w:tcPr>
          <w:p>
            <w:pPr>
              <w:pStyle w:val="14"/>
            </w:pPr>
            <w:r>
              <w:t>采集指数企业年平均情况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≥80百分比</w:t>
            </w:r>
          </w:p>
        </w:tc>
        <w:tc>
          <w:tcPr>
            <w:tcW w:w="2268" w:type="dxa"/>
            <w:vAlign w:val="center"/>
          </w:tcPr>
          <w:p>
            <w:pPr>
              <w:pStyle w:val="14"/>
            </w:pPr>
            <w:r>
              <w:t>采集指数企业年平均情况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持续影响铁矿石贸易价格</w:t>
            </w:r>
          </w:p>
        </w:tc>
        <w:tc>
          <w:tcPr>
            <w:tcW w:w="2551" w:type="dxa"/>
            <w:vAlign w:val="center"/>
          </w:tcPr>
          <w:p>
            <w:pPr>
              <w:pStyle w:val="14"/>
            </w:pPr>
            <w:r>
              <w:t>≥80百分比</w:t>
            </w:r>
          </w:p>
        </w:tc>
        <w:tc>
          <w:tcPr>
            <w:tcW w:w="2268" w:type="dxa"/>
            <w:vAlign w:val="center"/>
          </w:tcPr>
          <w:p>
            <w:pPr>
              <w:pStyle w:val="14"/>
            </w:pPr>
            <w:r>
              <w:t>采集指数企业年平均情况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≥2121家企业参与</w:t>
            </w:r>
          </w:p>
        </w:tc>
        <w:tc>
          <w:tcPr>
            <w:tcW w:w="2268" w:type="dxa"/>
            <w:vAlign w:val="center"/>
          </w:tcPr>
          <w:p>
            <w:pPr>
              <w:pStyle w:val="14"/>
            </w:pPr>
            <w:r>
              <w:t>采集指数企业年平均情况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采集指数企业年平均情况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采集指数企业年平均情况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8、调度指挥中心系统和可视化综合管理平台系统2022年维护费用绩效目标表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1.保证系统正常运转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运行监测网络运行维护</w:t>
            </w:r>
          </w:p>
        </w:tc>
        <w:tc>
          <w:tcPr>
            <w:tcW w:w="2835" w:type="dxa"/>
            <w:vAlign w:val="center"/>
          </w:tcPr>
          <w:p>
            <w:pPr>
              <w:pStyle w:val="14"/>
            </w:pPr>
            <w:r>
              <w:t>运行监测网络运行维护</w:t>
            </w:r>
          </w:p>
        </w:tc>
        <w:tc>
          <w:tcPr>
            <w:tcW w:w="2551" w:type="dxa"/>
            <w:vAlign w:val="center"/>
          </w:tcPr>
          <w:p>
            <w:pPr>
              <w:pStyle w:val="14"/>
            </w:pPr>
            <w:r>
              <w:t>≥100百分比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2022年10月</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≥80百分比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提升公共文化服务水平</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≥100百分比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《可视化综合管理平台系统项目政府采购合同》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主管部门满意度</w:t>
            </w:r>
          </w:p>
        </w:tc>
        <w:tc>
          <w:tcPr>
            <w:tcW w:w="2835" w:type="dxa"/>
            <w:vAlign w:val="center"/>
          </w:tcPr>
          <w:p>
            <w:pPr>
              <w:pStyle w:val="14"/>
            </w:pPr>
            <w:r>
              <w:t>主管部门满意度</w:t>
            </w:r>
          </w:p>
        </w:tc>
        <w:tc>
          <w:tcPr>
            <w:tcW w:w="2551" w:type="dxa"/>
            <w:vAlign w:val="center"/>
          </w:tcPr>
          <w:p>
            <w:pPr>
              <w:pStyle w:val="14"/>
            </w:pPr>
            <w:r>
              <w:t>≥95百分比</w:t>
            </w:r>
          </w:p>
        </w:tc>
        <w:tc>
          <w:tcPr>
            <w:tcW w:w="2268" w:type="dxa"/>
            <w:vAlign w:val="center"/>
          </w:tcPr>
          <w:p>
            <w:pPr>
              <w:pStyle w:val="14"/>
            </w:pPr>
            <w:r>
              <w:t>《可视化综合管理平台系统项目政府采购合同》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9、东侧锚地扩容工程——曹妃甸港区东区新增锚地通航安全评估绩效目标表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1.完成通航安全评估报告</w:t>
            </w:r>
          </w:p>
          <w:p>
            <w:pPr>
              <w:pStyle w:val="14"/>
            </w:pPr>
            <w:r>
              <w:t>2.上报海事部门审查</w:t>
            </w:r>
          </w:p>
          <w:p>
            <w:pPr>
              <w:pStyle w:val="14"/>
            </w:pPr>
            <w:r>
              <w:t>3.审查通过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2022年内完成</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≥90百分比</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推进工作开展</w:t>
            </w:r>
          </w:p>
        </w:tc>
        <w:tc>
          <w:tcPr>
            <w:tcW w:w="2835" w:type="dxa"/>
            <w:vAlign w:val="center"/>
          </w:tcPr>
          <w:p>
            <w:pPr>
              <w:pStyle w:val="14"/>
            </w:pPr>
            <w:r>
              <w:t>推进工作开展</w:t>
            </w:r>
          </w:p>
        </w:tc>
        <w:tc>
          <w:tcPr>
            <w:tcW w:w="2551" w:type="dxa"/>
            <w:vAlign w:val="center"/>
          </w:tcPr>
          <w:p>
            <w:pPr>
              <w:pStyle w:val="14"/>
            </w:pPr>
            <w:r>
              <w:t>保障工作正常开展</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≥95百分比</w:t>
            </w:r>
          </w:p>
        </w:tc>
        <w:tc>
          <w:tcPr>
            <w:tcW w:w="2268" w:type="dxa"/>
            <w:vAlign w:val="center"/>
          </w:tcPr>
          <w:p>
            <w:pPr>
              <w:pStyle w:val="14"/>
            </w:pPr>
            <w:r>
              <w:t>区领导在《港口物流园区管委会港区锚地、待泊区及导助航设施相关情况说明的意见》上的批示。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区领导在《港口物流园区管委会港区锚地、待泊区及导助航设施相关情况说明的意见》上的批示。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10、港口安全生产监管及培训经费绩效目标表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1.为做好港口安全生产监管及培训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组织工作培训数量</w:t>
            </w:r>
          </w:p>
        </w:tc>
        <w:tc>
          <w:tcPr>
            <w:tcW w:w="2835" w:type="dxa"/>
            <w:vAlign w:val="center"/>
          </w:tcPr>
          <w:p>
            <w:pPr>
              <w:pStyle w:val="14"/>
            </w:pPr>
            <w:r>
              <w:t>组织工作培训数量</w:t>
            </w:r>
          </w:p>
        </w:tc>
        <w:tc>
          <w:tcPr>
            <w:tcW w:w="2551" w:type="dxa"/>
            <w:vAlign w:val="center"/>
          </w:tcPr>
          <w:p>
            <w:pPr>
              <w:pStyle w:val="14"/>
            </w:pPr>
            <w:r>
              <w:t>≥100百分比</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≥100百分比</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≥100百分比</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≥90百分比</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≥80百分比</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受训学员业务应用情况</w:t>
            </w:r>
          </w:p>
        </w:tc>
        <w:tc>
          <w:tcPr>
            <w:tcW w:w="2835" w:type="dxa"/>
            <w:vAlign w:val="center"/>
          </w:tcPr>
          <w:p>
            <w:pPr>
              <w:pStyle w:val="14"/>
            </w:pPr>
            <w:r>
              <w:t>受训学员业务应用情况</w:t>
            </w:r>
          </w:p>
        </w:tc>
        <w:tc>
          <w:tcPr>
            <w:tcW w:w="2551" w:type="dxa"/>
            <w:vAlign w:val="center"/>
          </w:tcPr>
          <w:p>
            <w:pPr>
              <w:pStyle w:val="14"/>
            </w:pPr>
            <w:r>
              <w:t>对环境无影响</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≥80百分比</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区政府专题会议纪要【2019】23号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区政府专题会议纪要【2019】23号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11、港口工程建设项目初步设计、施工图文件进行第三方技术审查咨询工作经费绩效目标表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1.委托咨询单位评审。</w:t>
            </w:r>
          </w:p>
          <w:p>
            <w:pPr>
              <w:pStyle w:val="14"/>
            </w:pPr>
            <w:r>
              <w:t>2.出具评审报告</w:t>
            </w:r>
          </w:p>
          <w:p>
            <w:pPr>
              <w:pStyle w:val="14"/>
            </w:pPr>
            <w:r>
              <w:t>3.审查合格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2022年内完成</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保障工作正常开展</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保障工作正常开展</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保障工作正常开展</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≥80百分比</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≥80百分比</w:t>
            </w:r>
          </w:p>
        </w:tc>
        <w:tc>
          <w:tcPr>
            <w:tcW w:w="2268" w:type="dxa"/>
            <w:vAlign w:val="center"/>
          </w:tcPr>
          <w:p>
            <w:pPr>
              <w:pStyle w:val="14"/>
            </w:pPr>
            <w:r>
              <w:t>按照省交通厅、市海航局要求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≥80百分比</w:t>
            </w:r>
          </w:p>
        </w:tc>
        <w:tc>
          <w:tcPr>
            <w:tcW w:w="2268" w:type="dxa"/>
            <w:vAlign w:val="center"/>
          </w:tcPr>
          <w:p>
            <w:pPr>
              <w:pStyle w:val="14"/>
            </w:pPr>
            <w:r>
              <w:t>按照省交通厅、市海航局要求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12、港口企业诚信监督管理、服务质量评价体系和第三方评估机制建设经费绩效目标表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1.委托咨询单位评审</w:t>
            </w:r>
          </w:p>
          <w:p>
            <w:pPr>
              <w:pStyle w:val="14"/>
            </w:pPr>
            <w:r>
              <w:t>2.出具成果</w:t>
            </w:r>
          </w:p>
          <w:p>
            <w:pPr>
              <w:pStyle w:val="14"/>
            </w:pPr>
            <w:r>
              <w:t>3.验收合格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2022年内完成</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≥90百分比</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保障工作正常开展</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推进工作开展</w:t>
            </w:r>
          </w:p>
        </w:tc>
        <w:tc>
          <w:tcPr>
            <w:tcW w:w="2835" w:type="dxa"/>
            <w:vAlign w:val="center"/>
          </w:tcPr>
          <w:p>
            <w:pPr>
              <w:pStyle w:val="14"/>
            </w:pPr>
            <w:r>
              <w:t>推进工作开展</w:t>
            </w:r>
          </w:p>
        </w:tc>
        <w:tc>
          <w:tcPr>
            <w:tcW w:w="2551" w:type="dxa"/>
            <w:vAlign w:val="center"/>
          </w:tcPr>
          <w:p>
            <w:pPr>
              <w:pStyle w:val="14"/>
            </w:pPr>
            <w:r>
              <w:t>保障工作正常开展</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依据《港口企业诚信监督管理、服务质量评价体系和第三方评估机制建设项目政府采购合同》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≥95百分比</w:t>
            </w:r>
          </w:p>
        </w:tc>
        <w:tc>
          <w:tcPr>
            <w:tcW w:w="2268" w:type="dxa"/>
            <w:vAlign w:val="center"/>
          </w:tcPr>
          <w:p>
            <w:pPr>
              <w:pStyle w:val="14"/>
            </w:pPr>
            <w:r>
              <w:t>依据《港口企业诚信监督管理、服务质量评价体系和第三方评估机制建设项目政府采购合同》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13、港区环境整治经费绩效目标表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1.目前港口园区市政道路两侧存在大量弃土，需平整清除，且部分地面裸露，需定期苫盖。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≥100百分比</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≥100百分比</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w:t>
            </w:r>
          </w:p>
        </w:tc>
        <w:tc>
          <w:tcPr>
            <w:tcW w:w="2551" w:type="dxa"/>
            <w:vAlign w:val="center"/>
          </w:tcPr>
          <w:p>
            <w:pPr>
              <w:pStyle w:val="14"/>
            </w:pPr>
            <w:r>
              <w:t>2022年12月31日完成</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≥90百分比</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保障工作正常开展</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社会反响大</w:t>
            </w:r>
          </w:p>
        </w:tc>
        <w:tc>
          <w:tcPr>
            <w:tcW w:w="2835" w:type="dxa"/>
            <w:vAlign w:val="center"/>
          </w:tcPr>
          <w:p>
            <w:pPr>
              <w:pStyle w:val="14"/>
            </w:pPr>
            <w:r>
              <w:t>提升社会反响</w:t>
            </w:r>
          </w:p>
        </w:tc>
        <w:tc>
          <w:tcPr>
            <w:tcW w:w="2551" w:type="dxa"/>
            <w:vAlign w:val="center"/>
          </w:tcPr>
          <w:p>
            <w:pPr>
              <w:pStyle w:val="14"/>
            </w:pPr>
            <w:r>
              <w:t>提升社会反响</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≥95百分比</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区委常委会议纪要【2021】33号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区委常委会议纪要【2021】33号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14、重点铁路项目跑办经费绩效目标表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1.完成项目可研方案</w:t>
            </w:r>
          </w:p>
          <w:p>
            <w:pPr>
              <w:pStyle w:val="14"/>
            </w:pPr>
            <w:r>
              <w:t>2.将方案上报省市及北京铁路局</w:t>
            </w:r>
          </w:p>
          <w:p>
            <w:pPr>
              <w:pStyle w:val="14"/>
            </w:pPr>
            <w:r>
              <w:t>3.争取省市和北京铁路局和大力支持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 xml:space="preserve">≥100百分比 </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 xml:space="preserve">≥100百分比 </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全年</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 xml:space="preserve">≥100百分比 </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带动区域铁路客运和货运</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≥90提升铁路运输能力</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资源消耗</w:t>
            </w:r>
          </w:p>
        </w:tc>
        <w:tc>
          <w:tcPr>
            <w:tcW w:w="2835" w:type="dxa"/>
            <w:vAlign w:val="center"/>
          </w:tcPr>
          <w:p>
            <w:pPr>
              <w:pStyle w:val="14"/>
            </w:pPr>
            <w:r>
              <w:t>资源消耗</w:t>
            </w:r>
          </w:p>
        </w:tc>
        <w:tc>
          <w:tcPr>
            <w:tcW w:w="2551" w:type="dxa"/>
            <w:vAlign w:val="center"/>
          </w:tcPr>
          <w:p>
            <w:pPr>
              <w:pStyle w:val="14"/>
            </w:pPr>
            <w:r>
              <w:t>≥90减少空气污染</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促进全区经济额社会发展</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 xml:space="preserve">≥90百分比 </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 xml:space="preserve">≥90百分比 </w:t>
            </w:r>
          </w:p>
        </w:tc>
        <w:tc>
          <w:tcPr>
            <w:tcW w:w="2268" w:type="dxa"/>
            <w:vAlign w:val="center"/>
          </w:tcPr>
          <w:p>
            <w:pPr>
              <w:pStyle w:val="14"/>
            </w:pPr>
            <w:r>
              <w:t>《沿海经济带建设需要省级层面协调解决的重要事项清单进展情况》的报告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 xml:space="preserve">≥90百分比 </w:t>
            </w:r>
          </w:p>
        </w:tc>
        <w:tc>
          <w:tcPr>
            <w:tcW w:w="2268" w:type="dxa"/>
            <w:vAlign w:val="center"/>
          </w:tcPr>
          <w:p>
            <w:pPr>
              <w:pStyle w:val="14"/>
            </w:pPr>
            <w:r>
              <w:t>《沿海经济带建设需要省级层面协调解决的重要事项清单进展情况》的报告</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2022年，曹妃甸港口物流园区管理委员会本级安排政府采购预算0.00万元。具体内容见下表。</w:t>
      </w:r>
    </w:p>
    <w:p>
      <w:pPr>
        <w:keepNext w:val="0"/>
        <w:keepLines w:val="0"/>
        <w:pageBreakBefore w:val="0"/>
        <w:widowControl/>
        <w:kinsoku/>
        <w:wordWrap/>
        <w:overflowPunct/>
        <w:topLinePunct w:val="0"/>
        <w:autoSpaceDE/>
        <w:autoSpaceDN/>
        <w:bidi w:val="0"/>
        <w:adjustRightInd/>
        <w:snapToGrid/>
        <w:spacing w:line="560" w:lineRule="exact"/>
        <w:ind w:firstLine="5760" w:firstLineChars="1600"/>
        <w:jc w:val="both"/>
        <w:textAlignment w:val="auto"/>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804001曹妃甸港口物流园区管理委员会本级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政府采购项目来源</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采购物品名称</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政府采购目录序号</w:t>
            </w:r>
          </w:p>
        </w:tc>
        <w:tc>
          <w:tcPr>
            <w:tcW w:w="709"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计量  单位</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数量</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单价</w:t>
            </w:r>
          </w:p>
        </w:tc>
        <w:tc>
          <w:tcPr>
            <w:tcW w:w="7710" w:type="dxa"/>
            <w:gridSpan w:val="8"/>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政府采购金额（当年部门预算安排资金）</w:t>
            </w:r>
          </w:p>
        </w:tc>
        <w:tc>
          <w:tcPr>
            <w:tcW w:w="96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项目名称</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预算    资金</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709"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合计</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一般公共预算拨款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基金预算拨款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国有资本经营预算拨款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财政专户核拨</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单位    资金</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财政拨    款结转</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非财政    拨款结    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709"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p>
        </w:tc>
      </w:tr>
    </w:tbl>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曹妃甸港口物流园区管理委员会本级上年末固定资产金额为</w:t>
      </w:r>
      <w:r>
        <w:rPr>
          <w:rFonts w:hint="eastAsia" w:ascii="仿宋_GB2312" w:hAnsi="黑体" w:eastAsia="仿宋_GB2312" w:cs="Times New Roman"/>
          <w:sz w:val="32"/>
          <w:szCs w:val="32"/>
          <w:lang w:val="en-US" w:eastAsia="zh-CN"/>
        </w:rPr>
        <w:t>582.34</w:t>
      </w:r>
      <w:r>
        <w:rPr>
          <w:rFonts w:eastAsia="方正仿宋_GBK"/>
          <w:color w:val="000000"/>
          <w:sz w:val="28"/>
        </w:rPr>
        <w:t>万元（详见下表）</w:t>
      </w:r>
      <w:r>
        <w:rPr>
          <w:rFonts w:hint="eastAsia" w:eastAsia="方正仿宋_GBK"/>
          <w:color w:val="000000"/>
          <w:sz w:val="28"/>
          <w:lang w:eastAsia="zh-CN"/>
        </w:rPr>
        <w:t>，</w:t>
      </w:r>
      <w:r>
        <w:rPr>
          <w:rFonts w:hint="eastAsia" w:eastAsia="方正仿宋_GBK"/>
          <w:color w:val="000000"/>
          <w:sz w:val="28"/>
          <w:lang w:val="en-US" w:eastAsia="zh-CN"/>
        </w:rPr>
        <w:t>均为20万元以下设备</w:t>
      </w:r>
      <w:r>
        <w:rPr>
          <w:rFonts w:eastAsia="方正仿宋_GBK"/>
          <w:color w:val="000000"/>
          <w:sz w:val="28"/>
        </w:rPr>
        <w:t>。本年度拟购置固定资产总额为0.00万元。</w:t>
      </w:r>
    </w:p>
    <w:p>
      <w:pPr>
        <w:keepNext w:val="0"/>
        <w:keepLines w:val="0"/>
        <w:pageBreakBefore w:val="0"/>
        <w:widowControl/>
        <w:kinsoku/>
        <w:wordWrap/>
        <w:overflowPunct/>
        <w:topLinePunct w:val="0"/>
        <w:autoSpaceDE/>
        <w:autoSpaceDN/>
        <w:bidi w:val="0"/>
        <w:adjustRightInd/>
        <w:snapToGrid/>
        <w:spacing w:line="560" w:lineRule="exact"/>
        <w:ind w:firstLine="720" w:firstLineChars="200"/>
        <w:jc w:val="both"/>
        <w:textAlignment w:val="auto"/>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adjustRightInd/>
        <w:snapToGrid/>
        <w:spacing w:line="560" w:lineRule="exact"/>
        <w:ind w:firstLine="5400" w:firstLineChars="1500"/>
        <w:jc w:val="both"/>
        <w:textAlignment w:val="auto"/>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804001曹妃甸港口物流园区管理委员会本级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项   目</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数量</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22" w:firstLineChars="200"/>
              <w:jc w:val="both"/>
              <w:textAlignment w:val="auto"/>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eastAsia="方正书宋_GBK"/>
                <w:lang w:val="en-US" w:eastAsia="zh-CN"/>
              </w:rPr>
            </w:pPr>
            <w:r>
              <w:rPr>
                <w:rFonts w:hint="eastAsia"/>
                <w:lang w:val="en-US" w:eastAsia="zh-CN"/>
              </w:rPr>
              <w:t>固定、无形资产</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eastAsia="方正书宋_GBK"/>
                <w:lang w:val="en-US" w:eastAsia="zh-CN"/>
              </w:rPr>
            </w:pPr>
            <w:r>
              <w:rPr>
                <w:rFonts w:hint="eastAsia"/>
                <w:lang w:val="en-US" w:eastAsia="zh-CN"/>
              </w:rPr>
              <w:t>1342</w:t>
            </w:r>
          </w:p>
        </w:tc>
        <w:tc>
          <w:tcPr>
            <w:tcW w:w="2835"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黑体" w:eastAsia="仿宋_GB2312" w:cs="Times New Roman"/>
                <w:sz w:val="32"/>
                <w:szCs w:val="32"/>
                <w:lang w:val="en-US" w:eastAsia="zh-CN"/>
              </w:rPr>
              <w:t>582.34</w:t>
            </w:r>
          </w:p>
        </w:tc>
      </w:tr>
    </w:tbl>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w:t>
      </w:r>
      <w:bookmarkStart w:id="2" w:name="_GoBack"/>
      <w:bookmarkEnd w:id="2"/>
      <w:r>
        <w:rPr>
          <w:rFonts w:eastAsia="方正仿宋_GBK"/>
          <w:color w:val="000000"/>
          <w:sz w:val="28"/>
        </w:rPr>
        <w:t>”、“事业收入”等以外的收入。主要是按规定动用的租房收入、存款利息收入等。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WNkMjMwZjI0MjRjNWZhMjJlZmVhNGZkZGZhNzgifQ=="/>
  </w:docVars>
  <w:rsids>
    <w:rsidRoot w:val="009E226E"/>
    <w:rsid w:val="009E226E"/>
    <w:rsid w:val="00E75239"/>
    <w:rsid w:val="02A11E5C"/>
    <w:rsid w:val="04EF19DD"/>
    <w:rsid w:val="05385864"/>
    <w:rsid w:val="0B730E3D"/>
    <w:rsid w:val="0BD306D8"/>
    <w:rsid w:val="128E5CE1"/>
    <w:rsid w:val="13CE64B0"/>
    <w:rsid w:val="14FB46BE"/>
    <w:rsid w:val="1C6F773E"/>
    <w:rsid w:val="1F096272"/>
    <w:rsid w:val="1F802125"/>
    <w:rsid w:val="21CE5D71"/>
    <w:rsid w:val="22565ABF"/>
    <w:rsid w:val="23AF3907"/>
    <w:rsid w:val="251D75DF"/>
    <w:rsid w:val="265A2427"/>
    <w:rsid w:val="2ADF718E"/>
    <w:rsid w:val="2ED45368"/>
    <w:rsid w:val="36480DC7"/>
    <w:rsid w:val="3A271FF2"/>
    <w:rsid w:val="3B647AC7"/>
    <w:rsid w:val="3DF149CD"/>
    <w:rsid w:val="40D07A79"/>
    <w:rsid w:val="50832F9F"/>
    <w:rsid w:val="64F46813"/>
    <w:rsid w:val="68010330"/>
    <w:rsid w:val="688A102A"/>
    <w:rsid w:val="69431305"/>
    <w:rsid w:val="6A107548"/>
    <w:rsid w:val="6E666DF4"/>
    <w:rsid w:val="72FF6166"/>
    <w:rsid w:val="764B3C0D"/>
    <w:rsid w:val="7DB7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2022-06-21T15:30:16Z</dcterms:created>
  <dcterms:modified xsi:type="dcterms:W3CDTF">2022-06-21T07:30:16Z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2022-06-21T15:30:11Z</dcterms:created>
  <dcterms:modified xsi:type="dcterms:W3CDTF">2022-06-21T07:30:11Z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2022-06-21T15:29:46Z</dcterms:created>
  <dcterms:modified xsi:type="dcterms:W3CDTF">2022-06-21T07:29:46Z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2022-06-21T15:30:19Z</dcterms:created>
  <dcterms:modified xsi:type="dcterms:W3CDTF">2022-06-21T07:30:19Z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2022-06-21T15:30:25Z</dcterms:created>
  <dcterms:modified xsi:type="dcterms:W3CDTF">2022-06-21T07:30:25Z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2022-06-21T15:30:16Z</dcterms:created>
  <dcterms:modified xsi:type="dcterms:W3CDTF">2022-06-21T07:30:16Z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2022-06-21T15:30:11Z</dcterms:created>
  <dcterms:modified xsi:type="dcterms:W3CDTF">2022-06-21T07:30:11Z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2022-06-21T15:30:13Z</dcterms:created>
  <dcterms:modified xsi:type="dcterms:W3CDTF">2022-06-21T07:30:13Z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2022-06-21T15:30:23Z</dcterms:created>
  <dcterms:modified xsi:type="dcterms:W3CDTF">2022-06-21T07:30:23Z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2022-06-21T15:30:19Z</dcterms:created>
  <dcterms:modified xsi:type="dcterms:W3CDTF">2022-06-21T07:30:19Z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2022-06-21T15:30:15Z</dcterms:created>
  <dcterms:modified xsi:type="dcterms:W3CDTF">2022-06-21T07:30:15Z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2022-06-21T15:30:12Z</dcterms:created>
  <dcterms:modified xsi:type="dcterms:W3CDTF">2022-06-21T07:30:12Z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2022-06-21T15:30:22Z</dcterms:created>
  <dcterms:modified xsi:type="dcterms:W3CDTF">2022-06-21T07:30:22Z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2022-06-21T15:30:20Z</dcterms:created>
  <dcterms:modified xsi:type="dcterms:W3CDTF">2022-06-21T07:30:20Z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2022-06-21T15:30:24Z</dcterms:created>
  <dcterms:modified xsi:type="dcterms:W3CDTF">2022-06-21T07:30:24Z</dcterms:modified>
</cp:coreProperties>
</file>

<file path=customXml/itemProps1.xml><?xml version="1.0" encoding="utf-8"?>
<ds:datastoreItem xmlns:ds="http://schemas.openxmlformats.org/officeDocument/2006/customXml" ds:itemID="{CBFAA5A0-6A0E-4D24-A57E-B583B8844D3A}">
  <ds:schemaRefs/>
</ds:datastoreItem>
</file>

<file path=customXml/itemProps10.xml><?xml version="1.0" encoding="utf-8"?>
<ds:datastoreItem xmlns:ds="http://schemas.openxmlformats.org/officeDocument/2006/customXml" ds:itemID="{75517716-4D3A-44C8-A667-9706BBD4D922}">
  <ds:schemaRefs/>
</ds:datastoreItem>
</file>

<file path=customXml/itemProps11.xml><?xml version="1.0" encoding="utf-8"?>
<ds:datastoreItem xmlns:ds="http://schemas.openxmlformats.org/officeDocument/2006/customXml" ds:itemID="{18AD46C7-5A4C-4837-80C7-43394137F975}">
  <ds:schemaRefs/>
</ds:datastoreItem>
</file>

<file path=customXml/itemProps12.xml><?xml version="1.0" encoding="utf-8"?>
<ds:datastoreItem xmlns:ds="http://schemas.openxmlformats.org/officeDocument/2006/customXml" ds:itemID="{19BA35D8-59AC-416D-BF4C-E45905D39181}">
  <ds:schemaRefs/>
</ds:datastoreItem>
</file>

<file path=customXml/itemProps13.xml><?xml version="1.0" encoding="utf-8"?>
<ds:datastoreItem xmlns:ds="http://schemas.openxmlformats.org/officeDocument/2006/customXml" ds:itemID="{6A309762-DB55-4A5D-BFA1-525C296043D3}">
  <ds:schemaRefs/>
</ds:datastoreItem>
</file>

<file path=customXml/itemProps14.xml><?xml version="1.0" encoding="utf-8"?>
<ds:datastoreItem xmlns:ds="http://schemas.openxmlformats.org/officeDocument/2006/customXml" ds:itemID="{4F56CEE2-4905-4AE7-ACCB-310E4BD7ED10}">
  <ds:schemaRefs/>
</ds:datastoreItem>
</file>

<file path=customXml/itemProps15.xml><?xml version="1.0" encoding="utf-8"?>
<ds:datastoreItem xmlns:ds="http://schemas.openxmlformats.org/officeDocument/2006/customXml" ds:itemID="{42898468-37B4-4BBD-9111-BCF9DD391135}">
  <ds:schemaRefs/>
</ds:datastoreItem>
</file>

<file path=customXml/itemProps16.xml><?xml version="1.0" encoding="utf-8"?>
<ds:datastoreItem xmlns:ds="http://schemas.openxmlformats.org/officeDocument/2006/customXml" ds:itemID="{9900C3F1-C772-4B7C-BC94-AE1D39B2E13C}">
  <ds:schemaRefs/>
</ds:datastoreItem>
</file>

<file path=customXml/itemProps17.xml><?xml version="1.0" encoding="utf-8"?>
<ds:datastoreItem xmlns:ds="http://schemas.openxmlformats.org/officeDocument/2006/customXml" ds:itemID="{94E74825-DB1C-49A6-ABB7-3C1D5A8DF8E7}">
  <ds:schemaRefs/>
</ds:datastoreItem>
</file>

<file path=customXml/itemProps18.xml><?xml version="1.0" encoding="utf-8"?>
<ds:datastoreItem xmlns:ds="http://schemas.openxmlformats.org/officeDocument/2006/customXml" ds:itemID="{C4141360-5FDB-4F4C-816F-6658AEF797D0}">
  <ds:schemaRefs/>
</ds:datastoreItem>
</file>

<file path=customXml/itemProps19.xml><?xml version="1.0" encoding="utf-8"?>
<ds:datastoreItem xmlns:ds="http://schemas.openxmlformats.org/officeDocument/2006/customXml" ds:itemID="{C2BE0E37-3C00-4C95-87BB-023DE84CA27C}">
  <ds:schemaRefs/>
</ds:datastoreItem>
</file>

<file path=customXml/itemProps2.xml><?xml version="1.0" encoding="utf-8"?>
<ds:datastoreItem xmlns:ds="http://schemas.openxmlformats.org/officeDocument/2006/customXml" ds:itemID="{CF803E71-7C70-49B5-AF07-16489CE6D570}">
  <ds:schemaRefs/>
</ds:datastoreItem>
</file>

<file path=customXml/itemProps20.xml><?xml version="1.0" encoding="utf-8"?>
<ds:datastoreItem xmlns:ds="http://schemas.openxmlformats.org/officeDocument/2006/customXml" ds:itemID="{A8768B83-8B7F-46F3-82EA-D2AA5A968F05}">
  <ds:schemaRefs/>
</ds:datastoreItem>
</file>

<file path=customXml/itemProps21.xml><?xml version="1.0" encoding="utf-8"?>
<ds:datastoreItem xmlns:ds="http://schemas.openxmlformats.org/officeDocument/2006/customXml" ds:itemID="{3DEEDDE9-F0D6-48AA-9908-2299189D9097}">
  <ds:schemaRefs/>
</ds:datastoreItem>
</file>

<file path=customXml/itemProps22.xml><?xml version="1.0" encoding="utf-8"?>
<ds:datastoreItem xmlns:ds="http://schemas.openxmlformats.org/officeDocument/2006/customXml" ds:itemID="{01A49E41-A1D0-428C-917E-554F0529027B}">
  <ds:schemaRefs/>
</ds:datastoreItem>
</file>

<file path=customXml/itemProps23.xml><?xml version="1.0" encoding="utf-8"?>
<ds:datastoreItem xmlns:ds="http://schemas.openxmlformats.org/officeDocument/2006/customXml" ds:itemID="{51915DAC-18C0-4260-B8BA-CF3DC59DC376}">
  <ds:schemaRefs/>
</ds:datastoreItem>
</file>

<file path=customXml/itemProps24.xml><?xml version="1.0" encoding="utf-8"?>
<ds:datastoreItem xmlns:ds="http://schemas.openxmlformats.org/officeDocument/2006/customXml" ds:itemID="{09D1B68B-C09F-4A95-B974-0E451BB747D0}">
  <ds:schemaRefs/>
</ds:datastoreItem>
</file>

<file path=customXml/itemProps25.xml><?xml version="1.0" encoding="utf-8"?>
<ds:datastoreItem xmlns:ds="http://schemas.openxmlformats.org/officeDocument/2006/customXml" ds:itemID="{B400FD07-BBAC-463D-B9C3-EAA9463F1670}">
  <ds:schemaRefs/>
</ds:datastoreItem>
</file>

<file path=customXml/itemProps26.xml><?xml version="1.0" encoding="utf-8"?>
<ds:datastoreItem xmlns:ds="http://schemas.openxmlformats.org/officeDocument/2006/customXml" ds:itemID="{3966264C-1EBB-4DC9-A8FA-5895CFA0601B}">
  <ds:schemaRefs/>
</ds:datastoreItem>
</file>

<file path=customXml/itemProps27.xml><?xml version="1.0" encoding="utf-8"?>
<ds:datastoreItem xmlns:ds="http://schemas.openxmlformats.org/officeDocument/2006/customXml" ds:itemID="{E529594A-F900-420B-B49E-4CB54B052BDE}">
  <ds:schemaRefs/>
</ds:datastoreItem>
</file>

<file path=customXml/itemProps28.xml><?xml version="1.0" encoding="utf-8"?>
<ds:datastoreItem xmlns:ds="http://schemas.openxmlformats.org/officeDocument/2006/customXml" ds:itemID="{E6FD20DC-C8B3-4AC7-9717-FC53ADFD5B1C}">
  <ds:schemaRefs/>
</ds:datastoreItem>
</file>

<file path=customXml/itemProps29.xml><?xml version="1.0" encoding="utf-8"?>
<ds:datastoreItem xmlns:ds="http://schemas.openxmlformats.org/officeDocument/2006/customXml" ds:itemID="{8A0B62E8-A36D-4ABF-8229-F55C7CF9C155}">
  <ds:schemaRefs/>
</ds:datastoreItem>
</file>

<file path=customXml/itemProps3.xml><?xml version="1.0" encoding="utf-8"?>
<ds:datastoreItem xmlns:ds="http://schemas.openxmlformats.org/officeDocument/2006/customXml" ds:itemID="{F868F58D-62A7-4C6C-9946-838C934E7DF5}">
  <ds:schemaRefs/>
</ds:datastoreItem>
</file>

<file path=customXml/itemProps30.xml><?xml version="1.0" encoding="utf-8"?>
<ds:datastoreItem xmlns:ds="http://schemas.openxmlformats.org/officeDocument/2006/customXml" ds:itemID="{01431292-BB16-4B75-B7BE-F63508B63AB6}">
  <ds:schemaRefs/>
</ds:datastoreItem>
</file>

<file path=customXml/itemProps31.xml><?xml version="1.0" encoding="utf-8"?>
<ds:datastoreItem xmlns:ds="http://schemas.openxmlformats.org/officeDocument/2006/customXml" ds:itemID="{CBC9B639-2C84-4BAD-80C5-972C5E6257A1}">
  <ds:schemaRefs/>
</ds:datastoreItem>
</file>

<file path=customXml/itemProps32.xml><?xml version="1.0" encoding="utf-8"?>
<ds:datastoreItem xmlns:ds="http://schemas.openxmlformats.org/officeDocument/2006/customXml" ds:itemID="{90C603F4-556A-43FE-92C8-C7D4C6C006CF}">
  <ds:schemaRefs/>
</ds:datastoreItem>
</file>

<file path=customXml/itemProps33.xml><?xml version="1.0" encoding="utf-8"?>
<ds:datastoreItem xmlns:ds="http://schemas.openxmlformats.org/officeDocument/2006/customXml" ds:itemID="{5CAD0DDD-353E-4DCD-A1FA-1B18D5E10450}">
  <ds:schemaRefs/>
</ds:datastoreItem>
</file>

<file path=customXml/itemProps34.xml><?xml version="1.0" encoding="utf-8"?>
<ds:datastoreItem xmlns:ds="http://schemas.openxmlformats.org/officeDocument/2006/customXml" ds:itemID="{33F0E46F-E1BC-4FB8-BADF-104749AD43CA}">
  <ds:schemaRefs/>
</ds:datastoreItem>
</file>

<file path=customXml/itemProps35.xml><?xml version="1.0" encoding="utf-8"?>
<ds:datastoreItem xmlns:ds="http://schemas.openxmlformats.org/officeDocument/2006/customXml" ds:itemID="{CD66BEDA-D783-4D5E-85CB-7D51440DFA23}">
  <ds:schemaRefs/>
</ds:datastoreItem>
</file>

<file path=customXml/itemProps36.xml><?xml version="1.0" encoding="utf-8"?>
<ds:datastoreItem xmlns:ds="http://schemas.openxmlformats.org/officeDocument/2006/customXml" ds:itemID="{32C37F17-19FA-4345-91B0-8E4A7997833F}">
  <ds:schemaRefs/>
</ds:datastoreItem>
</file>

<file path=customXml/itemProps37.xml><?xml version="1.0" encoding="utf-8"?>
<ds:datastoreItem xmlns:ds="http://schemas.openxmlformats.org/officeDocument/2006/customXml" ds:itemID="{676EC54A-76A5-48CE-B928-C1B8962E9966}">
  <ds:schemaRefs/>
</ds:datastoreItem>
</file>

<file path=customXml/itemProps38.xml><?xml version="1.0" encoding="utf-8"?>
<ds:datastoreItem xmlns:ds="http://schemas.openxmlformats.org/officeDocument/2006/customXml" ds:itemID="{A62EC395-A845-4568-817D-761D0503BC93}">
  <ds:schemaRefs/>
</ds:datastoreItem>
</file>

<file path=customXml/itemProps39.xml><?xml version="1.0" encoding="utf-8"?>
<ds:datastoreItem xmlns:ds="http://schemas.openxmlformats.org/officeDocument/2006/customXml" ds:itemID="{2E297309-0F46-4D3A-92C5-1B88B06FC64E}">
  <ds:schemaRefs/>
</ds:datastoreItem>
</file>

<file path=customXml/itemProps4.xml><?xml version="1.0" encoding="utf-8"?>
<ds:datastoreItem xmlns:ds="http://schemas.openxmlformats.org/officeDocument/2006/customXml" ds:itemID="{4DD4D7B5-8AB5-43C3-AB1F-FB5723B82BDC}">
  <ds:schemaRefs/>
</ds:datastoreItem>
</file>

<file path=customXml/itemProps40.xml><?xml version="1.0" encoding="utf-8"?>
<ds:datastoreItem xmlns:ds="http://schemas.openxmlformats.org/officeDocument/2006/customXml" ds:itemID="{0055EA1E-D7E8-4DE6-8954-B3689D69EC23}">
  <ds:schemaRefs/>
</ds:datastoreItem>
</file>

<file path=customXml/itemProps41.xml><?xml version="1.0" encoding="utf-8"?>
<ds:datastoreItem xmlns:ds="http://schemas.openxmlformats.org/officeDocument/2006/customXml" ds:itemID="{FD330778-9BE4-421D-A26B-29887308D6D8}">
  <ds:schemaRefs/>
</ds:datastoreItem>
</file>

<file path=customXml/itemProps42.xml><?xml version="1.0" encoding="utf-8"?>
<ds:datastoreItem xmlns:ds="http://schemas.openxmlformats.org/officeDocument/2006/customXml" ds:itemID="{23AFDC7E-CF81-42DA-B377-57AB9AACD281}">
  <ds:schemaRefs/>
</ds:datastoreItem>
</file>

<file path=customXml/itemProps43.xml><?xml version="1.0" encoding="utf-8"?>
<ds:datastoreItem xmlns:ds="http://schemas.openxmlformats.org/officeDocument/2006/customXml" ds:itemID="{121DB7E4-B92F-47AC-B5DA-57510A90EC07}">
  <ds:schemaRefs/>
</ds:datastoreItem>
</file>

<file path=customXml/itemProps44.xml><?xml version="1.0" encoding="utf-8"?>
<ds:datastoreItem xmlns:ds="http://schemas.openxmlformats.org/officeDocument/2006/customXml" ds:itemID="{94A5CAD8-AB44-42C6-BE60-D1E106B4471D}">
  <ds:schemaRefs/>
</ds:datastoreItem>
</file>

<file path=customXml/itemProps45.xml><?xml version="1.0" encoding="utf-8"?>
<ds:datastoreItem xmlns:ds="http://schemas.openxmlformats.org/officeDocument/2006/customXml" ds:itemID="{63BBB9AB-F1C8-4358-9A26-50B47F149B38}">
  <ds:schemaRefs/>
</ds:datastoreItem>
</file>

<file path=customXml/itemProps46.xml><?xml version="1.0" encoding="utf-8"?>
<ds:datastoreItem xmlns:ds="http://schemas.openxmlformats.org/officeDocument/2006/customXml" ds:itemID="{773281A2-4A2B-48F2-A77E-BD7C4FAB87A0}">
  <ds:schemaRefs/>
</ds:datastoreItem>
</file>

<file path=customXml/itemProps47.xml><?xml version="1.0" encoding="utf-8"?>
<ds:datastoreItem xmlns:ds="http://schemas.openxmlformats.org/officeDocument/2006/customXml" ds:itemID="{4F73FE9D-CCC7-460A-BD36-CC58E3F76F21}">
  <ds:schemaRefs/>
</ds:datastoreItem>
</file>

<file path=customXml/itemProps48.xml><?xml version="1.0" encoding="utf-8"?>
<ds:datastoreItem xmlns:ds="http://schemas.openxmlformats.org/officeDocument/2006/customXml" ds:itemID="{F03917C2-F020-4E92-80A0-C74881D20374}">
  <ds:schemaRefs/>
</ds:datastoreItem>
</file>

<file path=customXml/itemProps49.xml><?xml version="1.0" encoding="utf-8"?>
<ds:datastoreItem xmlns:ds="http://schemas.openxmlformats.org/officeDocument/2006/customXml" ds:itemID="{E8B52933-4302-4587-946F-3543E30F07C2}">
  <ds:schemaRefs/>
</ds:datastoreItem>
</file>

<file path=customXml/itemProps5.xml><?xml version="1.0" encoding="utf-8"?>
<ds:datastoreItem xmlns:ds="http://schemas.openxmlformats.org/officeDocument/2006/customXml" ds:itemID="{3B2017B2-419D-4250-B933-642246D7C14E}">
  <ds:schemaRefs/>
</ds:datastoreItem>
</file>

<file path=customXml/itemProps50.xml><?xml version="1.0" encoding="utf-8"?>
<ds:datastoreItem xmlns:ds="http://schemas.openxmlformats.org/officeDocument/2006/customXml" ds:itemID="{1813CE37-5D83-4FD8-B060-FB825662113D}">
  <ds:schemaRefs/>
</ds:datastoreItem>
</file>

<file path=customXml/itemProps51.xml><?xml version="1.0" encoding="utf-8"?>
<ds:datastoreItem xmlns:ds="http://schemas.openxmlformats.org/officeDocument/2006/customXml" ds:itemID="{81604EF4-B324-45F2-B3B7-C0560DAF9EF1}">
  <ds:schemaRefs/>
</ds:datastoreItem>
</file>

<file path=customXml/itemProps52.xml><?xml version="1.0" encoding="utf-8"?>
<ds:datastoreItem xmlns:ds="http://schemas.openxmlformats.org/officeDocument/2006/customXml" ds:itemID="{4EC0C81F-A294-4E9B-BBCA-BE152D4F1F69}">
  <ds:schemaRefs/>
</ds:datastoreItem>
</file>

<file path=customXml/itemProps53.xml><?xml version="1.0" encoding="utf-8"?>
<ds:datastoreItem xmlns:ds="http://schemas.openxmlformats.org/officeDocument/2006/customXml" ds:itemID="{05AD6078-4D53-44AD-93D2-A64CC5C2BE3D}">
  <ds:schemaRefs/>
</ds:datastoreItem>
</file>

<file path=customXml/itemProps54.xml><?xml version="1.0" encoding="utf-8"?>
<ds:datastoreItem xmlns:ds="http://schemas.openxmlformats.org/officeDocument/2006/customXml" ds:itemID="{F7E27105-AB9D-458A-A60B-5E30D421FC47}">
  <ds:schemaRefs/>
</ds:datastoreItem>
</file>

<file path=customXml/itemProps55.xml><?xml version="1.0" encoding="utf-8"?>
<ds:datastoreItem xmlns:ds="http://schemas.openxmlformats.org/officeDocument/2006/customXml" ds:itemID="{291B4B44-9C5D-4288-AC77-0887A5B3299D}">
  <ds:schemaRefs/>
</ds:datastoreItem>
</file>

<file path=customXml/itemProps56.xml><?xml version="1.0" encoding="utf-8"?>
<ds:datastoreItem xmlns:ds="http://schemas.openxmlformats.org/officeDocument/2006/customXml" ds:itemID="{F8ECDD9C-D225-4C02-B68C-2D23F168560F}">
  <ds:schemaRefs/>
</ds:datastoreItem>
</file>

<file path=customXml/itemProps57.xml><?xml version="1.0" encoding="utf-8"?>
<ds:datastoreItem xmlns:ds="http://schemas.openxmlformats.org/officeDocument/2006/customXml" ds:itemID="{B4D6343E-E331-481F-87F5-C96904249419}">
  <ds:schemaRefs/>
</ds:datastoreItem>
</file>

<file path=customXml/itemProps58.xml><?xml version="1.0" encoding="utf-8"?>
<ds:datastoreItem xmlns:ds="http://schemas.openxmlformats.org/officeDocument/2006/customXml" ds:itemID="{33EC08C9-DA7C-4EB6-8C63-88FD0693DE33}">
  <ds:schemaRefs/>
</ds:datastoreItem>
</file>

<file path=customXml/itemProps59.xml><?xml version="1.0" encoding="utf-8"?>
<ds:datastoreItem xmlns:ds="http://schemas.openxmlformats.org/officeDocument/2006/customXml" ds:itemID="{BFBFA47C-F9FF-44DD-A939-0DA819CBCAC7}">
  <ds:schemaRefs/>
</ds:datastoreItem>
</file>

<file path=customXml/itemProps6.xml><?xml version="1.0" encoding="utf-8"?>
<ds:datastoreItem xmlns:ds="http://schemas.openxmlformats.org/officeDocument/2006/customXml" ds:itemID="{CE9FDE0F-1E88-4E4E-AEF4-55FFA57D61E3}">
  <ds:schemaRefs/>
</ds:datastoreItem>
</file>

<file path=customXml/itemProps60.xml><?xml version="1.0" encoding="utf-8"?>
<ds:datastoreItem xmlns:ds="http://schemas.openxmlformats.org/officeDocument/2006/customXml" ds:itemID="{B1DEE50A-1441-4858-A10E-3903245E0375}">
  <ds:schemaRefs/>
</ds:datastoreItem>
</file>

<file path=customXml/itemProps61.xml><?xml version="1.0" encoding="utf-8"?>
<ds:datastoreItem xmlns:ds="http://schemas.openxmlformats.org/officeDocument/2006/customXml" ds:itemID="{8B9EF9E2-D8E7-4D5F-8FED-A71DD535EEDD}">
  <ds:schemaRefs/>
</ds:datastoreItem>
</file>

<file path=customXml/itemProps62.xml><?xml version="1.0" encoding="utf-8"?>
<ds:datastoreItem xmlns:ds="http://schemas.openxmlformats.org/officeDocument/2006/customXml" ds:itemID="{A4BADEF6-669E-40A3-9164-2E7B3ACA0AFB}">
  <ds:schemaRefs/>
</ds:datastoreItem>
</file>

<file path=customXml/itemProps63.xml><?xml version="1.0" encoding="utf-8"?>
<ds:datastoreItem xmlns:ds="http://schemas.openxmlformats.org/officeDocument/2006/customXml" ds:itemID="{BECFB73C-06D2-442C-862F-92F7CA53CF74}">
  <ds:schemaRefs/>
</ds:datastoreItem>
</file>

<file path=customXml/itemProps64.xml><?xml version="1.0" encoding="utf-8"?>
<ds:datastoreItem xmlns:ds="http://schemas.openxmlformats.org/officeDocument/2006/customXml" ds:itemID="{74A4C63B-4BCD-45E3-BA8D-2BCF255D754B}">
  <ds:schemaRefs/>
</ds:datastoreItem>
</file>

<file path=customXml/itemProps65.xml><?xml version="1.0" encoding="utf-8"?>
<ds:datastoreItem xmlns:ds="http://schemas.openxmlformats.org/officeDocument/2006/customXml" ds:itemID="{63E7EA7F-7611-4FA0-95B9-F469F015D07A}">
  <ds:schemaRefs/>
</ds:datastoreItem>
</file>

<file path=customXml/itemProps66.xml><?xml version="1.0" encoding="utf-8"?>
<ds:datastoreItem xmlns:ds="http://schemas.openxmlformats.org/officeDocument/2006/customXml" ds:itemID="{8A4D364F-62D4-44D3-9F28-0912B051CE68}">
  <ds:schemaRefs/>
</ds:datastoreItem>
</file>

<file path=customXml/itemProps7.xml><?xml version="1.0" encoding="utf-8"?>
<ds:datastoreItem xmlns:ds="http://schemas.openxmlformats.org/officeDocument/2006/customXml" ds:itemID="{21348E47-0A73-40C1-BE28-E4A7B8B45297}">
  <ds:schemaRefs/>
</ds:datastoreItem>
</file>

<file path=customXml/itemProps8.xml><?xml version="1.0" encoding="utf-8"?>
<ds:datastoreItem xmlns:ds="http://schemas.openxmlformats.org/officeDocument/2006/customXml" ds:itemID="{1CB788C3-36C0-40B4-955E-E84C07856A9A}">
  <ds:schemaRefs/>
</ds:datastoreItem>
</file>

<file path=customXml/itemProps9.xml><?xml version="1.0" encoding="utf-8"?>
<ds:datastoreItem xmlns:ds="http://schemas.openxmlformats.org/officeDocument/2006/customXml" ds:itemID="{62985ABB-15A7-4C42-A573-E79F996E79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14093</Words>
  <Characters>16779</Characters>
  <Lines>277</Lines>
  <Paragraphs>78</Paragraphs>
  <TotalTime>4</TotalTime>
  <ScaleCrop>false</ScaleCrop>
  <LinksUpToDate>false</LinksUpToDate>
  <CharactersWithSpaces>16950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2022-06-21T07:33:00Z</dcterms:created>
  <dc:creator>Administrator</dc:creator>
  <cp:lastModifiedBy>浵華</cp:lastModifiedBy>
  <dcterms:modified xsi:type="dcterms:W3CDTF">2022-09-23T07:32:10Z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7E80748BBF20464D9DA6A708FFB48EC7</vt:lpwstr>
  </property>
</Properties>
</file>