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唐山市曹妃甸港口物流园区管理委员会</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lang w:val="en-US" w:eastAsia="zh-CN"/>
        </w:rPr>
        <w:t>22</w:t>
      </w:r>
      <w:r>
        <w:rPr>
          <w:rFonts w:ascii="Times New Roman" w:hAnsi="Times New Roman" w:eastAsia="方正小标宋_GBK" w:cs="Times New Roman"/>
          <w:sz w:val="44"/>
          <w:szCs w:val="44"/>
        </w:rPr>
        <w:t>年部门预算信息公开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w:t>
      </w:r>
      <w:r>
        <w:rPr>
          <w:rFonts w:hint="eastAsia" w:ascii="仿宋" w:hAnsi="仿宋" w:eastAsia="仿宋" w:cs="仿宋"/>
          <w:sz w:val="32"/>
          <w:szCs w:val="32"/>
          <w:lang w:eastAsia="zh-CN"/>
        </w:rPr>
        <w:t>河北省预决算公开操作规程实施细则</w:t>
      </w:r>
      <w:r>
        <w:rPr>
          <w:rFonts w:hint="eastAsia" w:ascii="仿宋" w:hAnsi="仿宋" w:eastAsia="仿宋" w:cs="仿宋"/>
          <w:sz w:val="32"/>
          <w:szCs w:val="32"/>
        </w:rPr>
        <w:t>》规定，现将</w:t>
      </w:r>
      <w:r>
        <w:rPr>
          <w:rFonts w:hint="eastAsia" w:ascii="仿宋" w:hAnsi="仿宋" w:eastAsia="仿宋" w:cs="仿宋"/>
          <w:sz w:val="32"/>
          <w:szCs w:val="32"/>
          <w:lang w:eastAsia="zh-CN"/>
        </w:rPr>
        <w:t>曹妃甸港口物流园区管理委员会</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年部门预算公开如下：</w:t>
      </w:r>
    </w:p>
    <w:p>
      <w:pPr>
        <w:numPr>
          <w:ilvl w:val="0"/>
          <w:numId w:val="1"/>
        </w:numPr>
        <w:ind w:firstLine="640"/>
        <w:rPr>
          <w:rFonts w:hint="eastAsia" w:ascii="黑体" w:hAnsi="黑体" w:eastAsia="黑体" w:cs="Times New Roman"/>
          <w:sz w:val="32"/>
          <w:szCs w:val="32"/>
        </w:rPr>
      </w:pPr>
      <w:r>
        <w:rPr>
          <w:rFonts w:hint="eastAsia" w:ascii="黑体" w:hAnsi="黑体" w:eastAsia="黑体" w:cs="Times New Roman"/>
          <w:sz w:val="32"/>
          <w:szCs w:val="32"/>
        </w:rPr>
        <w:t>部门职责及机构设置情况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b/>
          <w:sz w:val="32"/>
          <w:szCs w:val="32"/>
          <w:lang w:val="en-US" w:eastAsia="zh-CN"/>
        </w:rPr>
        <w:t xml:space="preserve">   </w:t>
      </w: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仿宋_GB2312" w:hAnsi="仿宋_GB2312" w:eastAsia="仿宋_GB2312" w:cs="仿宋_GB2312"/>
          <w:sz w:val="32"/>
          <w:szCs w:val="32"/>
          <w:lang w:val="en-US" w:eastAsia="zh-CN"/>
        </w:rPr>
        <w:t>港口物流园区管理委员会对辖区行使管理、监督、协调、服务职能。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港口物流产业的培育与协调联系行业管理；负责协助有关部门做好辖区港口及相关设施的建设与管理；负责协助有关部门做好港航管理工作；负责辖区财务管理、国有资产管理和财务监督工作；负责辖区安全生产监督、管理；负责协调辖区内上级有关部门派驻机构的工作；负责唐山市曹妃甸区政府交办的其他事项。</w:t>
      </w:r>
    </w:p>
    <w:p>
      <w:pPr>
        <w:numPr>
          <w:ilvl w:val="0"/>
          <w:numId w:val="0"/>
        </w:numPr>
        <w:rPr>
          <w:rFonts w:hint="eastAsia" w:ascii="仿宋" w:hAnsi="仿宋" w:eastAsia="仿宋" w:cs="仿宋"/>
          <w:color w:val="000000"/>
          <w:sz w:val="30"/>
          <w:szCs w:val="30"/>
        </w:rPr>
      </w:pPr>
    </w:p>
    <w:p>
      <w:pPr>
        <w:autoSpaceDE w:val="0"/>
        <w:autoSpaceDN w:val="0"/>
        <w:adjustRightInd w:val="0"/>
        <w:ind w:firstLine="964" w:firstLineChars="3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tbl>
      <w:tblPr>
        <w:tblStyle w:val="9"/>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0"/>
        <w:gridCol w:w="3026"/>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0"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单位名称</w:t>
            </w:r>
          </w:p>
        </w:tc>
        <w:tc>
          <w:tcPr>
            <w:tcW w:w="3026"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单位性质</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单位规格</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060"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曹妃甸港口物流园区管理委员会-设综合办公室（经济发展局）和建设和环境管理局</w:t>
            </w:r>
          </w:p>
        </w:tc>
        <w:tc>
          <w:tcPr>
            <w:tcW w:w="3026" w:type="dxa"/>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3544" w:type="dxa"/>
            <w:vAlign w:val="center"/>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正处级</w:t>
            </w:r>
          </w:p>
        </w:tc>
        <w:tc>
          <w:tcPr>
            <w:tcW w:w="3544" w:type="dxa"/>
            <w:vAlign w:val="center"/>
          </w:tcPr>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060"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曹妃甸港口物流园区管理委员会- 港航服务中心</w:t>
            </w:r>
          </w:p>
        </w:tc>
        <w:tc>
          <w:tcPr>
            <w:tcW w:w="3026" w:type="dxa"/>
            <w:vAlign w:val="center"/>
          </w:tcPr>
          <w:p>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全额事业</w:t>
            </w:r>
          </w:p>
        </w:tc>
        <w:tc>
          <w:tcPr>
            <w:tcW w:w="3544" w:type="dxa"/>
            <w:vAlign w:val="center"/>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vAlign w:val="center"/>
          </w:tcPr>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0" w:type="dxa"/>
            <w:vAlign w:val="top"/>
          </w:tcPr>
          <w:p>
            <w:pPr>
              <w:jc w:val="both"/>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曹妃甸港口物流园区管理委员会-投资贸易促进中心</w:t>
            </w:r>
          </w:p>
        </w:tc>
        <w:tc>
          <w:tcPr>
            <w:tcW w:w="3026" w:type="dxa"/>
            <w:vAlign w:val="center"/>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全额</w:t>
            </w:r>
            <w:r>
              <w:rPr>
                <w:rFonts w:hint="eastAsia" w:ascii="仿宋_GB2312" w:hAnsi="仿宋_GB2312" w:eastAsia="仿宋_GB2312" w:cs="仿宋_GB2312"/>
                <w:sz w:val="32"/>
                <w:szCs w:val="32"/>
              </w:rPr>
              <w:t>事业</w:t>
            </w:r>
          </w:p>
        </w:tc>
        <w:tc>
          <w:tcPr>
            <w:tcW w:w="3544" w:type="dxa"/>
            <w:vAlign w:val="center"/>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vAlign w:val="center"/>
          </w:tcPr>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4060" w:type="dxa"/>
            <w:vAlign w:val="top"/>
          </w:tcPr>
          <w:p>
            <w:pPr>
              <w:jc w:val="both"/>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曹妃甸港口物流园区管理委员会-安全生产监督管理执法大队</w:t>
            </w:r>
          </w:p>
        </w:tc>
        <w:tc>
          <w:tcPr>
            <w:tcW w:w="3026" w:type="dxa"/>
            <w:vAlign w:val="center"/>
          </w:tcPr>
          <w:p>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全额事业</w:t>
            </w:r>
          </w:p>
        </w:tc>
        <w:tc>
          <w:tcPr>
            <w:tcW w:w="3544" w:type="dxa"/>
            <w:vAlign w:val="center"/>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vAlign w:val="center"/>
          </w:tcPr>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bl>
    <w:p>
      <w:pPr>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二、部门预算安排的总体情况</w:t>
      </w:r>
    </w:p>
    <w:p>
      <w:pPr>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本部门当年全部收入，2022年预算收入2248.10万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一般公共</w:t>
      </w:r>
      <w:r>
        <w:rPr>
          <w:rFonts w:hint="eastAsia" w:ascii="仿宋_GB2312" w:hAnsi="仿宋_GB2312" w:eastAsia="仿宋_GB2312" w:cs="仿宋_GB2312"/>
          <w:sz w:val="32"/>
          <w:szCs w:val="32"/>
          <w:lang w:val="en-US" w:eastAsia="zh-CN"/>
        </w:rPr>
        <w:t>预算收入2248.10万元，基金预算收入0万元，财政专户核拨收入0万元，其他来源收入0万元。</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收支预算总表支出栏、基本支出表、项目支出表按经济分类和支出功能分类科目编制，反映曹妃甸港口物流园区管理委员会年度部门预算中支出预算的总体情况。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部门支出</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为2248.10万元，其中基本支出753.25万元，包括人员经费712.38万元和公用经费40.87万元；项目支出1494.85万元，全部为本级支出。</w:t>
      </w:r>
    </w:p>
    <w:p>
      <w:pPr>
        <w:numPr>
          <w:ilvl w:val="0"/>
          <w:numId w:val="2"/>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2022年部门预算</w:t>
      </w:r>
      <w:r>
        <w:rPr>
          <w:rFonts w:hint="eastAsia" w:ascii="仿宋_GB2312" w:hAnsi="仿宋_GB2312" w:eastAsia="仿宋_GB2312" w:cs="仿宋_GB2312"/>
          <w:sz w:val="32"/>
          <w:szCs w:val="32"/>
          <w:lang w:eastAsia="zh-CN"/>
        </w:rPr>
        <w:t>收支安</w:t>
      </w:r>
      <w:r>
        <w:rPr>
          <w:rFonts w:hint="eastAsia" w:ascii="仿宋_GB2312" w:hAnsi="仿宋_GB2312" w:eastAsia="仿宋_GB2312" w:cs="仿宋_GB2312"/>
          <w:sz w:val="32"/>
          <w:szCs w:val="32"/>
          <w:lang w:val="en-US" w:eastAsia="zh-CN"/>
        </w:rPr>
        <w:t>排2248.10万元，较2021年减少1010.73万元，其中：基本支出增加95.53万元，主要是人员工资调整使基本支出经费增加；项目支出减少1106.26万元，主要原因是疫情影响，财政经费压减，并且比往年减少了十四五规划编制经费、铁路规划编制专项经费、海巡船艇运行维护费、打击走私经费、视频监控经费等已完成的业务经费，所以我园区总体2022年预算经费对比2021年减少。</w:t>
      </w:r>
    </w:p>
    <w:p>
      <w:pPr>
        <w:numPr>
          <w:ilvl w:val="0"/>
          <w:numId w:val="3"/>
        </w:numPr>
        <w:autoSpaceDE w:val="0"/>
        <w:autoSpaceDN w:val="0"/>
        <w:adjustRightInd w:val="0"/>
        <w:ind w:firstLine="640" w:firstLineChars="20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机关运行经费安排情况</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40.87</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保证机关正常运转的办公及印刷费、邮电费、差旅费、培训费、会议费、福利费、一般设备购置费、日常维修费、办公楼物业管理费、公务车运行维护费等支出</w:t>
      </w:r>
      <w:r>
        <w:rPr>
          <w:rFonts w:hint="eastAsia" w:ascii="仿宋_GB2312" w:hAnsi="仿宋_GB2312" w:eastAsia="仿宋_GB2312" w:cs="仿宋_GB2312"/>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rPr>
        <w:t>财政拨款“三公”经费预算安排</w:t>
      </w:r>
      <w:r>
        <w:rPr>
          <w:rFonts w:hint="eastAsia" w:ascii="仿宋_GB2312" w:hAnsi="仿宋_GB2312" w:eastAsia="仿宋_GB2312" w:cs="仿宋_GB2312"/>
          <w:b w:val="0"/>
          <w:i w:val="0"/>
          <w:caps w:val="0"/>
          <w:color w:val="010000"/>
          <w:spacing w:val="0"/>
          <w:sz w:val="32"/>
          <w:szCs w:val="32"/>
          <w:shd w:val="clear" w:fill="FFFFFF"/>
          <w:lang w:val="en-US" w:eastAsia="zh-CN"/>
        </w:rPr>
        <w:t>20.05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lang w:val="en-US" w:eastAsia="zh-CN"/>
        </w:rPr>
        <w:t>2021年减少48.36万元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2022年“三公经费”</w:t>
      </w:r>
      <w:r>
        <w:rPr>
          <w:rFonts w:hint="eastAsia" w:ascii="仿宋_GB2312" w:hAnsi="仿宋_GB2312" w:eastAsia="仿宋_GB2312" w:cs="仿宋_GB2312"/>
          <w:sz w:val="32"/>
          <w:szCs w:val="32"/>
          <w:lang w:eastAsia="zh-CN"/>
        </w:rPr>
        <w:t>具体安排情况为：因公出国（境）费</w:t>
      </w:r>
      <w:r>
        <w:rPr>
          <w:rFonts w:hint="eastAsia" w:ascii="仿宋_GB2312" w:hAnsi="仿宋_GB2312" w:eastAsia="仿宋_GB2312" w:cs="仿宋_GB2312"/>
          <w:sz w:val="32"/>
          <w:szCs w:val="32"/>
          <w:lang w:val="en-US" w:eastAsia="zh-CN"/>
        </w:rPr>
        <w:t>0万元，与2021年相比持平，无增减变化；公务用车购置及运行费6万元（其中公务用车购置费0万元，比2021年减少0万元，主要原因是2022年无车辆购置预算经费；公务用车运行及维护费6万元，与2021年相比减少14万元，主要原因是2022年预算未安排省市下放审批权限新增业务车辆使用经费，且财政压减公车经费为每车3万元）；公务接待费14.05万元，比2021年增加1.64万元</w:t>
      </w:r>
      <w:r>
        <w:rPr>
          <w:rFonts w:hint="eastAsia" w:ascii="仿宋_GB2312" w:hAnsi="仿宋_GB2312" w:eastAsia="仿宋_GB2312" w:cs="仿宋_GB2312"/>
          <w:sz w:val="32"/>
          <w:szCs w:val="32"/>
          <w:lang w:eastAsia="zh-CN"/>
        </w:rPr>
        <w:t>，主要原因是</w:t>
      </w:r>
      <w:r>
        <w:rPr>
          <w:rFonts w:hint="eastAsia" w:ascii="仿宋_GB2312" w:hAnsi="仿宋_GB2312" w:eastAsia="仿宋_GB2312" w:cs="仿宋_GB2312"/>
          <w:sz w:val="32"/>
          <w:szCs w:val="32"/>
          <w:lang w:val="en-US" w:eastAsia="zh-CN"/>
        </w:rPr>
        <w:t>2022年省重点跑办项目中增加了接待经费。</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djustRightInd w:val="0"/>
        <w:snapToGrid w:val="0"/>
        <w:spacing w:line="570" w:lineRule="exact"/>
        <w:ind w:firstLine="643" w:firstLineChars="200"/>
        <w:rPr>
          <w:rFonts w:hint="eastAsia" w:ascii="方正楷体简体" w:eastAsia="方正楷体简体"/>
          <w:b/>
          <w:sz w:val="32"/>
          <w:szCs w:val="32"/>
          <w:lang w:val="en-US" w:eastAsia="zh-CN"/>
        </w:rPr>
      </w:pPr>
      <w:r>
        <w:rPr>
          <w:rFonts w:hint="eastAsia" w:ascii="Times New Roman" w:hAnsi="Times New Roman" w:eastAsia="方正仿宋_GBK" w:cs="Times New Roman"/>
          <w:b/>
          <w:sz w:val="32"/>
          <w:szCs w:val="32"/>
          <w:lang w:val="en-US" w:eastAsia="zh-CN"/>
        </w:rPr>
        <w:t xml:space="preserve"> </w:t>
      </w:r>
      <w:r>
        <w:rPr>
          <w:rFonts w:hint="eastAsia" w:ascii="方正楷体简体" w:eastAsia="方正楷体简体"/>
          <w:b/>
          <w:sz w:val="32"/>
          <w:szCs w:val="32"/>
          <w:lang w:eastAsia="zh-CN"/>
        </w:rPr>
        <w:t>总体绩效目标：</w:t>
      </w:r>
    </w:p>
    <w:p>
      <w:pPr>
        <w:pStyle w:val="17"/>
        <w:rPr>
          <w:rFonts w:hint="eastAsia" w:eastAsia="方正楷体简体"/>
          <w:b/>
          <w:sz w:val="32"/>
          <w:szCs w:val="32"/>
          <w:lang w:eastAsia="zh-CN"/>
        </w:rPr>
      </w:pPr>
      <w:r>
        <w:rPr>
          <w:rFonts w:hint="eastAsia" w:ascii="仿宋_GB2312" w:hAnsi="仿宋_GB2312" w:eastAsia="仿宋_GB2312" w:cs="仿宋_GB2312"/>
          <w:kern w:val="2"/>
          <w:sz w:val="32"/>
          <w:szCs w:val="32"/>
          <w:lang w:val="en-US" w:eastAsia="zh-CN" w:bidi="ar-SA"/>
        </w:rPr>
        <w:t>2022年，是我区抢抓机遇向海图强、实现沿海经济带高质量发展的关键之年。随港口开发建设的不断推进，“项目建设用地越来越少、政策性减税压力越来越大”等问题凸显，港口转型升级举步维艰、困难重重。形势越复杂，挑战越严峻，任务越艰巨，面对新形势、新要求，港口物流园区党工委将坚定不移的贯彻落实区委三次党代会精神和“33568”工作思路，凝心聚力、拼搏实干、奋勇争先，争当我区高质量发展排头兵，在加快“建设世界第一综合贸易大港”中担重任、挑大梁。按照区招商引资工作安排部署，以加快建设“世界一流综合贸易大港”为目标，紧密结合园区发展实际和现有产业基础，围绕完善港口功能，不断“建链、补链、强链”。重点打造港口码头、大宗商品仓储、物流、临港加工、大宗商品贸易、LNG储运及冷能利用、港口配套服务等七大产业链条，引进一批优质项目，推动港口高质量发展。</w:t>
      </w:r>
    </w:p>
    <w:p>
      <w:pPr>
        <w:adjustRightInd w:val="0"/>
        <w:snapToGrid w:val="0"/>
        <w:spacing w:line="570" w:lineRule="exact"/>
        <w:rPr>
          <w:rFonts w:hint="eastAsia" w:ascii="方正楷体_GBK" w:eastAsia="方正楷体简体"/>
          <w:b/>
          <w:color w:val="000000"/>
          <w:sz w:val="28"/>
          <w:lang w:eastAsia="zh-CN"/>
        </w:rPr>
      </w:pPr>
    </w:p>
    <w:p>
      <w:pPr>
        <w:adjustRightInd w:val="0"/>
        <w:snapToGrid w:val="0"/>
        <w:spacing w:line="570" w:lineRule="exact"/>
        <w:ind w:firstLine="643" w:firstLineChars="200"/>
        <w:rPr>
          <w:rFonts w:hint="eastAsia" w:ascii="方正楷体简体" w:eastAsia="方正楷体简体"/>
          <w:b/>
          <w:sz w:val="32"/>
          <w:szCs w:val="32"/>
          <w:lang w:eastAsia="zh-CN"/>
        </w:rPr>
      </w:pPr>
      <w:r>
        <w:rPr>
          <w:rFonts w:hint="eastAsia" w:ascii="方正楷体简体" w:eastAsia="方正楷体简体"/>
          <w:b/>
          <w:sz w:val="32"/>
          <w:szCs w:val="32"/>
          <w:lang w:eastAsia="zh-CN"/>
        </w:rPr>
        <w:t xml:space="preserve">职责分类绩效目标： </w:t>
      </w:r>
    </w:p>
    <w:p>
      <w:pPr>
        <w:ind w:firstLine="640" w:firstLineChars="200"/>
        <w:rPr>
          <w:rFonts w:hint="eastAsia" w:ascii="方正楷体简体" w:eastAsia="方正楷体简体"/>
          <w:b w:val="0"/>
          <w:bCs/>
          <w:sz w:val="32"/>
          <w:szCs w:val="32"/>
          <w:lang w:eastAsia="zh-CN"/>
        </w:rPr>
      </w:pPr>
      <w:r>
        <w:rPr>
          <w:rFonts w:hint="eastAsia" w:ascii="方正楷体简体" w:eastAsia="方正楷体简体"/>
          <w:b w:val="0"/>
          <w:bCs/>
          <w:sz w:val="32"/>
          <w:szCs w:val="32"/>
          <w:lang w:eastAsia="zh-CN"/>
        </w:rPr>
        <w:t>（一）投资贸易促进中心</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职责描述：</w:t>
      </w:r>
      <w:r>
        <w:rPr>
          <w:rFonts w:hint="eastAsia" w:ascii="仿宋_GB2312" w:hAnsi="仿宋_GB2312" w:eastAsia="仿宋_GB2312" w:cs="仿宋_GB2312"/>
          <w:kern w:val="2"/>
          <w:sz w:val="32"/>
          <w:szCs w:val="32"/>
          <w:lang w:val="en-US" w:eastAsia="zh-CN" w:bidi="ar-SA"/>
        </w:rPr>
        <w:t>负责招商信息的收集整理，建立招商引资信息库和招商网络；负责投资环境建设与宣传及组织招商推介活动；负责招商洽谈和签订投资协议等工作；负责入区企业各项政策的咨询服务；负责为企业办理各种行政审批手续提供职能服务；负责协调解决入区企业在发展中遇到的相关问题；负责鼓励产业发展的各项政策的制定和组织落实；负责协助指导中小企业发展，提供相关配套服务；负责督促入区企业落地开工建设；负责投资、贸易、财税等有关指标的落实办理；负责党工委、管委会领导交办的其他工作任务。</w:t>
      </w:r>
    </w:p>
    <w:p>
      <w:pPr>
        <w:adjustRightInd w:val="0"/>
        <w:snapToGrid w:val="0"/>
        <w:spacing w:line="57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sz w:val="32"/>
          <w:szCs w:val="32"/>
          <w:lang w:eastAsia="zh-CN"/>
        </w:rPr>
        <w:t>年度绩效目标</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kern w:val="2"/>
          <w:sz w:val="32"/>
          <w:szCs w:val="32"/>
          <w:lang w:val="en-US" w:eastAsia="zh-CN" w:bidi="ar-SA"/>
        </w:rPr>
        <w:t>2022年计划实施重点项目35个，总投资660.77亿元。包含续建项目13个，总投资425.96亿元；计划新开工项目10个，总投资55.34亿元；重点前期推进项目12个，总投资179.47亿元。其中申报2022年省、市重点项目6个，总投资380.72亿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方正楷体简体" w:hAnsi="方正楷体简体" w:eastAsia="方正楷体简体" w:cs="方正楷体简体"/>
          <w:b/>
          <w:sz w:val="32"/>
          <w:szCs w:val="32"/>
          <w:lang w:eastAsia="zh-CN"/>
        </w:rPr>
      </w:pPr>
      <w:r>
        <w:rPr>
          <w:rFonts w:hint="eastAsia" w:ascii="方正楷体简体" w:hAnsi="方正楷体简体" w:eastAsia="方正楷体简体" w:cs="方正楷体简体"/>
          <w:b/>
          <w:sz w:val="32"/>
          <w:szCs w:val="32"/>
          <w:lang w:eastAsia="zh-CN"/>
        </w:rPr>
        <w:t>（二）建设和环境管理局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职责描述：</w:t>
      </w:r>
      <w:r>
        <w:rPr>
          <w:rFonts w:hint="eastAsia" w:ascii="仿宋_GB2312" w:hAnsi="仿宋_GB2312" w:eastAsia="仿宋_GB2312" w:cs="仿宋_GB2312"/>
          <w:kern w:val="2"/>
          <w:sz w:val="32"/>
          <w:szCs w:val="32"/>
          <w:lang w:val="en-US" w:eastAsia="zh-CN" w:bidi="ar-SA"/>
        </w:rPr>
        <w:t>负责编制园区总体规划、中长期发展规划和年度计划并组织实施；负责规划建设管理，协助园区新建项目对规划、建设等各项相关手续进行报批；负责园区各项基础设施、公共设施的维护与管理，协调解决园区内水、电、路、讯等基础设施建设中的问题；负责生态建设、环境管理与保护；负责就项目选址提出要求与建议；负责协助区国土局管理区域内国土（海洋）资源；负责党工委、管委会领导交办的其他工作任务。</w:t>
      </w:r>
    </w:p>
    <w:p>
      <w:pPr>
        <w:adjustRightInd w:val="0"/>
        <w:snapToGrid w:val="0"/>
        <w:spacing w:line="57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sz w:val="32"/>
          <w:szCs w:val="32"/>
          <w:lang w:eastAsia="zh-CN"/>
        </w:rPr>
        <w:t>年度绩效目标：</w:t>
      </w:r>
      <w:r>
        <w:rPr>
          <w:rFonts w:hint="eastAsia" w:ascii="仿宋_GB2312" w:hAnsi="仿宋_GB2312" w:eastAsia="仿宋_GB2312" w:cs="仿宋_GB2312"/>
          <w:kern w:val="2"/>
          <w:sz w:val="32"/>
          <w:szCs w:val="32"/>
          <w:lang w:val="en-US" w:eastAsia="zh-CN" w:bidi="ar-SA"/>
        </w:rPr>
        <w:t>不断做好港区环境整治。将扬尘和散乱污治理、超载超限整治作为工作重点，持续开展港区环境综合整治攻坚行动。同时，按照“增加绿量，乔灌搭配”原则，计划新增港区绿化10.25万平米。不断打击违法违规行为。增加资金和物资的投入力度，通过技防、物防与人防相结合的方式，联合公安、国土、住建等多部门，加大对违法违规行为的检查力度，发现一起，查处一起，为建设世界一流综合贸易大港保驾护航。不断做好安全生产检查。强化安全生产监管，结合有资质的第三方机构每周到各企业检查安全生产落实情况，将检查发现的问题督促整改，强化企业安全主体责任，确保安全形势稳定。不断做好信访隐患排查。消除农民工信访隐患，加强与各企业、总包、分包的信息沟通，对各施工工地全方位排查，消除信访隐患，从源头遏制农民工工资拖欠问题。</w:t>
      </w:r>
    </w:p>
    <w:p>
      <w:pPr>
        <w:spacing w:line="520" w:lineRule="exact"/>
        <w:ind w:firstLine="640"/>
        <w:rPr>
          <w:rFonts w:hint="eastAsia" w:ascii="方正小标宋_GBK" w:eastAsia="方正小标宋_GBK"/>
          <w:sz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方正楷体简体" w:hAnsi="方正楷体简体" w:eastAsia="方正楷体简体" w:cs="方正楷体简体"/>
          <w:b/>
          <w:sz w:val="32"/>
          <w:szCs w:val="32"/>
          <w:lang w:eastAsia="zh-CN"/>
        </w:rPr>
        <w:t>（三）港航服务中心</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eastAsia="zh-CN"/>
        </w:rPr>
        <w:t>职责描述：</w:t>
      </w:r>
      <w:r>
        <w:rPr>
          <w:rFonts w:hint="eastAsia" w:ascii="仿宋_GB2312" w:hAnsi="仿宋_GB2312" w:eastAsia="仿宋_GB2312" w:cs="仿宋_GB2312"/>
          <w:kern w:val="2"/>
          <w:sz w:val="32"/>
          <w:szCs w:val="32"/>
          <w:lang w:val="en-US" w:eastAsia="zh-CN" w:bidi="ar-SA"/>
        </w:rPr>
        <w:t>负责组织协调港区口岸规划的实施；负责制定并协调落实区域内口岸管理办法和实施细则；负责协调督导口岸建设、改造以及查验配套基础设施的建设、升级与维护；负责区域内所有港口公用基础设施的管理；负责协调港区口岸开放或关闭等工作；负责口岸数据统计、分析；负责推进口岸查验部门协调联动，创新监管模式，提高通关效率，优化口岸环境；负责协调在口岸的管理、经营、服务和有关活动中发生的纠纷、以及海关特殊监管区域的宏观管理；负责协调海事、边防、海警等相关部门、清除港区非作业船只、渔网等影响航行安全的问题；配合上级口岸管理和港航部门开展相关工作；负责党工委、管委会领导交办的其他任务。</w:t>
      </w:r>
    </w:p>
    <w:p>
      <w:pPr>
        <w:pStyle w:val="18"/>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sz w:val="32"/>
          <w:szCs w:val="32"/>
          <w:lang w:eastAsia="zh-CN"/>
        </w:rPr>
        <w:t>年度绩效目标：</w:t>
      </w:r>
      <w:r>
        <w:rPr>
          <w:rFonts w:hint="eastAsia" w:ascii="仿宋_GB2312" w:hAnsi="仿宋_GB2312" w:eastAsia="仿宋_GB2312" w:cs="仿宋_GB2312"/>
          <w:kern w:val="2"/>
          <w:sz w:val="32"/>
          <w:szCs w:val="32"/>
          <w:lang w:val="en-US" w:eastAsia="zh-CN" w:bidi="ar-SA"/>
        </w:rPr>
        <w:t>按照区招商引资工作安排部署，以加快建设“世界一流综合贸易大港”为目标，紧密结合园区发展实际和现有产业基础，围绕完善港口功能，不断“建链、补链、强链”。重点打造港口码头、大宗商品仓储、物流、临港加工、大宗商品贸易、LNG储运及冷能利用、港口配套服务等七大产业链条，引进一批优质项目，推动港口高质量发展。</w:t>
      </w:r>
    </w:p>
    <w:p>
      <w:pPr>
        <w:pStyle w:val="18"/>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做大港口贸易，立足曹妃甸港口优势，积极谋划引进港口贸易和港航服务业企业；做好贸易企业的培育和入统申报工作，加强服务指导，及时组织材料，确保按时入统；内陆港建设，2022年计划新设内陆港2个；加快铁路集疏运体系建设，在确保完成“公转铁”运量，提高客运服务水平和重点项目建设顺利收官的前提下，做好2022年铁路项目谋划，重点推进铁路项目建设9项；深入推进向海发展工作，认真摸排涉及向海发展相关产业项目、重点工作，建立工作台账，落实责任分解，研究制定《2022年曹妃甸区向海发展工作方案》，并逐项加以推进，充分发挥集中办公、居中协调、调度推进的作用，及时掌握情况，有针对性的推动各项重点项目加快进展，结合区委区政府督查室定期深入各重点项目任务现场进行督导检查和考核评价，确保各项任务圆满完成。</w:t>
      </w:r>
    </w:p>
    <w:p>
      <w:pPr>
        <w:spacing w:line="600" w:lineRule="exact"/>
        <w:ind w:firstLine="640"/>
        <w:rPr>
          <w:rFonts w:hint="eastAsia" w:ascii="仿宋_GB2312" w:hAnsi="仿宋_GB2312" w:eastAsia="仿宋_GB2312" w:cs="仿宋_GB2312"/>
          <w:kern w:val="2"/>
          <w:sz w:val="32"/>
          <w:szCs w:val="32"/>
          <w:lang w:val="en-US" w:eastAsia="zh-CN" w:bidi="ar-SA"/>
        </w:rPr>
      </w:pPr>
    </w:p>
    <w:p>
      <w:pPr>
        <w:spacing w:line="600" w:lineRule="exact"/>
        <w:ind w:firstLine="640"/>
        <w:rPr>
          <w:rFonts w:hint="eastAsia" w:ascii="仿宋_GB2312" w:hAnsi="仿宋_GB2312" w:eastAsia="仿宋_GB2312" w:cs="仿宋_GB2312"/>
          <w:kern w:val="2"/>
          <w:sz w:val="32"/>
          <w:szCs w:val="32"/>
          <w:lang w:val="en-US" w:eastAsia="zh-CN" w:bidi="ar-SA"/>
        </w:rPr>
      </w:pPr>
    </w:p>
    <w:p>
      <w:pPr>
        <w:ind w:firstLine="562"/>
        <w:jc w:val="left"/>
        <w:rPr>
          <w:rFonts w:hint="eastAsia" w:ascii="方正楷体_GBK" w:eastAsia="方正楷体_GBK"/>
          <w:b/>
          <w:color w:val="000000"/>
          <w:sz w:val="28"/>
          <w:lang w:eastAsia="zh-CN"/>
        </w:rPr>
      </w:pPr>
      <w:r>
        <w:rPr>
          <w:rFonts w:hint="eastAsia" w:ascii="方正楷体_GBK" w:eastAsia="方正楷体_GBK"/>
          <w:b/>
          <w:color w:val="000000"/>
          <w:sz w:val="28"/>
          <w:lang w:eastAsia="zh-CN"/>
        </w:rPr>
        <w:t>部门职责及工作活动绩效目标指标</w:t>
      </w:r>
    </w:p>
    <w:p>
      <w:pPr>
        <w:ind w:firstLine="562"/>
        <w:jc w:val="left"/>
        <w:rPr>
          <w:rFonts w:hint="eastAsia"/>
          <w:sz w:val="28"/>
        </w:rPr>
      </w:pPr>
    </w:p>
    <w:p>
      <w:pPr>
        <w:ind w:firstLine="562"/>
        <w:jc w:val="center"/>
        <w:rPr>
          <w:rFonts w:hint="eastAsia" w:eastAsia="宋体"/>
          <w:b/>
          <w:bCs/>
          <w:sz w:val="28"/>
          <w:lang w:val="en-US" w:eastAsia="zh-CN"/>
        </w:rPr>
      </w:pPr>
      <w:r>
        <w:rPr>
          <w:rFonts w:hint="eastAsia"/>
          <w:b/>
          <w:bCs/>
          <w:sz w:val="28"/>
          <w:lang w:eastAsia="zh-CN"/>
        </w:rPr>
        <w:t>部门职责</w:t>
      </w:r>
      <w:r>
        <w:rPr>
          <w:rFonts w:hint="eastAsia"/>
          <w:b/>
          <w:bCs/>
          <w:sz w:val="28"/>
          <w:lang w:val="en-US" w:eastAsia="zh-CN"/>
        </w:rPr>
        <w:t>-工作活动绩效目标</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804</w:t>
            </w:r>
            <w:r>
              <w:rPr>
                <w:rFonts w:hint="eastAsia" w:ascii="方正小标宋_GBK" w:eastAsia="方正小标宋_GBK"/>
                <w:sz w:val="24"/>
              </w:rPr>
              <w:t>港口物流产业园区建设指挥部</w:t>
            </w:r>
          </w:p>
        </w:tc>
        <w:tc>
          <w:tcPr>
            <w:tcW w:w="2948"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一、对外商贸管理</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150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规范全区对外招商引资活动，组织实施投资贸易洽谈会等活动。开展贸易洽谈、招商合作等活动，促进贸易往来。</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促进招商引资活动效率稳步提高，优化项目产业结构，完成区政府下达的指标。</w:t>
            </w:r>
          </w:p>
        </w:tc>
        <w:tc>
          <w:tcPr>
            <w:tcW w:w="1417"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赴外地区招商数量</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3</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2</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1</w:t>
            </w:r>
          </w:p>
        </w:tc>
        <w:tc>
          <w:tcPr>
            <w:tcW w:w="737" w:type="dxa"/>
            <w:noWrap w:val="0"/>
            <w:vAlign w:val="center"/>
          </w:tcPr>
          <w:p>
            <w:pPr>
              <w:spacing w:line="300" w:lineRule="exact"/>
              <w:jc w:val="center"/>
              <w:rPr>
                <w:rFonts w:ascii="方正书宋_GBK" w:hAnsi="Calibri" w:eastAsia="方正书宋_GBK" w:cs="黑体"/>
                <w:kern w:val="2"/>
                <w:sz w:val="21"/>
                <w:szCs w:val="22"/>
                <w:lang w:val="en-US" w:eastAsia="zh-CN" w:bidi="ar-SA"/>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、招商引资</w:t>
            </w:r>
          </w:p>
        </w:tc>
        <w:tc>
          <w:tcPr>
            <w:tcW w:w="1276" w:type="dxa"/>
            <w:vMerge w:val="restart"/>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150</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组织实施投资贸易洽谈会等活动。组织开展贸易洽谈、招商合作等活动，促进贸易往来。</w:t>
            </w:r>
          </w:p>
        </w:tc>
        <w:tc>
          <w:tcPr>
            <w:tcW w:w="2976" w:type="dxa"/>
            <w:vMerge w:val="restart"/>
            <w:noWrap w:val="0"/>
            <w:vAlign w:val="center"/>
          </w:tcPr>
          <w:p>
            <w:pPr>
              <w:spacing w:line="300" w:lineRule="exact"/>
              <w:jc w:val="left"/>
              <w:rPr>
                <w:rFonts w:hint="eastAsia" w:ascii="方正书宋_GBK" w:eastAsia="方正书宋_GBK"/>
              </w:rPr>
            </w:pPr>
            <w:r>
              <w:rPr>
                <w:rFonts w:hint="eastAsia" w:ascii="方正书宋_GBK" w:eastAsia="方正书宋_GBK"/>
              </w:rPr>
              <w:t>通过加大招商力度，瞄准重点区域、重点客商和商务机构，推动和引领全区做好招商工作。突出引进战略投资者，力争在重点产业引进一批战略支撑项目、龙头企业和协力配套企业</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举办活动数量</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到会客商人数</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hint="eastAsia"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2976" w:type="dxa"/>
            <w:vMerge w:val="continue"/>
            <w:noWrap w:val="0"/>
            <w:vAlign w:val="center"/>
          </w:tcPr>
          <w:p>
            <w:pPr>
              <w:spacing w:line="300" w:lineRule="exact"/>
              <w:jc w:val="left"/>
              <w:rPr>
                <w:rFonts w:hint="eastAsia" w:ascii="方正书宋_GBK" w:eastAsia="方正书宋_GBK"/>
              </w:rPr>
            </w:pP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赴外地区招商数量</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二、港航服务</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736.4</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协调督导口岸建设、改造以及查验配套基础设施的建设；负责区域内所有港口公用基础设施的管理；协调口岸开放或口岸关闭等工作，口岸数据统计、分析；负责协调在口岸的管理、经营、服务和有关活动中发生的纠纷，以及海关特殊监管区域的宏观管理；负责协调海事、边防、海警等相关部门，清除港区非作业船只、渔网等影响航行安全的问题；配合上级口岸管理和港航部门开展相关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完善港口配套设施，提升曹妃甸港整体服务水平。</w:t>
            </w:r>
          </w:p>
        </w:tc>
        <w:tc>
          <w:tcPr>
            <w:tcW w:w="1417"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各项工作完成率。</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、口岸发展和建设</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736.4</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参与编制曹妃甸港区规划；统计、分析港口吞吐量数据；完善港口配套设施；协调四联检部门，做好口岸管理工作；配合上级口岸管理和港航部门开展相关工作。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参与编制曹妃甸港区规划；统计、分析港口吞吐量数据；完善港口基础设施；协调四联检部门，做好口岸管理工作；配合上级口岸管理和港航部门开展相关工作。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各项工作完成率。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、口岸开放</w:t>
            </w:r>
          </w:p>
        </w:tc>
        <w:tc>
          <w:tcPr>
            <w:tcW w:w="127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参与港口项目工程验收、口岸开放验收工作。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参与港口项目工程验收、口岸开放验收工作。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港口项目工程验收、口岸开放验收工作参与程度。</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default" w:ascii="方正书宋_GBK" w:eastAsia="方正书宋_GBK"/>
                <w:b/>
                <w:lang w:val="en-US" w:eastAsia="zh-CN"/>
              </w:rPr>
            </w:pPr>
            <w:r>
              <w:rPr>
                <w:rFonts w:hint="eastAsia" w:ascii="方正书宋_GBK" w:eastAsia="方正书宋_GBK"/>
                <w:b/>
              </w:rPr>
              <w:t>三、组织辖区内安全生产监督检查工作，安全生产宣传教育活动；协助上级安监部门做好安全生产事故调查工作</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组织辖区内安全生产监督检查，安全生产宣传教育工作；协助上级安监部门做好安全生产事故调查工作，根据《安全生产法》、《安全生产违法行为行政处罚办法》等法律法规，依法开展执法检查和宣传教育工作工作，遏制重特大事故发生，确保辖区内安全生产形势稳定</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定期组织辖区内安全生产监督检查，安全生产宣传教育工作；协助上级安监部门做好安全生产事故调查工作</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检查监管覆盖率</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ascii="方正书宋_GBK" w:eastAsia="方正书宋_GBK"/>
              </w:rPr>
              <w:t>100%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50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开展安全生产宣传教育活动，定期组织辖区内安全生产监督检查，安全生产宣传教育工作；协助上级安监部门做好安全生产事故调查工作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通过督导检查辖区内安全生产，最大限度地发现、纠正、督促企业消除各类隐患，预防和减少事故的发生，确保辖区内安全生产形势持续稳定好转</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检查监管覆盖率</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四、建设和环境管理</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60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编制辖区的总体规划，组织对区域城市发展规划、建设规划提出建议并协助组织实施；做好辖区内基础设施和公共设施的维护及管理，负责辖区内生态建设、环境管理和保护。</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编制园区总体规划、中长期发展规划和年度计划并组织实施，园区规划建设管理，园区各项基础设施、公共设施的维护和管理，生态建设、环境管理和保护，协助管理国土（海洋）资源。</w:t>
            </w:r>
          </w:p>
        </w:tc>
        <w:tc>
          <w:tcPr>
            <w:tcW w:w="1417"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综合业务管理完成率</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、园区规划编制</w:t>
            </w:r>
          </w:p>
        </w:tc>
        <w:tc>
          <w:tcPr>
            <w:tcW w:w="127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编制园区总体规划、中长期发展规划和年度计划并组织实施</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完成园区总体规划、中长期发展规划编制工作并组织实施</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规划编制完成率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、综合业务管理</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60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协助园区新建项目对规划、建设等各项相关手续进行报批，协调解决园区内水、电、路、讯等基础设施建设中的问题，就项目选址提出要求和建议，生态环境保护工作，协助管理区域内国土（海洋）资源</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就园区项目选址提出建议和要求，协助园区新建项目对规划、建设、用海用地等手续报批；保持园区基础设施、公用设施完好，满足企业建设需要；保持园区生态平衡，建设绿色、生态港口</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综合业务管理完成率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五、机关党政务建设管理</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498.45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加强党的思想政治建设、组织建设、园区党风廉政建设，做好园区党务工作。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政治觉悟和思想道德素质明显提高。</w:t>
            </w:r>
          </w:p>
        </w:tc>
        <w:tc>
          <w:tcPr>
            <w:tcW w:w="1417" w:type="dxa"/>
            <w:noWrap w:val="0"/>
            <w:vAlign w:val="center"/>
          </w:tcPr>
          <w:p>
            <w:pPr>
              <w:spacing w:line="300" w:lineRule="exact"/>
              <w:jc w:val="left"/>
              <w:rPr>
                <w:rFonts w:hint="eastAsia" w:ascii="方正书宋_GBK" w:hAnsi="Calibri" w:eastAsia="方正书宋_GBK" w:cs="黑体"/>
                <w:kern w:val="2"/>
                <w:sz w:val="21"/>
                <w:szCs w:val="22"/>
                <w:lang w:val="en-US" w:eastAsia="zh-CN" w:bidi="ar-SA"/>
              </w:rPr>
            </w:pPr>
            <w:r>
              <w:rPr>
                <w:rFonts w:hint="eastAsia" w:ascii="方正书宋_GBK" w:eastAsia="方正书宋_GBK"/>
              </w:rPr>
              <w:t>综合事务管理工作完成率</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hAnsi="Calibri" w:eastAsia="方正书宋_GBK" w:cs="黑体"/>
                <w:kern w:val="2"/>
                <w:sz w:val="21"/>
                <w:szCs w:val="22"/>
                <w:lang w:val="en-US" w:eastAsia="zh-CN" w:bidi="ar-SA"/>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、思想政治建设</w:t>
            </w:r>
          </w:p>
        </w:tc>
        <w:tc>
          <w:tcPr>
            <w:tcW w:w="127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0</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指导园区及各级党组织抓好党的思想、组织、作风建设和党员教育管理，负责综合指导园区精神文明建设及普法工作，承担机关思想道德文化建设工作。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利用各种有效载体开展宣传教育活动</w:t>
            </w:r>
            <w:r>
              <w:rPr>
                <w:rFonts w:ascii="方正书宋_GBK" w:eastAsia="方正书宋_GBK"/>
              </w:rPr>
              <w:t>,</w:t>
            </w:r>
            <w:r>
              <w:rPr>
                <w:rFonts w:hint="eastAsia" w:ascii="方正书宋_GBK" w:eastAsia="方正书宋_GBK"/>
              </w:rPr>
              <w:t>效果明显</w:t>
            </w:r>
            <w:r>
              <w:rPr>
                <w:rFonts w:ascii="方正书宋_GBK" w:eastAsia="方正书宋_GBK"/>
              </w:rPr>
              <w:t>;</w:t>
            </w:r>
            <w:r>
              <w:rPr>
                <w:rFonts w:hint="eastAsia" w:ascii="方正书宋_GBK" w:eastAsia="方正书宋_GBK"/>
              </w:rPr>
              <w:t>学习制度得到普遍落实，各项活动普遍参加</w:t>
            </w:r>
            <w:r>
              <w:rPr>
                <w:rFonts w:ascii="方正书宋_GBK" w:eastAsia="方正书宋_GBK"/>
              </w:rPr>
              <w:t>;</w:t>
            </w:r>
            <w:r>
              <w:rPr>
                <w:rFonts w:hint="eastAsia" w:ascii="方正书宋_GBK" w:eastAsia="方正书宋_GBK"/>
              </w:rPr>
              <w:t>精神文明创建活动参与广泛，公民道德素质、各项活动满意率明显提高。</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思想教育活动完成率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hint="eastAsia"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noWrap w:val="0"/>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498.45</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做好会议培训组织，内部信息化建设与维护，人事、党务以及老干部管理等工作。</w:t>
            </w:r>
          </w:p>
        </w:tc>
        <w:tc>
          <w:tcPr>
            <w:tcW w:w="29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保障机关正常工作有效运转</w:t>
            </w:r>
          </w:p>
        </w:tc>
        <w:tc>
          <w:tcPr>
            <w:tcW w:w="1417" w:type="dxa"/>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&lt;60%</w:t>
            </w:r>
          </w:p>
        </w:tc>
      </w:tr>
    </w:tbl>
    <w:p>
      <w:pPr>
        <w:autoSpaceDE w:val="0"/>
        <w:autoSpaceDN w:val="0"/>
        <w:adjustRightInd w:val="0"/>
        <w:jc w:val="left"/>
        <w:rPr>
          <w:rFonts w:hint="eastAsia" w:ascii="黑体" w:hAnsi="黑体" w:eastAsia="黑体" w:cs="Times New Roman"/>
          <w:sz w:val="32"/>
          <w:szCs w:val="32"/>
          <w:lang w:val="en-US" w:eastAsia="zh-CN"/>
        </w:rPr>
      </w:pPr>
    </w:p>
    <w:p>
      <w:pPr>
        <w:autoSpaceDE w:val="0"/>
        <w:autoSpaceDN w:val="0"/>
        <w:adjustRightInd w:val="0"/>
        <w:jc w:val="left"/>
        <w:rPr>
          <w:rFonts w:hint="eastAsia" w:ascii="黑体" w:hAnsi="黑体" w:eastAsia="黑体" w:cs="Times New Roman"/>
          <w:sz w:val="32"/>
          <w:szCs w:val="32"/>
          <w:lang w:val="en-US" w:eastAsia="zh-CN"/>
        </w:rPr>
      </w:pPr>
    </w:p>
    <w:p>
      <w:pPr>
        <w:autoSpaceDE w:val="0"/>
        <w:autoSpaceDN w:val="0"/>
        <w:adjustRightInd w:val="0"/>
        <w:jc w:val="left"/>
        <w:rPr>
          <w:rFonts w:hint="eastAsia" w:ascii="黑体" w:hAnsi="黑体" w:eastAsia="黑体" w:cs="Times New Roman"/>
          <w:sz w:val="32"/>
          <w:szCs w:val="32"/>
          <w:lang w:val="en-US" w:eastAsia="zh-CN"/>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六、政府采购预算情况</w:t>
      </w:r>
    </w:p>
    <w:p>
      <w:pPr>
        <w:outlineLvl w:val="0"/>
        <w:rPr>
          <w:rFonts w:hint="eastAsia" w:ascii="仿宋_GB2312" w:hAnsi="黑体" w:eastAsia="仿宋_GB2312" w:cs="Times New Roman"/>
          <w:sz w:val="32"/>
          <w:szCs w:val="32"/>
        </w:rPr>
      </w:pPr>
      <w:r>
        <w:rPr>
          <w:rFonts w:ascii="Times New Roman" w:hAnsi="Times New Roman" w:eastAsia="方正仿宋_GBK" w:cs="Times New Roman"/>
          <w:sz w:val="32"/>
          <w:szCs w:val="24"/>
        </w:rPr>
        <w:t xml:space="preserve">  </w:t>
      </w:r>
      <w:r>
        <w:rPr>
          <w:rFonts w:hint="eastAsia" w:ascii="仿宋_GB2312" w:hAnsi="黑体" w:eastAsia="仿宋_GB2312" w:cs="Times New Roman"/>
          <w:sz w:val="32"/>
          <w:szCs w:val="32"/>
        </w:rPr>
        <w:t>2022年，曹妃甸港口物流园区管理委员会本级安排政府采购预算0.00万元。</w:t>
      </w:r>
    </w:p>
    <w:tbl>
      <w:tblPr>
        <w:tblStyle w:val="9"/>
        <w:tblpPr w:leftFromText="180" w:rightFromText="180" w:vertAnchor="text" w:horzAnchor="page" w:tblpX="1455" w:tblpY="1209"/>
        <w:tblOverlap w:val="never"/>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7"/>
        <w:gridCol w:w="555"/>
        <w:gridCol w:w="878"/>
        <w:gridCol w:w="878"/>
        <w:gridCol w:w="878"/>
        <w:gridCol w:w="878"/>
        <w:gridCol w:w="919"/>
        <w:gridCol w:w="878"/>
        <w:gridCol w:w="878"/>
        <w:gridCol w:w="878"/>
        <w:gridCol w:w="878"/>
        <w:gridCol w:w="881"/>
        <w:gridCol w:w="882"/>
        <w:gridCol w:w="885"/>
        <w:gridCol w:w="925"/>
        <w:gridCol w:w="8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2185" w:type="pct"/>
            <w:gridSpan w:val="7"/>
            <w:tcBorders>
              <w:top w:val="single" w:color="FFFFFF" w:sz="6" w:space="0"/>
              <w:left w:val="single" w:color="FFFFFF" w:sz="6" w:space="0"/>
              <w:right w:val="single" w:color="FFFFFF" w:sz="6" w:space="0"/>
            </w:tcBorders>
            <w:vAlign w:val="center"/>
          </w:tcPr>
          <w:p>
            <w:pPr>
              <w:pStyle w:val="19"/>
              <w:rPr>
                <w:sz w:val="21"/>
                <w:szCs w:val="20"/>
              </w:rPr>
            </w:pPr>
          </w:p>
          <w:p>
            <w:pPr>
              <w:pStyle w:val="19"/>
              <w:rPr>
                <w:sz w:val="21"/>
                <w:szCs w:val="20"/>
              </w:rPr>
            </w:pPr>
          </w:p>
          <w:p>
            <w:pPr>
              <w:pStyle w:val="19"/>
              <w:rPr>
                <w:sz w:val="21"/>
                <w:szCs w:val="20"/>
              </w:rPr>
            </w:pPr>
            <w:r>
              <w:rPr>
                <w:sz w:val="21"/>
                <w:szCs w:val="20"/>
              </w:rPr>
              <w:t>807曹妃甸</w:t>
            </w:r>
            <w:r>
              <w:rPr>
                <w:rFonts w:hint="eastAsia"/>
                <w:sz w:val="21"/>
                <w:szCs w:val="20"/>
                <w:lang w:val="en-US" w:eastAsia="zh-CN"/>
              </w:rPr>
              <w:t>港口物流</w:t>
            </w:r>
            <w:r>
              <w:rPr>
                <w:sz w:val="21"/>
                <w:szCs w:val="20"/>
              </w:rPr>
              <w:t>园区管理委员会</w:t>
            </w:r>
          </w:p>
        </w:tc>
        <w:tc>
          <w:tcPr>
            <w:tcW w:w="2814" w:type="pct"/>
            <w:gridSpan w:val="9"/>
            <w:tcBorders>
              <w:top w:val="single" w:color="FFFFFF" w:sz="6" w:space="0"/>
              <w:left w:val="single" w:color="FFFFFF" w:sz="6" w:space="0"/>
              <w:right w:val="single" w:color="FFFFFF" w:sz="6" w:space="0"/>
            </w:tcBorders>
            <w:vAlign w:val="center"/>
          </w:tcPr>
          <w:p>
            <w:pPr>
              <w:pStyle w:val="20"/>
              <w:rPr>
                <w:sz w:val="21"/>
                <w:szCs w:val="20"/>
              </w:rPr>
            </w:pPr>
          </w:p>
          <w:p>
            <w:pPr>
              <w:pStyle w:val="20"/>
              <w:rPr>
                <w:sz w:val="21"/>
                <w:szCs w:val="20"/>
              </w:rPr>
            </w:pPr>
          </w:p>
          <w:p>
            <w:pPr>
              <w:pStyle w:val="20"/>
              <w:rPr>
                <w:sz w:val="21"/>
                <w:szCs w:val="20"/>
              </w:rPr>
            </w:pPr>
            <w:r>
              <w:rPr>
                <w:sz w:val="21"/>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621" w:type="pct"/>
            <w:gridSpan w:val="2"/>
            <w:vAlign w:val="center"/>
          </w:tcPr>
          <w:p>
            <w:pPr>
              <w:pStyle w:val="21"/>
              <w:rPr>
                <w:sz w:val="18"/>
                <w:szCs w:val="20"/>
              </w:rPr>
            </w:pPr>
            <w:r>
              <w:rPr>
                <w:sz w:val="18"/>
                <w:szCs w:val="20"/>
              </w:rPr>
              <w:t>政府采购项目来源</w:t>
            </w:r>
          </w:p>
        </w:tc>
        <w:tc>
          <w:tcPr>
            <w:tcW w:w="309" w:type="pct"/>
            <w:vMerge w:val="restart"/>
            <w:vAlign w:val="center"/>
          </w:tcPr>
          <w:p>
            <w:pPr>
              <w:pStyle w:val="21"/>
              <w:rPr>
                <w:sz w:val="18"/>
                <w:szCs w:val="20"/>
              </w:rPr>
            </w:pPr>
            <w:r>
              <w:rPr>
                <w:sz w:val="18"/>
                <w:szCs w:val="20"/>
              </w:rPr>
              <w:t>采购物品名称</w:t>
            </w:r>
          </w:p>
        </w:tc>
        <w:tc>
          <w:tcPr>
            <w:tcW w:w="309" w:type="pct"/>
            <w:vMerge w:val="restart"/>
            <w:vAlign w:val="center"/>
          </w:tcPr>
          <w:p>
            <w:pPr>
              <w:pStyle w:val="21"/>
              <w:rPr>
                <w:sz w:val="18"/>
                <w:szCs w:val="20"/>
              </w:rPr>
            </w:pPr>
            <w:r>
              <w:rPr>
                <w:sz w:val="18"/>
                <w:szCs w:val="20"/>
              </w:rPr>
              <w:t>政府采购目录序号</w:t>
            </w:r>
          </w:p>
        </w:tc>
        <w:tc>
          <w:tcPr>
            <w:tcW w:w="309" w:type="pct"/>
            <w:vMerge w:val="restart"/>
            <w:vAlign w:val="center"/>
          </w:tcPr>
          <w:p>
            <w:pPr>
              <w:pStyle w:val="21"/>
              <w:rPr>
                <w:sz w:val="18"/>
                <w:szCs w:val="20"/>
              </w:rPr>
            </w:pPr>
            <w:r>
              <w:rPr>
                <w:sz w:val="18"/>
                <w:szCs w:val="20"/>
              </w:rPr>
              <w:t>计量  单位</w:t>
            </w:r>
          </w:p>
        </w:tc>
        <w:tc>
          <w:tcPr>
            <w:tcW w:w="309" w:type="pct"/>
            <w:vMerge w:val="restart"/>
            <w:vAlign w:val="center"/>
          </w:tcPr>
          <w:p>
            <w:pPr>
              <w:pStyle w:val="21"/>
              <w:rPr>
                <w:sz w:val="18"/>
                <w:szCs w:val="20"/>
              </w:rPr>
            </w:pPr>
            <w:r>
              <w:rPr>
                <w:sz w:val="18"/>
                <w:szCs w:val="20"/>
              </w:rPr>
              <w:t>数量</w:t>
            </w:r>
          </w:p>
        </w:tc>
        <w:tc>
          <w:tcPr>
            <w:tcW w:w="324" w:type="pct"/>
            <w:vMerge w:val="restart"/>
            <w:vAlign w:val="center"/>
          </w:tcPr>
          <w:p>
            <w:pPr>
              <w:pStyle w:val="21"/>
              <w:rPr>
                <w:sz w:val="18"/>
                <w:szCs w:val="20"/>
              </w:rPr>
            </w:pPr>
            <w:r>
              <w:rPr>
                <w:sz w:val="18"/>
                <w:szCs w:val="20"/>
              </w:rPr>
              <w:t>单价</w:t>
            </w:r>
          </w:p>
        </w:tc>
        <w:tc>
          <w:tcPr>
            <w:tcW w:w="2500" w:type="pct"/>
            <w:gridSpan w:val="8"/>
            <w:vAlign w:val="center"/>
          </w:tcPr>
          <w:p>
            <w:pPr>
              <w:pStyle w:val="21"/>
              <w:rPr>
                <w:sz w:val="18"/>
                <w:szCs w:val="20"/>
              </w:rPr>
            </w:pPr>
            <w:r>
              <w:rPr>
                <w:sz w:val="18"/>
                <w:szCs w:val="20"/>
              </w:rPr>
              <w:t>政府采购金额（当年部门预算安排资金）</w:t>
            </w:r>
          </w:p>
        </w:tc>
        <w:tc>
          <w:tcPr>
            <w:tcW w:w="313" w:type="pct"/>
            <w:vMerge w:val="restart"/>
            <w:vAlign w:val="center"/>
          </w:tcPr>
          <w:p>
            <w:pPr>
              <w:pStyle w:val="21"/>
              <w:rPr>
                <w:sz w:val="18"/>
                <w:szCs w:val="20"/>
              </w:rPr>
            </w:pPr>
            <w:r>
              <w:rPr>
                <w:sz w:val="18"/>
                <w:szCs w:val="20"/>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426" w:type="pct"/>
            <w:vAlign w:val="center"/>
          </w:tcPr>
          <w:p>
            <w:pPr>
              <w:pStyle w:val="21"/>
              <w:rPr>
                <w:sz w:val="18"/>
                <w:szCs w:val="20"/>
              </w:rPr>
            </w:pPr>
            <w:r>
              <w:rPr>
                <w:sz w:val="18"/>
                <w:szCs w:val="20"/>
              </w:rPr>
              <w:t>项目名称</w:t>
            </w:r>
          </w:p>
        </w:tc>
        <w:tc>
          <w:tcPr>
            <w:tcW w:w="195" w:type="pct"/>
            <w:vAlign w:val="center"/>
          </w:tcPr>
          <w:p>
            <w:pPr>
              <w:pStyle w:val="21"/>
              <w:rPr>
                <w:sz w:val="18"/>
                <w:szCs w:val="20"/>
              </w:rPr>
            </w:pPr>
            <w:r>
              <w:rPr>
                <w:sz w:val="18"/>
                <w:szCs w:val="20"/>
              </w:rPr>
              <w:t>预算    资金</w:t>
            </w:r>
          </w:p>
        </w:tc>
        <w:tc>
          <w:tcPr>
            <w:tcW w:w="309" w:type="pct"/>
            <w:vMerge w:val="continue"/>
          </w:tcPr>
          <w:p>
            <w:pPr>
              <w:rPr>
                <w:sz w:val="18"/>
                <w:szCs w:val="20"/>
              </w:rPr>
            </w:pPr>
          </w:p>
        </w:tc>
        <w:tc>
          <w:tcPr>
            <w:tcW w:w="309" w:type="pct"/>
            <w:vMerge w:val="continue"/>
          </w:tcPr>
          <w:p>
            <w:pPr>
              <w:rPr>
                <w:sz w:val="18"/>
                <w:szCs w:val="20"/>
              </w:rPr>
            </w:pPr>
          </w:p>
        </w:tc>
        <w:tc>
          <w:tcPr>
            <w:tcW w:w="309" w:type="pct"/>
            <w:vMerge w:val="continue"/>
          </w:tcPr>
          <w:p>
            <w:pPr>
              <w:rPr>
                <w:sz w:val="18"/>
                <w:szCs w:val="20"/>
              </w:rPr>
            </w:pPr>
          </w:p>
        </w:tc>
        <w:tc>
          <w:tcPr>
            <w:tcW w:w="309" w:type="pct"/>
            <w:vMerge w:val="continue"/>
          </w:tcPr>
          <w:p>
            <w:pPr>
              <w:rPr>
                <w:sz w:val="18"/>
                <w:szCs w:val="20"/>
              </w:rPr>
            </w:pPr>
          </w:p>
        </w:tc>
        <w:tc>
          <w:tcPr>
            <w:tcW w:w="324" w:type="pct"/>
            <w:vMerge w:val="continue"/>
          </w:tcPr>
          <w:p>
            <w:pPr>
              <w:rPr>
                <w:sz w:val="18"/>
                <w:szCs w:val="20"/>
              </w:rPr>
            </w:pPr>
          </w:p>
        </w:tc>
        <w:tc>
          <w:tcPr>
            <w:tcW w:w="309" w:type="pct"/>
            <w:vAlign w:val="center"/>
          </w:tcPr>
          <w:p>
            <w:pPr>
              <w:pStyle w:val="21"/>
              <w:rPr>
                <w:sz w:val="18"/>
                <w:szCs w:val="20"/>
              </w:rPr>
            </w:pPr>
            <w:r>
              <w:rPr>
                <w:sz w:val="18"/>
                <w:szCs w:val="20"/>
              </w:rPr>
              <w:t>合计</w:t>
            </w:r>
          </w:p>
        </w:tc>
        <w:tc>
          <w:tcPr>
            <w:tcW w:w="309" w:type="pct"/>
            <w:vAlign w:val="center"/>
          </w:tcPr>
          <w:p>
            <w:pPr>
              <w:pStyle w:val="21"/>
              <w:rPr>
                <w:sz w:val="18"/>
                <w:szCs w:val="20"/>
              </w:rPr>
            </w:pPr>
            <w:r>
              <w:rPr>
                <w:sz w:val="18"/>
                <w:szCs w:val="20"/>
              </w:rPr>
              <w:t>一般公共预算拨款</w:t>
            </w:r>
          </w:p>
        </w:tc>
        <w:tc>
          <w:tcPr>
            <w:tcW w:w="309" w:type="pct"/>
            <w:vAlign w:val="center"/>
          </w:tcPr>
          <w:p>
            <w:pPr>
              <w:pStyle w:val="21"/>
              <w:rPr>
                <w:sz w:val="18"/>
                <w:szCs w:val="20"/>
              </w:rPr>
            </w:pPr>
            <w:r>
              <w:rPr>
                <w:sz w:val="18"/>
                <w:szCs w:val="20"/>
              </w:rPr>
              <w:t>基金预算拨款</w:t>
            </w:r>
          </w:p>
        </w:tc>
        <w:tc>
          <w:tcPr>
            <w:tcW w:w="309" w:type="pct"/>
            <w:vAlign w:val="center"/>
          </w:tcPr>
          <w:p>
            <w:pPr>
              <w:pStyle w:val="21"/>
              <w:rPr>
                <w:sz w:val="18"/>
                <w:szCs w:val="20"/>
              </w:rPr>
            </w:pPr>
            <w:r>
              <w:rPr>
                <w:sz w:val="18"/>
                <w:szCs w:val="20"/>
              </w:rPr>
              <w:t>国有资本经营预算拨款</w:t>
            </w:r>
          </w:p>
        </w:tc>
        <w:tc>
          <w:tcPr>
            <w:tcW w:w="310" w:type="pct"/>
            <w:vAlign w:val="center"/>
          </w:tcPr>
          <w:p>
            <w:pPr>
              <w:pStyle w:val="21"/>
              <w:rPr>
                <w:sz w:val="18"/>
                <w:szCs w:val="20"/>
              </w:rPr>
            </w:pPr>
            <w:r>
              <w:rPr>
                <w:sz w:val="18"/>
                <w:szCs w:val="20"/>
              </w:rPr>
              <w:t>财政专户核拨</w:t>
            </w:r>
          </w:p>
        </w:tc>
        <w:tc>
          <w:tcPr>
            <w:tcW w:w="311" w:type="pct"/>
            <w:vAlign w:val="center"/>
          </w:tcPr>
          <w:p>
            <w:pPr>
              <w:pStyle w:val="21"/>
              <w:rPr>
                <w:sz w:val="18"/>
                <w:szCs w:val="20"/>
              </w:rPr>
            </w:pPr>
            <w:r>
              <w:rPr>
                <w:sz w:val="18"/>
                <w:szCs w:val="20"/>
              </w:rPr>
              <w:t>单位    资金</w:t>
            </w:r>
          </w:p>
        </w:tc>
        <w:tc>
          <w:tcPr>
            <w:tcW w:w="312" w:type="pct"/>
            <w:vAlign w:val="center"/>
          </w:tcPr>
          <w:p>
            <w:pPr>
              <w:pStyle w:val="21"/>
              <w:rPr>
                <w:sz w:val="18"/>
                <w:szCs w:val="20"/>
              </w:rPr>
            </w:pPr>
            <w:r>
              <w:rPr>
                <w:sz w:val="18"/>
                <w:szCs w:val="20"/>
              </w:rPr>
              <w:t>财政拨    款结转</w:t>
            </w:r>
          </w:p>
        </w:tc>
        <w:tc>
          <w:tcPr>
            <w:tcW w:w="326" w:type="pct"/>
            <w:vAlign w:val="center"/>
          </w:tcPr>
          <w:p>
            <w:pPr>
              <w:pStyle w:val="21"/>
              <w:rPr>
                <w:sz w:val="18"/>
                <w:szCs w:val="20"/>
              </w:rPr>
            </w:pPr>
            <w:r>
              <w:rPr>
                <w:sz w:val="18"/>
                <w:szCs w:val="20"/>
              </w:rPr>
              <w:t>非财政    拨款结    转结余</w:t>
            </w:r>
          </w:p>
        </w:tc>
        <w:tc>
          <w:tcPr>
            <w:tcW w:w="313" w:type="pct"/>
            <w:vMerge w:val="continue"/>
          </w:tcPr>
          <w:p>
            <w:pPr>
              <w:rPr>
                <w:sz w:val="18"/>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426" w:type="pct"/>
            <w:vAlign w:val="center"/>
          </w:tcPr>
          <w:p>
            <w:pPr>
              <w:pStyle w:val="22"/>
              <w:rPr>
                <w:sz w:val="18"/>
                <w:szCs w:val="20"/>
              </w:rPr>
            </w:pPr>
            <w:r>
              <w:rPr>
                <w:sz w:val="18"/>
                <w:szCs w:val="20"/>
              </w:rPr>
              <w:t>合  计</w:t>
            </w:r>
          </w:p>
        </w:tc>
        <w:tc>
          <w:tcPr>
            <w:tcW w:w="195" w:type="pct"/>
            <w:vAlign w:val="center"/>
          </w:tcPr>
          <w:p>
            <w:pPr>
              <w:pStyle w:val="23"/>
              <w:rPr>
                <w:sz w:val="18"/>
                <w:szCs w:val="20"/>
              </w:rPr>
            </w:pPr>
          </w:p>
        </w:tc>
        <w:tc>
          <w:tcPr>
            <w:tcW w:w="309" w:type="pct"/>
            <w:vAlign w:val="center"/>
          </w:tcPr>
          <w:p>
            <w:pPr>
              <w:pStyle w:val="24"/>
              <w:rPr>
                <w:sz w:val="18"/>
                <w:szCs w:val="20"/>
              </w:rPr>
            </w:pPr>
          </w:p>
        </w:tc>
        <w:tc>
          <w:tcPr>
            <w:tcW w:w="309" w:type="pct"/>
            <w:vAlign w:val="center"/>
          </w:tcPr>
          <w:p>
            <w:pPr>
              <w:pStyle w:val="24"/>
              <w:rPr>
                <w:sz w:val="18"/>
                <w:szCs w:val="20"/>
              </w:rPr>
            </w:pPr>
          </w:p>
        </w:tc>
        <w:tc>
          <w:tcPr>
            <w:tcW w:w="309" w:type="pct"/>
            <w:vAlign w:val="center"/>
          </w:tcPr>
          <w:p>
            <w:pPr>
              <w:pStyle w:val="22"/>
              <w:rPr>
                <w:sz w:val="18"/>
                <w:szCs w:val="20"/>
              </w:rPr>
            </w:pPr>
          </w:p>
        </w:tc>
        <w:tc>
          <w:tcPr>
            <w:tcW w:w="309" w:type="pct"/>
            <w:vAlign w:val="center"/>
          </w:tcPr>
          <w:p>
            <w:pPr>
              <w:pStyle w:val="23"/>
              <w:rPr>
                <w:sz w:val="18"/>
                <w:szCs w:val="20"/>
              </w:rPr>
            </w:pPr>
          </w:p>
        </w:tc>
        <w:tc>
          <w:tcPr>
            <w:tcW w:w="324" w:type="pct"/>
            <w:vAlign w:val="center"/>
          </w:tcPr>
          <w:p>
            <w:pPr>
              <w:pStyle w:val="23"/>
              <w:rPr>
                <w:sz w:val="18"/>
                <w:szCs w:val="20"/>
              </w:rPr>
            </w:pPr>
          </w:p>
        </w:tc>
        <w:tc>
          <w:tcPr>
            <w:tcW w:w="309" w:type="pct"/>
            <w:vAlign w:val="center"/>
          </w:tcPr>
          <w:p>
            <w:pPr>
              <w:pStyle w:val="23"/>
              <w:rPr>
                <w:sz w:val="18"/>
                <w:szCs w:val="20"/>
              </w:rPr>
            </w:pPr>
          </w:p>
        </w:tc>
        <w:tc>
          <w:tcPr>
            <w:tcW w:w="309" w:type="pct"/>
            <w:vAlign w:val="center"/>
          </w:tcPr>
          <w:p>
            <w:pPr>
              <w:pStyle w:val="23"/>
              <w:rPr>
                <w:sz w:val="18"/>
                <w:szCs w:val="20"/>
              </w:rPr>
            </w:pPr>
          </w:p>
        </w:tc>
        <w:tc>
          <w:tcPr>
            <w:tcW w:w="309" w:type="pct"/>
            <w:vAlign w:val="center"/>
          </w:tcPr>
          <w:p>
            <w:pPr>
              <w:pStyle w:val="23"/>
              <w:rPr>
                <w:sz w:val="18"/>
                <w:szCs w:val="20"/>
              </w:rPr>
            </w:pPr>
          </w:p>
        </w:tc>
        <w:tc>
          <w:tcPr>
            <w:tcW w:w="309" w:type="pct"/>
            <w:vAlign w:val="center"/>
          </w:tcPr>
          <w:p>
            <w:pPr>
              <w:pStyle w:val="23"/>
              <w:rPr>
                <w:sz w:val="18"/>
                <w:szCs w:val="20"/>
              </w:rPr>
            </w:pPr>
          </w:p>
        </w:tc>
        <w:tc>
          <w:tcPr>
            <w:tcW w:w="310" w:type="pct"/>
            <w:vAlign w:val="center"/>
          </w:tcPr>
          <w:p>
            <w:pPr>
              <w:pStyle w:val="23"/>
              <w:rPr>
                <w:sz w:val="18"/>
                <w:szCs w:val="20"/>
              </w:rPr>
            </w:pPr>
          </w:p>
        </w:tc>
        <w:tc>
          <w:tcPr>
            <w:tcW w:w="311" w:type="pct"/>
            <w:vAlign w:val="center"/>
          </w:tcPr>
          <w:p>
            <w:pPr>
              <w:pStyle w:val="23"/>
              <w:rPr>
                <w:sz w:val="18"/>
                <w:szCs w:val="20"/>
              </w:rPr>
            </w:pPr>
          </w:p>
        </w:tc>
        <w:tc>
          <w:tcPr>
            <w:tcW w:w="312" w:type="pct"/>
            <w:vAlign w:val="center"/>
          </w:tcPr>
          <w:p>
            <w:pPr>
              <w:pStyle w:val="23"/>
              <w:rPr>
                <w:sz w:val="18"/>
                <w:szCs w:val="20"/>
              </w:rPr>
            </w:pPr>
          </w:p>
        </w:tc>
        <w:tc>
          <w:tcPr>
            <w:tcW w:w="326" w:type="pct"/>
            <w:vAlign w:val="center"/>
          </w:tcPr>
          <w:p>
            <w:pPr>
              <w:pStyle w:val="23"/>
              <w:rPr>
                <w:sz w:val="18"/>
                <w:szCs w:val="20"/>
              </w:rPr>
            </w:pPr>
          </w:p>
        </w:tc>
        <w:tc>
          <w:tcPr>
            <w:tcW w:w="313" w:type="pct"/>
            <w:vAlign w:val="center"/>
          </w:tcPr>
          <w:p>
            <w:pPr>
              <w:pStyle w:val="23"/>
              <w:rPr>
                <w:sz w:val="18"/>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3" w:hRule="atLeast"/>
        </w:trPr>
        <w:tc>
          <w:tcPr>
            <w:tcW w:w="426" w:type="pct"/>
            <w:vAlign w:val="center"/>
          </w:tcPr>
          <w:p>
            <w:pPr>
              <w:pStyle w:val="22"/>
              <w:rPr>
                <w:sz w:val="18"/>
                <w:szCs w:val="20"/>
              </w:rPr>
            </w:pPr>
            <w:r>
              <w:rPr>
                <w:sz w:val="18"/>
                <w:szCs w:val="20"/>
              </w:rPr>
              <w:t>曹妃甸</w:t>
            </w:r>
            <w:r>
              <w:rPr>
                <w:rFonts w:hint="eastAsia"/>
                <w:sz w:val="18"/>
                <w:szCs w:val="20"/>
                <w:lang w:val="en-US" w:eastAsia="zh-CN"/>
              </w:rPr>
              <w:t>港口物流园区</w:t>
            </w:r>
            <w:r>
              <w:rPr>
                <w:sz w:val="18"/>
                <w:szCs w:val="20"/>
              </w:rPr>
              <w:t>管理委员会本级小计</w:t>
            </w:r>
          </w:p>
        </w:tc>
        <w:tc>
          <w:tcPr>
            <w:tcW w:w="195" w:type="pct"/>
            <w:vAlign w:val="center"/>
          </w:tcPr>
          <w:p>
            <w:pPr>
              <w:pStyle w:val="23"/>
              <w:rPr>
                <w:sz w:val="18"/>
                <w:szCs w:val="20"/>
              </w:rPr>
            </w:pPr>
          </w:p>
        </w:tc>
        <w:tc>
          <w:tcPr>
            <w:tcW w:w="309" w:type="pct"/>
            <w:vAlign w:val="center"/>
          </w:tcPr>
          <w:p>
            <w:pPr>
              <w:pStyle w:val="24"/>
              <w:rPr>
                <w:sz w:val="18"/>
                <w:szCs w:val="20"/>
              </w:rPr>
            </w:pPr>
          </w:p>
        </w:tc>
        <w:tc>
          <w:tcPr>
            <w:tcW w:w="309" w:type="pct"/>
            <w:vAlign w:val="center"/>
          </w:tcPr>
          <w:p>
            <w:pPr>
              <w:pStyle w:val="24"/>
              <w:rPr>
                <w:sz w:val="18"/>
                <w:szCs w:val="20"/>
              </w:rPr>
            </w:pPr>
          </w:p>
        </w:tc>
        <w:tc>
          <w:tcPr>
            <w:tcW w:w="309" w:type="pct"/>
            <w:vAlign w:val="center"/>
          </w:tcPr>
          <w:p>
            <w:pPr>
              <w:pStyle w:val="22"/>
              <w:rPr>
                <w:sz w:val="18"/>
                <w:szCs w:val="20"/>
              </w:rPr>
            </w:pPr>
          </w:p>
        </w:tc>
        <w:tc>
          <w:tcPr>
            <w:tcW w:w="309" w:type="pct"/>
            <w:vAlign w:val="center"/>
          </w:tcPr>
          <w:p>
            <w:pPr>
              <w:pStyle w:val="23"/>
              <w:rPr>
                <w:sz w:val="18"/>
                <w:szCs w:val="20"/>
              </w:rPr>
            </w:pPr>
          </w:p>
        </w:tc>
        <w:tc>
          <w:tcPr>
            <w:tcW w:w="324" w:type="pct"/>
            <w:vAlign w:val="center"/>
          </w:tcPr>
          <w:p>
            <w:pPr>
              <w:pStyle w:val="23"/>
              <w:rPr>
                <w:sz w:val="18"/>
                <w:szCs w:val="20"/>
              </w:rPr>
            </w:pPr>
          </w:p>
        </w:tc>
        <w:tc>
          <w:tcPr>
            <w:tcW w:w="309" w:type="pct"/>
            <w:vAlign w:val="center"/>
          </w:tcPr>
          <w:p>
            <w:pPr>
              <w:pStyle w:val="23"/>
              <w:rPr>
                <w:rFonts w:hint="eastAsia" w:eastAsia="方正书宋_GBK"/>
                <w:sz w:val="18"/>
                <w:szCs w:val="20"/>
                <w:lang w:eastAsia="zh-CN"/>
              </w:rPr>
            </w:pPr>
          </w:p>
        </w:tc>
        <w:tc>
          <w:tcPr>
            <w:tcW w:w="309" w:type="pct"/>
            <w:vAlign w:val="center"/>
          </w:tcPr>
          <w:p>
            <w:pPr>
              <w:pStyle w:val="23"/>
              <w:rPr>
                <w:sz w:val="18"/>
                <w:szCs w:val="20"/>
              </w:rPr>
            </w:pPr>
          </w:p>
        </w:tc>
        <w:tc>
          <w:tcPr>
            <w:tcW w:w="309" w:type="pct"/>
            <w:vAlign w:val="center"/>
          </w:tcPr>
          <w:p>
            <w:pPr>
              <w:pStyle w:val="23"/>
              <w:rPr>
                <w:sz w:val="18"/>
                <w:szCs w:val="20"/>
              </w:rPr>
            </w:pPr>
          </w:p>
        </w:tc>
        <w:tc>
          <w:tcPr>
            <w:tcW w:w="309" w:type="pct"/>
            <w:vAlign w:val="center"/>
          </w:tcPr>
          <w:p>
            <w:pPr>
              <w:pStyle w:val="23"/>
              <w:rPr>
                <w:sz w:val="18"/>
                <w:szCs w:val="20"/>
              </w:rPr>
            </w:pPr>
          </w:p>
        </w:tc>
        <w:tc>
          <w:tcPr>
            <w:tcW w:w="310" w:type="pct"/>
            <w:vAlign w:val="center"/>
          </w:tcPr>
          <w:p>
            <w:pPr>
              <w:pStyle w:val="23"/>
              <w:rPr>
                <w:sz w:val="18"/>
                <w:szCs w:val="20"/>
              </w:rPr>
            </w:pPr>
          </w:p>
        </w:tc>
        <w:tc>
          <w:tcPr>
            <w:tcW w:w="311" w:type="pct"/>
            <w:vAlign w:val="center"/>
          </w:tcPr>
          <w:p>
            <w:pPr>
              <w:pStyle w:val="23"/>
              <w:rPr>
                <w:sz w:val="18"/>
                <w:szCs w:val="20"/>
              </w:rPr>
            </w:pPr>
          </w:p>
        </w:tc>
        <w:tc>
          <w:tcPr>
            <w:tcW w:w="312" w:type="pct"/>
            <w:vAlign w:val="center"/>
          </w:tcPr>
          <w:p>
            <w:pPr>
              <w:pStyle w:val="23"/>
              <w:rPr>
                <w:sz w:val="18"/>
                <w:szCs w:val="20"/>
              </w:rPr>
            </w:pPr>
          </w:p>
        </w:tc>
        <w:tc>
          <w:tcPr>
            <w:tcW w:w="326" w:type="pct"/>
            <w:vAlign w:val="center"/>
          </w:tcPr>
          <w:p>
            <w:pPr>
              <w:pStyle w:val="23"/>
              <w:rPr>
                <w:sz w:val="18"/>
                <w:szCs w:val="20"/>
              </w:rPr>
            </w:pPr>
          </w:p>
        </w:tc>
        <w:tc>
          <w:tcPr>
            <w:tcW w:w="313" w:type="pct"/>
            <w:vAlign w:val="center"/>
          </w:tcPr>
          <w:p>
            <w:pPr>
              <w:pStyle w:val="23"/>
              <w:rPr>
                <w:sz w:val="18"/>
                <w:szCs w:val="20"/>
              </w:rPr>
            </w:pPr>
          </w:p>
        </w:tc>
      </w:tr>
    </w:tbl>
    <w:p>
      <w:pPr>
        <w:jc w:val="center"/>
        <w:rPr>
          <w:rFonts w:hint="eastAsia"/>
          <w:sz w:val="32"/>
          <w:szCs w:val="32"/>
        </w:rPr>
      </w:pPr>
      <w:r>
        <w:rPr>
          <w:rFonts w:hint="eastAsia"/>
          <w:sz w:val="32"/>
          <w:szCs w:val="32"/>
        </w:rPr>
        <w:t>部门政府采购预算</w:t>
      </w:r>
    </w:p>
    <w:p>
      <w:pPr>
        <w:outlineLvl w:val="0"/>
        <w:rPr>
          <w:rFonts w:hint="eastAsia" w:ascii="仿宋_GB2312" w:hAnsi="黑体" w:eastAsia="仿宋_GB2312" w:cs="Times New Roman"/>
          <w:sz w:val="32"/>
          <w:szCs w:val="32"/>
          <w:lang w:val="en-US" w:eastAsia="zh-CN"/>
        </w:rPr>
      </w:pPr>
    </w:p>
    <w:p>
      <w:pPr>
        <w:autoSpaceDE w:val="0"/>
        <w:autoSpaceDN w:val="0"/>
        <w:adjustRightInd w:val="0"/>
        <w:ind w:firstLine="320" w:firstLineChars="100"/>
        <w:jc w:val="left"/>
        <w:rPr>
          <w:rFonts w:hint="eastAsia" w:ascii="黑体" w:hAnsi="黑体" w:eastAsia="黑体" w:cs="Times New Roman"/>
          <w:sz w:val="32"/>
          <w:szCs w:val="32"/>
        </w:rPr>
      </w:pPr>
    </w:p>
    <w:p>
      <w:pPr>
        <w:autoSpaceDE w:val="0"/>
        <w:autoSpaceDN w:val="0"/>
        <w:adjustRightInd w:val="0"/>
        <w:ind w:firstLine="320" w:firstLineChars="100"/>
        <w:jc w:val="left"/>
        <w:rPr>
          <w:rFonts w:ascii="黑体" w:hAnsi="黑体" w:eastAsia="黑体" w:cs="Times New Roman"/>
          <w:sz w:val="32"/>
          <w:szCs w:val="32"/>
        </w:rPr>
      </w:pPr>
      <w:bookmarkStart w:id="0" w:name="_GoBack"/>
      <w:bookmarkEnd w:id="0"/>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582.34</w:t>
      </w:r>
      <w:r>
        <w:rPr>
          <w:rFonts w:hint="eastAsia" w:ascii="仿宋_GB2312" w:hAnsi="黑体" w:eastAsia="仿宋_GB2312" w:cs="Times New Roman"/>
          <w:sz w:val="32"/>
          <w:szCs w:val="32"/>
        </w:rPr>
        <w:t>万元，</w:t>
      </w:r>
      <w:r>
        <w:rPr>
          <w:rFonts w:hint="eastAsia" w:ascii="仿宋_GB2312" w:hAnsi="黑体" w:eastAsia="仿宋_GB2312" w:cs="Times New Roman"/>
          <w:sz w:val="32"/>
          <w:szCs w:val="32"/>
          <w:lang w:val="en-US" w:eastAsia="zh-CN"/>
        </w:rPr>
        <w:t>均为20万元以下的设备。</w:t>
      </w:r>
      <w:r>
        <w:rPr>
          <w:rFonts w:hint="eastAsia" w:ascii="仿宋_GB2312" w:hAnsi="黑体" w:eastAsia="仿宋_GB2312" w:cs="Times New Roman"/>
          <w:sz w:val="32"/>
          <w:szCs w:val="32"/>
        </w:rPr>
        <w:t>本年度</w:t>
      </w:r>
      <w:r>
        <w:rPr>
          <w:rFonts w:hint="eastAsia" w:ascii="仿宋_GB2312" w:hAnsi="黑体" w:eastAsia="仿宋_GB2312" w:cs="Times New Roman"/>
          <w:sz w:val="32"/>
          <w:szCs w:val="32"/>
          <w:lang w:eastAsia="zh-CN"/>
        </w:rPr>
        <w:t>未</w:t>
      </w:r>
      <w:r>
        <w:rPr>
          <w:rFonts w:hint="eastAsia" w:ascii="仿宋_GB2312" w:hAnsi="黑体" w:eastAsia="仿宋_GB2312" w:cs="Times New Roman"/>
          <w:sz w:val="32"/>
          <w:szCs w:val="32"/>
        </w:rPr>
        <w:t>购置固定资产主要为</w:t>
      </w:r>
      <w:r>
        <w:rPr>
          <w:rFonts w:hint="eastAsia" w:ascii="仿宋_GB2312" w:hAnsi="黑体" w:eastAsia="仿宋_GB2312" w:cs="Times New Roman"/>
          <w:sz w:val="32"/>
          <w:szCs w:val="32"/>
          <w:lang w:eastAsia="zh-CN"/>
        </w:rPr>
        <w:t>电脑、笔记本、复印机、打印机、扫描仪等设备，共计</w:t>
      </w:r>
      <w:r>
        <w:rPr>
          <w:rFonts w:hint="eastAsia" w:ascii="仿宋_GB2312" w:hAnsi="黑体" w:eastAsia="仿宋_GB2312" w:cs="Times New Roman"/>
          <w:sz w:val="32"/>
          <w:szCs w:val="32"/>
          <w:lang w:val="en-US" w:eastAsia="zh-CN"/>
        </w:rPr>
        <w:t>0万元。</w:t>
      </w:r>
    </w:p>
    <w:tbl>
      <w:tblPr>
        <w:tblStyle w:val="9"/>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1"/>
        <w:gridCol w:w="3304"/>
        <w:gridCol w:w="5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14120" w:type="dxa"/>
            <w:gridSpan w:val="3"/>
            <w:tcBorders>
              <w:top w:val="nil"/>
              <w:left w:val="nil"/>
              <w:bottom w:val="nil"/>
              <w:right w:val="nil"/>
            </w:tcBorders>
            <w:vAlign w:val="center"/>
          </w:tcPr>
          <w:p>
            <w:pPr>
              <w:widowControl/>
              <w:jc w:val="center"/>
              <w:rPr>
                <w:rFonts w:ascii="宋体" w:hAnsi="宋体" w:eastAsia="宋体" w:cs="宋体"/>
                <w:b/>
                <w:bCs/>
                <w:kern w:val="0"/>
                <w:sz w:val="32"/>
                <w:szCs w:val="32"/>
              </w:rPr>
            </w:pPr>
            <w:r>
              <w:rPr>
                <w:rFonts w:hint="eastAsia" w:ascii="宋体" w:hAnsi="宋体" w:cs="宋体"/>
                <w:b/>
                <w:bCs/>
                <w:kern w:val="0"/>
                <w:sz w:val="32"/>
                <w:szCs w:val="32"/>
                <w:lang w:eastAsia="zh-CN"/>
              </w:rPr>
              <w:t>曹妃甸港口物流园区管理委员会</w:t>
            </w:r>
            <w:r>
              <w:rPr>
                <w:rFonts w:hint="eastAsia" w:ascii="宋体" w:hAnsi="宋体" w:eastAsia="宋体" w:cs="宋体"/>
                <w:b/>
                <w:bCs/>
                <w:kern w:val="0"/>
                <w:sz w:val="32"/>
                <w:szCs w:val="32"/>
              </w:rPr>
              <w:t>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75" w:type="dxa"/>
            <w:gridSpan w:val="2"/>
            <w:tcBorders>
              <w:top w:val="nil"/>
              <w:left w:val="nil"/>
              <w:bottom w:val="nil"/>
              <w:right w:val="nil"/>
            </w:tcBorders>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编制部门：</w:t>
            </w:r>
            <w:r>
              <w:rPr>
                <w:rFonts w:hint="eastAsia" w:ascii="宋体" w:hAnsi="宋体" w:cs="宋体"/>
                <w:kern w:val="0"/>
                <w:sz w:val="22"/>
                <w:lang w:eastAsia="zh-CN"/>
              </w:rPr>
              <w:t>曹妃甸港口物流园区管理委员会</w:t>
            </w:r>
          </w:p>
        </w:tc>
        <w:tc>
          <w:tcPr>
            <w:tcW w:w="5345" w:type="dxa"/>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cs="宋体"/>
                <w:kern w:val="0"/>
                <w:sz w:val="22"/>
                <w:lang w:val="en-US" w:eastAsia="zh-CN"/>
              </w:rPr>
              <w:t>21</w:t>
            </w:r>
            <w:r>
              <w:rPr>
                <w:rFonts w:hint="eastAsia" w:ascii="宋体" w:hAnsi="宋体" w:eastAsia="宋体" w:cs="宋体"/>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30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3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资产总额</w:t>
            </w:r>
          </w:p>
        </w:tc>
        <w:tc>
          <w:tcPr>
            <w:tcW w:w="330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3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582.34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1、房屋（平方米）</w:t>
            </w:r>
          </w:p>
        </w:tc>
        <w:tc>
          <w:tcPr>
            <w:tcW w:w="330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c>
          <w:tcPr>
            <w:tcW w:w="534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其中：办公用房（平方米）</w:t>
            </w:r>
          </w:p>
        </w:tc>
        <w:tc>
          <w:tcPr>
            <w:tcW w:w="330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c>
          <w:tcPr>
            <w:tcW w:w="534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2、车辆（台、辆）</w:t>
            </w:r>
          </w:p>
        </w:tc>
        <w:tc>
          <w:tcPr>
            <w:tcW w:w="330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w:t>
            </w:r>
          </w:p>
        </w:tc>
        <w:tc>
          <w:tcPr>
            <w:tcW w:w="53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40.90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47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3、单价在20万元以上设备</w:t>
            </w:r>
          </w:p>
        </w:tc>
        <w:tc>
          <w:tcPr>
            <w:tcW w:w="330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34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47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4、其他固定资产</w:t>
            </w:r>
          </w:p>
        </w:tc>
        <w:tc>
          <w:tcPr>
            <w:tcW w:w="330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34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0</w:t>
            </w:r>
          </w:p>
        </w:tc>
      </w:tr>
    </w:tbl>
    <w:p>
      <w:pPr>
        <w:ind w:firstLine="640"/>
        <w:rPr>
          <w:rFonts w:ascii="仿宋_GB2312" w:hAnsi="黑体" w:eastAsia="仿宋_GB2312" w:cs="Times New Roman"/>
          <w:color w:val="FF0000"/>
          <w:sz w:val="32"/>
          <w:szCs w:val="32"/>
        </w:rPr>
      </w:pPr>
    </w:p>
    <w:p>
      <w:pPr>
        <w:rPr>
          <w:rFonts w:hint="eastAsia" w:ascii="仿宋_GB2312" w:hAnsi="黑体" w:eastAsia="仿宋_GB2312" w:cs="Times New Roman"/>
          <w:color w:val="auto"/>
          <w:sz w:val="32"/>
          <w:szCs w:val="32"/>
          <w:lang w:val="en-US" w:eastAsia="zh-CN"/>
        </w:rPr>
      </w:pPr>
    </w:p>
    <w:p>
      <w:pPr>
        <w:numPr>
          <w:ilvl w:val="0"/>
          <w:numId w:val="4"/>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1、一般预算收入：财政当年拨付的资金。</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2、基本支出：为保障机构正常运转，完成日常工作任务，而发生的人员支出和公用支出。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3、项目支出：是指在基本支出之外，为完成特定行政任务和事业发展目标，而发生的支出。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机关运行费：是指为保证行政单位（包括参照公务员管理的事业单位）运行，用于购买货物和服务的各项资金。主要包括：办公费、印刷费，水费、电费、邮电费、福利费、日常维修费、办公物业服务费、公务车运行维护费等。</w:t>
      </w:r>
    </w:p>
    <w:p>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我部门无其他需要说明的事项。</w:t>
      </w:r>
    </w:p>
    <w:p>
      <w:pPr>
        <w:pStyle w:val="8"/>
        <w:jc w:val="both"/>
        <w:rPr>
          <w:rFonts w:hint="eastAsia"/>
        </w:rPr>
      </w:pPr>
      <w:r>
        <w:rPr>
          <w:rFonts w:hint="eastAsia"/>
          <w:sz w:val="28"/>
        </w:rPr>
        <w:t xml:space="preserve">         </w:t>
      </w:r>
      <w:r>
        <w:t xml:space="preserve">                                                </w:t>
      </w:r>
    </w:p>
    <w:p>
      <w:pPr>
        <w:rPr>
          <w:rFonts w:hint="eastAsia" w:ascii="仿宋_GB2312" w:hAnsi="仿宋_GB2312" w:eastAsia="仿宋_GB2312" w:cs="仿宋_GB2312"/>
          <w:sz w:val="32"/>
          <w:szCs w:val="32"/>
        </w:rPr>
      </w:pPr>
    </w:p>
    <w:sectPr>
      <w:headerReference r:id="rId3" w:type="default"/>
      <w:footerReference r:id="rId4"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宋体"/>
    <w:panose1 w:val="03000509000000000000"/>
    <w:charset w:val="86"/>
    <w:family w:val="auto"/>
    <w:pitch w:val="default"/>
    <w:sig w:usb0="00000000" w:usb1="00000000" w:usb2="00000010" w:usb3="00000000" w:csb0="00040000" w:csb1="00000000"/>
  </w:font>
  <w:font w:name="方正小标宋_GBK">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76</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abstractNum w:abstractNumId="2">
    <w:nsid w:val="5909A0EE"/>
    <w:multiLevelType w:val="singleLevel"/>
    <w:tmpl w:val="5909A0EE"/>
    <w:lvl w:ilvl="0" w:tentative="0">
      <w:start w:val="1"/>
      <w:numFmt w:val="chineseCounting"/>
      <w:suff w:val="nothing"/>
      <w:lvlText w:val="%1、"/>
      <w:lvlJc w:val="left"/>
    </w:lvl>
  </w:abstractNum>
  <w:abstractNum w:abstractNumId="3">
    <w:nsid w:val="5909A57E"/>
    <w:multiLevelType w:val="singleLevel"/>
    <w:tmpl w:val="5909A57E"/>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ZWNkMjMwZjI0MjRjNWZhMjJlZmVhNGZkZGZhNzgifQ=="/>
  </w:docVars>
  <w:rsids>
    <w:rsidRoot w:val="00172A27"/>
    <w:rsid w:val="000B7EA5"/>
    <w:rsid w:val="02335EF2"/>
    <w:rsid w:val="043106FB"/>
    <w:rsid w:val="04897001"/>
    <w:rsid w:val="04B35221"/>
    <w:rsid w:val="05254915"/>
    <w:rsid w:val="06526A52"/>
    <w:rsid w:val="067564CD"/>
    <w:rsid w:val="072916E2"/>
    <w:rsid w:val="081465EC"/>
    <w:rsid w:val="08B872E5"/>
    <w:rsid w:val="094C2684"/>
    <w:rsid w:val="0B0816B0"/>
    <w:rsid w:val="0D3D7863"/>
    <w:rsid w:val="0DC25EEE"/>
    <w:rsid w:val="0E5E3DC1"/>
    <w:rsid w:val="0EFA3881"/>
    <w:rsid w:val="0F395075"/>
    <w:rsid w:val="102E0CE7"/>
    <w:rsid w:val="10E7652F"/>
    <w:rsid w:val="114A2081"/>
    <w:rsid w:val="11B14DCE"/>
    <w:rsid w:val="11BD51BB"/>
    <w:rsid w:val="13082AF4"/>
    <w:rsid w:val="131D7EA0"/>
    <w:rsid w:val="132D779A"/>
    <w:rsid w:val="13B924F4"/>
    <w:rsid w:val="13FE75A2"/>
    <w:rsid w:val="149505C6"/>
    <w:rsid w:val="14B22D62"/>
    <w:rsid w:val="162E3AC8"/>
    <w:rsid w:val="173E1959"/>
    <w:rsid w:val="17B27C12"/>
    <w:rsid w:val="182B5206"/>
    <w:rsid w:val="187044D8"/>
    <w:rsid w:val="18E406CF"/>
    <w:rsid w:val="19E05BC3"/>
    <w:rsid w:val="1A6C0E84"/>
    <w:rsid w:val="1A7C3068"/>
    <w:rsid w:val="1A8C400A"/>
    <w:rsid w:val="1AF16905"/>
    <w:rsid w:val="1B0D5892"/>
    <w:rsid w:val="1B6C046B"/>
    <w:rsid w:val="1BAF6B37"/>
    <w:rsid w:val="1C6D28A3"/>
    <w:rsid w:val="1CC5044C"/>
    <w:rsid w:val="1D8544C7"/>
    <w:rsid w:val="1D8D4321"/>
    <w:rsid w:val="1DAC622F"/>
    <w:rsid w:val="1DC43078"/>
    <w:rsid w:val="1E90517C"/>
    <w:rsid w:val="1F436A91"/>
    <w:rsid w:val="20490F69"/>
    <w:rsid w:val="20880B42"/>
    <w:rsid w:val="20C43791"/>
    <w:rsid w:val="20D06600"/>
    <w:rsid w:val="21031285"/>
    <w:rsid w:val="214C5F33"/>
    <w:rsid w:val="22F056FB"/>
    <w:rsid w:val="23813FB8"/>
    <w:rsid w:val="24621FB6"/>
    <w:rsid w:val="24D1323C"/>
    <w:rsid w:val="253476E6"/>
    <w:rsid w:val="2557532B"/>
    <w:rsid w:val="2573511A"/>
    <w:rsid w:val="26A175C9"/>
    <w:rsid w:val="26B55F79"/>
    <w:rsid w:val="270A468A"/>
    <w:rsid w:val="291809A3"/>
    <w:rsid w:val="29C25FBF"/>
    <w:rsid w:val="2A143B39"/>
    <w:rsid w:val="2B2D036C"/>
    <w:rsid w:val="2B675316"/>
    <w:rsid w:val="2BAD07C1"/>
    <w:rsid w:val="2BDB1F80"/>
    <w:rsid w:val="2BE15490"/>
    <w:rsid w:val="2C0A2AA6"/>
    <w:rsid w:val="2C343CEB"/>
    <w:rsid w:val="2C752E78"/>
    <w:rsid w:val="2C973BA3"/>
    <w:rsid w:val="2CD91EE1"/>
    <w:rsid w:val="2D3D47D0"/>
    <w:rsid w:val="2D9F209F"/>
    <w:rsid w:val="2DAA1CBF"/>
    <w:rsid w:val="2DF3678A"/>
    <w:rsid w:val="2DFA07EA"/>
    <w:rsid w:val="2EE35562"/>
    <w:rsid w:val="2FAF2DC0"/>
    <w:rsid w:val="30AF37BE"/>
    <w:rsid w:val="33806FB3"/>
    <w:rsid w:val="344872CF"/>
    <w:rsid w:val="35D22DC1"/>
    <w:rsid w:val="37346343"/>
    <w:rsid w:val="376059F1"/>
    <w:rsid w:val="38781EDD"/>
    <w:rsid w:val="38D371F1"/>
    <w:rsid w:val="39B624A1"/>
    <w:rsid w:val="3B4A4354"/>
    <w:rsid w:val="3B9D05E2"/>
    <w:rsid w:val="3B9D3F7B"/>
    <w:rsid w:val="3BC06A63"/>
    <w:rsid w:val="3BFB4B1E"/>
    <w:rsid w:val="3C885F88"/>
    <w:rsid w:val="3CD51860"/>
    <w:rsid w:val="3CE615CC"/>
    <w:rsid w:val="3DF441D1"/>
    <w:rsid w:val="3EAA5A68"/>
    <w:rsid w:val="3F0323B6"/>
    <w:rsid w:val="3F140787"/>
    <w:rsid w:val="3F3F4706"/>
    <w:rsid w:val="3F550749"/>
    <w:rsid w:val="3F675A63"/>
    <w:rsid w:val="3FB01BED"/>
    <w:rsid w:val="40157E42"/>
    <w:rsid w:val="417B1318"/>
    <w:rsid w:val="419201A7"/>
    <w:rsid w:val="42646472"/>
    <w:rsid w:val="43F16B09"/>
    <w:rsid w:val="456D6663"/>
    <w:rsid w:val="45822C50"/>
    <w:rsid w:val="45DE55A4"/>
    <w:rsid w:val="460974D0"/>
    <w:rsid w:val="477E5776"/>
    <w:rsid w:val="47E52DBD"/>
    <w:rsid w:val="48C0054A"/>
    <w:rsid w:val="4AAC2E03"/>
    <w:rsid w:val="4AD67916"/>
    <w:rsid w:val="4AEC470D"/>
    <w:rsid w:val="4B120823"/>
    <w:rsid w:val="4BB8691C"/>
    <w:rsid w:val="4C1549E2"/>
    <w:rsid w:val="4C9D40EB"/>
    <w:rsid w:val="4D667939"/>
    <w:rsid w:val="4E116BA7"/>
    <w:rsid w:val="4EFB5CEB"/>
    <w:rsid w:val="4F5B7E1F"/>
    <w:rsid w:val="4F762266"/>
    <w:rsid w:val="507B57E7"/>
    <w:rsid w:val="50D61A4B"/>
    <w:rsid w:val="516D3442"/>
    <w:rsid w:val="51974DC8"/>
    <w:rsid w:val="525A132C"/>
    <w:rsid w:val="52F74406"/>
    <w:rsid w:val="53934B54"/>
    <w:rsid w:val="558F476A"/>
    <w:rsid w:val="56412769"/>
    <w:rsid w:val="567974AC"/>
    <w:rsid w:val="56A439CF"/>
    <w:rsid w:val="57BE1E56"/>
    <w:rsid w:val="588958A6"/>
    <w:rsid w:val="59727FA3"/>
    <w:rsid w:val="59D52016"/>
    <w:rsid w:val="5B0A7539"/>
    <w:rsid w:val="5C5C3E00"/>
    <w:rsid w:val="5CF32068"/>
    <w:rsid w:val="5D534355"/>
    <w:rsid w:val="5E864621"/>
    <w:rsid w:val="60023ECA"/>
    <w:rsid w:val="6238581B"/>
    <w:rsid w:val="62F7325E"/>
    <w:rsid w:val="633119FF"/>
    <w:rsid w:val="64521C97"/>
    <w:rsid w:val="64D511C6"/>
    <w:rsid w:val="652A4135"/>
    <w:rsid w:val="652C469D"/>
    <w:rsid w:val="65984BDE"/>
    <w:rsid w:val="66156FDB"/>
    <w:rsid w:val="66C86594"/>
    <w:rsid w:val="67C9021A"/>
    <w:rsid w:val="67D11E56"/>
    <w:rsid w:val="68875A82"/>
    <w:rsid w:val="6A0A6271"/>
    <w:rsid w:val="6B114F2F"/>
    <w:rsid w:val="6BDC690F"/>
    <w:rsid w:val="6BF81301"/>
    <w:rsid w:val="6C152CE1"/>
    <w:rsid w:val="6C7A6CD1"/>
    <w:rsid w:val="6F0E2FEB"/>
    <w:rsid w:val="6F123BFA"/>
    <w:rsid w:val="6FA2576F"/>
    <w:rsid w:val="6FAB432A"/>
    <w:rsid w:val="6FF75DFC"/>
    <w:rsid w:val="7056335F"/>
    <w:rsid w:val="712552E9"/>
    <w:rsid w:val="73B72B75"/>
    <w:rsid w:val="74041146"/>
    <w:rsid w:val="7487113E"/>
    <w:rsid w:val="74DD0FBA"/>
    <w:rsid w:val="75145661"/>
    <w:rsid w:val="76CF1A18"/>
    <w:rsid w:val="779F354D"/>
    <w:rsid w:val="78915BE9"/>
    <w:rsid w:val="7944331F"/>
    <w:rsid w:val="796535FC"/>
    <w:rsid w:val="7A1A5ADF"/>
    <w:rsid w:val="7AEC23D6"/>
    <w:rsid w:val="7B364826"/>
    <w:rsid w:val="7BBC722B"/>
    <w:rsid w:val="7C0A36A0"/>
    <w:rsid w:val="7C9A7756"/>
    <w:rsid w:val="7CE73A77"/>
    <w:rsid w:val="7CF311E5"/>
    <w:rsid w:val="7E6E7B40"/>
    <w:rsid w:val="7E9419AA"/>
    <w:rsid w:val="7F752A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页脚 Char"/>
    <w:basedOn w:val="10"/>
    <w:link w:val="3"/>
    <w:semiHidden/>
    <w:qFormat/>
    <w:uiPriority w:val="0"/>
    <w:rPr>
      <w:rFonts w:ascii="Times New Roman" w:hAnsi="Times New Roman" w:eastAsia="宋体" w:cs="Times New Roman"/>
      <w:sz w:val="18"/>
      <w:szCs w:val="18"/>
    </w:rPr>
  </w:style>
  <w:style w:type="character" w:customStyle="1" w:styleId="14">
    <w:name w:val="页眉 Char"/>
    <w:basedOn w:val="10"/>
    <w:link w:val="4"/>
    <w:semiHidden/>
    <w:qFormat/>
    <w:uiPriority w:val="0"/>
    <w:rPr>
      <w:rFonts w:ascii="Times New Roman" w:hAnsi="Times New Roman" w:eastAsia="宋体" w:cs="Times New Roman"/>
      <w:sz w:val="18"/>
      <w:szCs w:val="18"/>
    </w:rPr>
  </w:style>
  <w:style w:type="character" w:customStyle="1" w:styleId="15">
    <w:name w:val="page number"/>
    <w:basedOn w:val="10"/>
    <w:qFormat/>
    <w:uiPriority w:val="0"/>
  </w:style>
  <w:style w:type="character" w:customStyle="1" w:styleId="16">
    <w:name w:val="font11"/>
    <w:basedOn w:val="10"/>
    <w:qFormat/>
    <w:uiPriority w:val="0"/>
    <w:rPr>
      <w:rFonts w:hint="eastAsia" w:ascii="宋体" w:hAnsi="宋体" w:eastAsia="宋体" w:cs="宋体"/>
      <w:color w:val="000000"/>
      <w:sz w:val="18"/>
      <w:szCs w:val="18"/>
      <w:u w:val="none"/>
    </w:rPr>
  </w:style>
  <w:style w:type="paragraph" w:customStyle="1" w:styleId="1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6006</Words>
  <Characters>6357</Characters>
  <Lines>5</Lines>
  <Paragraphs>1</Paragraphs>
  <TotalTime>0</TotalTime>
  <ScaleCrop>false</ScaleCrop>
  <LinksUpToDate>false</LinksUpToDate>
  <CharactersWithSpaces>6490</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浵華</cp:lastModifiedBy>
  <cp:lastPrinted>2017-05-03T09:08:00Z</cp:lastPrinted>
  <dcterms:modified xsi:type="dcterms:W3CDTF">2022-09-23T07:35:38Z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KSOSaveFontToCloudKey">
    <vt:lpwstr>403101573_btnclosed</vt:lpwstr>
  </property>
  <property fmtid="{D5CDD505-2E9C-101B-9397-08002B2CF9AE}" pid="4" name="ICV">
    <vt:lpwstr>941E691E041B4BF0972E6D30EA792D15</vt:lpwstr>
  </property>
</Properties>
</file>