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唐山市曹妃甸港口物流园区管理委员会</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21</w:t>
      </w:r>
      <w:r>
        <w:rPr>
          <w:rFonts w:ascii="Times New Roman" w:hAnsi="Times New Roman" w:eastAsia="方正小标宋_GBK" w:cs="Times New Roman"/>
          <w:sz w:val="44"/>
          <w:szCs w:val="44"/>
        </w:rPr>
        <w:t>年部门预算信息公开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w:t>
      </w:r>
      <w:r>
        <w:rPr>
          <w:rFonts w:hint="eastAsia" w:ascii="仿宋" w:hAnsi="仿宋" w:eastAsia="仿宋" w:cs="仿宋"/>
          <w:sz w:val="32"/>
          <w:szCs w:val="32"/>
          <w:lang w:eastAsia="zh-CN"/>
        </w:rPr>
        <w:t>河北省预决算公开操作规程实施细则</w:t>
      </w:r>
      <w:r>
        <w:rPr>
          <w:rFonts w:hint="eastAsia" w:ascii="仿宋" w:hAnsi="仿宋" w:eastAsia="仿宋" w:cs="仿宋"/>
          <w:sz w:val="32"/>
          <w:szCs w:val="32"/>
        </w:rPr>
        <w:t>》规定，现将</w:t>
      </w:r>
      <w:r>
        <w:rPr>
          <w:rFonts w:hint="eastAsia" w:ascii="仿宋" w:hAnsi="仿宋" w:eastAsia="仿宋" w:cs="仿宋"/>
          <w:sz w:val="32"/>
          <w:szCs w:val="32"/>
          <w:lang w:eastAsia="zh-CN"/>
        </w:rPr>
        <w:t>曹妃甸港口物流园区管理委员会</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年部门预算公开如下：</w:t>
      </w:r>
    </w:p>
    <w:p>
      <w:pPr>
        <w:numPr>
          <w:ilvl w:val="0"/>
          <w:numId w:val="1"/>
        </w:numPr>
        <w:ind w:firstLine="640"/>
        <w:rPr>
          <w:rFonts w:hint="eastAsia" w:ascii="黑体" w:hAnsi="黑体" w:eastAsia="黑体" w:cs="Times New Roman"/>
          <w:sz w:val="32"/>
          <w:szCs w:val="32"/>
        </w:rPr>
      </w:pPr>
      <w:r>
        <w:rPr>
          <w:rFonts w:hint="eastAsia" w:ascii="黑体" w:hAnsi="黑体" w:eastAsia="黑体" w:cs="Times New Roman"/>
          <w:sz w:val="32"/>
          <w:szCs w:val="32"/>
        </w:rPr>
        <w:t>部门职责及机构设置情况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b/>
          <w:sz w:val="32"/>
          <w:szCs w:val="32"/>
          <w:lang w:val="en-US" w:eastAsia="zh-CN"/>
        </w:rPr>
        <w:t xml:space="preserve">   </w:t>
      </w: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仿宋_GB2312" w:hAnsi="仿宋_GB2312" w:eastAsia="仿宋_GB2312" w:cs="仿宋_GB2312"/>
          <w:sz w:val="32"/>
          <w:szCs w:val="32"/>
          <w:lang w:val="en-US" w:eastAsia="zh-CN"/>
        </w:rPr>
        <w:t>港口物流园区管理委员会对辖区行使管理、监督、协调、服务职能。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港口物流产业的培育与协调联系行业管理；负责协助有关部门做好辖区港口及相关设施的建设与管理；负责协助有关部门做好港航管理工作；负责辖区财务管理、国有资产管理和财务监督工作；负责辖区安全生产监督、管理；负责协调辖区内上级有关部门派驻机构的工作；负责唐山市曹妃甸区政府交办的其他事项。</w:t>
      </w:r>
    </w:p>
    <w:p>
      <w:pPr>
        <w:numPr>
          <w:ilvl w:val="0"/>
          <w:numId w:val="0"/>
        </w:numPr>
        <w:rPr>
          <w:rFonts w:hint="eastAsia" w:ascii="仿宋" w:hAnsi="仿宋" w:eastAsia="仿宋" w:cs="仿宋"/>
          <w:color w:val="000000"/>
          <w:sz w:val="30"/>
          <w:szCs w:val="30"/>
        </w:rPr>
      </w:pPr>
    </w:p>
    <w:p>
      <w:pPr>
        <w:autoSpaceDE w:val="0"/>
        <w:autoSpaceDN w:val="0"/>
        <w:adjustRightInd w:val="0"/>
        <w:ind w:firstLine="964" w:firstLineChars="3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tbl>
      <w:tblPr>
        <w:tblStyle w:val="9"/>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gridCol w:w="3026"/>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0"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单位名称</w:t>
            </w:r>
          </w:p>
        </w:tc>
        <w:tc>
          <w:tcPr>
            <w:tcW w:w="3026"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单位性质</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单位规格</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060"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曹妃甸港口物流园区管理委员会-设综合办公室（经济发展局）和建设和环境管理局</w:t>
            </w:r>
          </w:p>
        </w:tc>
        <w:tc>
          <w:tcPr>
            <w:tcW w:w="3026" w:type="dxa"/>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3544" w:type="dxa"/>
            <w:vAlign w:val="center"/>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正处级</w:t>
            </w:r>
          </w:p>
        </w:tc>
        <w:tc>
          <w:tcPr>
            <w:tcW w:w="3544" w:type="dxa"/>
            <w:vAlign w:val="center"/>
          </w:tcPr>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060"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曹妃甸港口物流园区管理委员会- 港航服务中心</w:t>
            </w:r>
          </w:p>
        </w:tc>
        <w:tc>
          <w:tcPr>
            <w:tcW w:w="3026" w:type="dxa"/>
            <w:vAlign w:val="center"/>
          </w:tcPr>
          <w:p>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全额事业</w:t>
            </w:r>
          </w:p>
        </w:tc>
        <w:tc>
          <w:tcPr>
            <w:tcW w:w="3544" w:type="dxa"/>
            <w:vAlign w:val="center"/>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vAlign w:val="center"/>
          </w:tcPr>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0" w:type="dxa"/>
            <w:vAlign w:val="top"/>
          </w:tcPr>
          <w:p>
            <w:pPr>
              <w:jc w:val="both"/>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曹妃甸港口物流园区管理委员会-投资贸易促进中心</w:t>
            </w:r>
          </w:p>
        </w:tc>
        <w:tc>
          <w:tcPr>
            <w:tcW w:w="3026" w:type="dxa"/>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全额</w:t>
            </w:r>
            <w:r>
              <w:rPr>
                <w:rFonts w:hint="eastAsia" w:ascii="仿宋_GB2312" w:hAnsi="仿宋_GB2312" w:eastAsia="仿宋_GB2312" w:cs="仿宋_GB2312"/>
                <w:sz w:val="32"/>
                <w:szCs w:val="32"/>
              </w:rPr>
              <w:t>事业</w:t>
            </w:r>
          </w:p>
        </w:tc>
        <w:tc>
          <w:tcPr>
            <w:tcW w:w="3544" w:type="dxa"/>
            <w:vAlign w:val="center"/>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vAlign w:val="center"/>
          </w:tcPr>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4060" w:type="dxa"/>
            <w:vAlign w:val="top"/>
          </w:tcPr>
          <w:p>
            <w:pPr>
              <w:jc w:val="both"/>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曹妃甸港口物流园区管理委员会-安全生产监督管理执法大队</w:t>
            </w:r>
          </w:p>
        </w:tc>
        <w:tc>
          <w:tcPr>
            <w:tcW w:w="3026" w:type="dxa"/>
            <w:vAlign w:val="center"/>
          </w:tcPr>
          <w:p>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全额事业</w:t>
            </w:r>
          </w:p>
        </w:tc>
        <w:tc>
          <w:tcPr>
            <w:tcW w:w="3544" w:type="dxa"/>
            <w:vAlign w:val="center"/>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vAlign w:val="center"/>
          </w:tcPr>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bl>
    <w:p>
      <w:pPr>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二、部门预算安排的总体情况</w:t>
      </w:r>
    </w:p>
    <w:p>
      <w:pPr>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本部门当年全部收入，2021年预算收入3258.83万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一般公共</w:t>
      </w:r>
      <w:r>
        <w:rPr>
          <w:rFonts w:hint="eastAsia" w:ascii="仿宋_GB2312" w:hAnsi="仿宋_GB2312" w:eastAsia="仿宋_GB2312" w:cs="仿宋_GB2312"/>
          <w:sz w:val="32"/>
          <w:szCs w:val="32"/>
          <w:lang w:val="en-US" w:eastAsia="zh-CN"/>
        </w:rPr>
        <w:t>预算收入3258.83万元，基金预算收入0万元，财政专户核拨收入0万元，其他来源收入0万元。</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收支预算总表支出栏、基本支出表、项目支出表按经济分类和支出功能分类科目编制，反映曹妃甸港口物流园区管理委员会年度部门预算中支出预算的总体情况。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部门支出</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为3258.83万元，其中基本支出657.72万元，包括人员经费590.13万元和公用经费67.59万元；项目支出2601.11万元，全部为本级支出。</w:t>
      </w:r>
    </w:p>
    <w:p>
      <w:pPr>
        <w:numPr>
          <w:ilvl w:val="0"/>
          <w:numId w:val="2"/>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2021年部门预算</w:t>
      </w:r>
      <w:r>
        <w:rPr>
          <w:rFonts w:hint="eastAsia" w:ascii="仿宋_GB2312" w:hAnsi="仿宋_GB2312" w:eastAsia="仿宋_GB2312" w:cs="仿宋_GB2312"/>
          <w:sz w:val="32"/>
          <w:szCs w:val="32"/>
          <w:lang w:eastAsia="zh-CN"/>
        </w:rPr>
        <w:t>收支安</w:t>
      </w:r>
      <w:r>
        <w:rPr>
          <w:rFonts w:hint="eastAsia" w:ascii="仿宋_GB2312" w:hAnsi="仿宋_GB2312" w:eastAsia="仿宋_GB2312" w:cs="仿宋_GB2312"/>
          <w:sz w:val="32"/>
          <w:szCs w:val="32"/>
          <w:lang w:val="en-US" w:eastAsia="zh-CN"/>
        </w:rPr>
        <w:t>排3258.83万元，较2020年增长23.01万元，其中：基本支出减少3.15万元，主要是园区改制日常经费减少导致基本支出经费减少；项目支出增长26.16万元，主要原因是我园区于2020年已将港航服务中心进行公共航标移交及以前年度临时待泊区工程尾款支付，并且比往年增加了曹妃甸铁矿石价格指数采集经费、 铁路规划编制专项经费、港口工程建设项目初步设计、施工图文件进行第三方技术审查咨询工作经费、为承接省市下放审批权限新增人员及业务等多项业务经费，所以我园区总体2021年预算经费对比2020年增加。</w:t>
      </w:r>
    </w:p>
    <w:p>
      <w:pPr>
        <w:numPr>
          <w:ilvl w:val="0"/>
          <w:numId w:val="3"/>
        </w:numPr>
        <w:autoSpaceDE w:val="0"/>
        <w:autoSpaceDN w:val="0"/>
        <w:adjustRightInd w:val="0"/>
        <w:ind w:firstLine="640" w:firstLineChars="20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机关运行经费安排情况</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67.59</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保证机关正常运转的办公及印刷费、邮电费、差旅费、培训费、会议费、福利费、一般设备购置费、日常维修费、办公楼物业管理费、公务车运行维护费等支出</w:t>
      </w:r>
      <w:r>
        <w:rPr>
          <w:rFonts w:hint="eastAsia" w:ascii="仿宋_GB2312" w:hAnsi="仿宋_GB2312" w:eastAsia="仿宋_GB2312" w:cs="仿宋_GB2312"/>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rPr>
        <w:t>财政拨款“三公”经费预算安排</w:t>
      </w:r>
      <w:r>
        <w:rPr>
          <w:rFonts w:hint="eastAsia" w:ascii="仿宋_GB2312" w:hAnsi="仿宋_GB2312" w:eastAsia="仿宋_GB2312" w:cs="仿宋_GB2312"/>
          <w:b w:val="0"/>
          <w:i w:val="0"/>
          <w:caps w:val="0"/>
          <w:color w:val="010000"/>
          <w:spacing w:val="0"/>
          <w:sz w:val="32"/>
          <w:szCs w:val="32"/>
          <w:shd w:val="clear" w:fill="FFFFFF"/>
          <w:lang w:val="en-US" w:eastAsia="zh-CN"/>
        </w:rPr>
        <w:t>68.41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lang w:val="en-US" w:eastAsia="zh-CN"/>
        </w:rPr>
        <w:t>2020年增加50.61万元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2021年“三公经费”</w:t>
      </w:r>
      <w:r>
        <w:rPr>
          <w:rFonts w:hint="eastAsia" w:ascii="仿宋_GB2312" w:hAnsi="仿宋_GB2312" w:eastAsia="仿宋_GB2312" w:cs="仿宋_GB2312"/>
          <w:sz w:val="32"/>
          <w:szCs w:val="32"/>
          <w:lang w:eastAsia="zh-CN"/>
        </w:rPr>
        <w:t>具体安排情况为：因公出国（境）费</w:t>
      </w:r>
      <w:r>
        <w:rPr>
          <w:rFonts w:hint="eastAsia" w:ascii="仿宋_GB2312" w:hAnsi="仿宋_GB2312" w:eastAsia="仿宋_GB2312" w:cs="仿宋_GB2312"/>
          <w:sz w:val="32"/>
          <w:szCs w:val="32"/>
          <w:lang w:val="en-US" w:eastAsia="zh-CN"/>
        </w:rPr>
        <w:t>0万元，与2020年相比持平，无增减变化；公务用车购置及运行费56万元（其中公务用车购置费36万元，比2020年增加36万元，主要原因是2021年省市下放审批权限新增业务，需购置船检专用车辆2辆；公务用车运行及维护费20万元，与2020年相比增加8万元，主要原因是2021年省市下放审批权限新增业务，需购置船检专用车辆致使车辆使用经费增加）；公务接待费12.41万元，比2020年增加6.61万元</w:t>
      </w:r>
      <w:r>
        <w:rPr>
          <w:rFonts w:hint="eastAsia" w:ascii="仿宋_GB2312" w:hAnsi="仿宋_GB2312" w:eastAsia="仿宋_GB2312" w:cs="仿宋_GB2312"/>
          <w:sz w:val="32"/>
          <w:szCs w:val="32"/>
          <w:lang w:eastAsia="zh-CN"/>
        </w:rPr>
        <w:t>，主要原因是</w:t>
      </w:r>
      <w:r>
        <w:rPr>
          <w:rFonts w:hint="eastAsia" w:ascii="仿宋_GB2312" w:hAnsi="仿宋_GB2312" w:eastAsia="仿宋_GB2312" w:cs="仿宋_GB2312"/>
          <w:sz w:val="32"/>
          <w:szCs w:val="32"/>
          <w:lang w:val="en-US" w:eastAsia="zh-CN"/>
        </w:rPr>
        <w:t>2021年省市下放审批权限新增业务及人员需前期筹备增加接待费用。</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djustRightInd w:val="0"/>
        <w:snapToGrid w:val="0"/>
        <w:spacing w:line="570" w:lineRule="exact"/>
        <w:ind w:firstLine="643" w:firstLineChars="200"/>
        <w:rPr>
          <w:rFonts w:hint="eastAsia" w:eastAsia="方正仿宋_GBK"/>
          <w:b/>
          <w:sz w:val="32"/>
          <w:szCs w:val="32"/>
          <w:lang w:val="en-US" w:eastAsia="zh-CN"/>
        </w:rPr>
      </w:pPr>
      <w:r>
        <w:rPr>
          <w:rFonts w:hint="eastAsia" w:ascii="Times New Roman" w:hAnsi="Times New Roman" w:eastAsia="方正仿宋_GBK" w:cs="Times New Roman"/>
          <w:b/>
          <w:sz w:val="32"/>
          <w:szCs w:val="32"/>
          <w:lang w:val="en-US" w:eastAsia="zh-CN"/>
        </w:rPr>
        <w:t xml:space="preserve"> </w:t>
      </w:r>
      <w:r>
        <w:rPr>
          <w:rFonts w:ascii="Times New Roman" w:hAnsi="Times New Roman" w:eastAsia="方正仿宋_GBK" w:cs="Times New Roman"/>
          <w:b/>
          <w:sz w:val="32"/>
          <w:szCs w:val="32"/>
        </w:rPr>
        <w:t>总体绩效目标：</w:t>
      </w:r>
    </w:p>
    <w:p>
      <w:pPr>
        <w:adjustRightInd w:val="0"/>
        <w:snapToGrid w:val="0"/>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主要指标预期完成情况：2021年，我园区计划：1. 固定资产投资110亿元，同比增长10%；2. 公共财税收入8亿元，同比增长2.6%； 3. 实现港口贸易额800亿元，同比增长5%；4. 港口货物吞吐量4.4亿吨，同比增长10%；5. 集装箱吞吐量88万标箱，同比增长10%；6. 协议总投资264亿元，同比增长10%；7. 实际利用外资3630万美元，同比增长10%；8. 进口总额13.31亿美元，同比增长10%。</w:t>
      </w:r>
    </w:p>
    <w:p>
      <w:pPr>
        <w:adjustRightInd w:val="0"/>
        <w:snapToGrid w:val="0"/>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工作举措：强化招商引资；加快推进项目建设；持续推进综合贸易大港建设，推动港口建设，不断完善港口基础设施，做大港口贸易，航线和内陆港建设，加快铁路集疏运体系建设，不断推进港口秩序整顿；不断做好生态环境及安全维稳工作；坚持把全面从严治党引向深入。</w:t>
      </w:r>
    </w:p>
    <w:p>
      <w:pPr>
        <w:adjustRightInd w:val="0"/>
        <w:snapToGrid w:val="0"/>
        <w:spacing w:line="570" w:lineRule="exact"/>
        <w:ind w:firstLine="640" w:firstLineChars="200"/>
        <w:rPr>
          <w:rFonts w:hint="eastAsia" w:ascii="仿宋_GB2312" w:hAnsi="仿宋_GB2312" w:eastAsia="仿宋_GB2312" w:cs="仿宋_GB2312"/>
          <w:sz w:val="32"/>
          <w:szCs w:val="32"/>
          <w:lang w:val="en-US" w:eastAsia="zh-CN"/>
        </w:rPr>
      </w:pPr>
    </w:p>
    <w:p>
      <w:pPr>
        <w:adjustRightInd w:val="0"/>
        <w:snapToGrid w:val="0"/>
        <w:spacing w:line="570" w:lineRule="exact"/>
        <w:ind w:firstLine="643" w:firstLineChars="200"/>
        <w:rPr>
          <w:rFonts w:hint="eastAsia" w:eastAsia="方正楷体简体"/>
          <w:b/>
          <w:sz w:val="32"/>
          <w:szCs w:val="32"/>
          <w:lang w:eastAsia="zh-CN"/>
        </w:rPr>
      </w:pPr>
    </w:p>
    <w:p>
      <w:pPr>
        <w:adjustRightInd w:val="0"/>
        <w:snapToGrid w:val="0"/>
        <w:spacing w:line="570" w:lineRule="exact"/>
        <w:ind w:firstLine="562" w:firstLineChars="200"/>
        <w:rPr>
          <w:rFonts w:hint="eastAsia" w:ascii="方正楷体_GBK" w:eastAsia="方正楷体简体"/>
          <w:b/>
          <w:color w:val="000000"/>
          <w:sz w:val="28"/>
          <w:lang w:eastAsia="zh-CN"/>
        </w:rPr>
      </w:pPr>
    </w:p>
    <w:p>
      <w:pPr>
        <w:ind w:firstLine="562"/>
        <w:jc w:val="left"/>
        <w:rPr>
          <w:rFonts w:hint="eastAsia" w:ascii="方正楷体_GBK" w:eastAsia="方正楷体_GBK"/>
          <w:b/>
          <w:sz w:val="28"/>
        </w:rPr>
      </w:pPr>
      <w:r>
        <w:rPr>
          <w:rFonts w:hint="eastAsia" w:ascii="方正楷体_GBK" w:eastAsia="方正楷体_GBK"/>
          <w:b/>
          <w:color w:val="000000"/>
          <w:sz w:val="28"/>
        </w:rPr>
        <w:t>职责分类绩效目标：</w:t>
      </w:r>
      <w:r>
        <w:rPr>
          <w:rFonts w:hint="eastAsia"/>
          <w:sz w:val="28"/>
        </w:rPr>
        <w:t xml:space="preserve"> </w:t>
      </w:r>
    </w:p>
    <w:p>
      <w:pPr>
        <w:ind w:firstLine="643" w:firstLineChars="200"/>
        <w:rPr>
          <w:rFonts w:hint="eastAsia" w:ascii="方正楷体简体" w:eastAsia="方正楷体简体"/>
          <w:b/>
          <w:sz w:val="32"/>
          <w:szCs w:val="32"/>
          <w:lang w:eastAsia="zh-CN"/>
        </w:rPr>
      </w:pPr>
      <w:r>
        <w:rPr>
          <w:rFonts w:hint="eastAsia" w:ascii="方正楷体简体" w:eastAsia="方正楷体简体"/>
          <w:b/>
          <w:sz w:val="32"/>
          <w:szCs w:val="32"/>
          <w:lang w:eastAsia="zh-CN"/>
        </w:rPr>
        <w:t>（一）投资贸易促进中心</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职责描述：</w:t>
      </w:r>
      <w:r>
        <w:rPr>
          <w:rFonts w:hint="eastAsia" w:ascii="仿宋_GB2312" w:hAnsi="仿宋_GB2312" w:eastAsia="仿宋_GB2312" w:cs="仿宋_GB2312"/>
          <w:sz w:val="32"/>
          <w:szCs w:val="32"/>
          <w:lang w:val="en-US" w:eastAsia="zh-CN"/>
        </w:rPr>
        <w:t>负责招商信息的收集整理，建立招商引资信息库和招商网络；负责投资环境建设与宣传及组织招商推介活动；负责招商洽谈和签订投资协议等工作；负责入区企业各项政策的咨询服务；负责为企业办理各种行政审批手续提供职能服务；负责协调解决入区企业在发展中遇到的相关问题；负责鼓励产业发展的各项政策的制定和组织落实；负责协助指导中小企业发展，提供相关配套服务；负责督促入区企业落地开工建设；负责投资、贸易、财税等有关指标的落实办理；负责党工委、管委会领导交办的其他工作任务。</w:t>
      </w:r>
    </w:p>
    <w:p>
      <w:pPr>
        <w:adjustRightInd w:val="0"/>
        <w:snapToGrid w:val="0"/>
        <w:spacing w:line="57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年度绩效目标</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sz w:val="32"/>
          <w:szCs w:val="32"/>
          <w:lang w:val="en-US" w:eastAsia="zh-CN"/>
        </w:rPr>
        <w:t>2021年计划实施重点项目34个，总投资991.56亿元。包含续建项目16个，总投资533.88亿元；计划新开工项目9个，总投资61.38亿元；重点前期推进项目9个，总投资396.3亿元。其中，投资百亿元以上项目4个；申报2021年省、市重点项目13个，总投资852.36亿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方正楷体简体" w:hAnsi="方正楷体简体" w:eastAsia="方正楷体简体" w:cs="方正楷体简体"/>
          <w:b/>
          <w:sz w:val="32"/>
          <w:szCs w:val="32"/>
          <w:lang w:eastAsia="zh-CN"/>
        </w:rPr>
      </w:pPr>
      <w:r>
        <w:rPr>
          <w:rFonts w:hint="eastAsia" w:ascii="方正楷体简体" w:hAnsi="方正楷体简体" w:eastAsia="方正楷体简体" w:cs="方正楷体简体"/>
          <w:b/>
          <w:sz w:val="32"/>
          <w:szCs w:val="32"/>
          <w:lang w:eastAsia="zh-CN"/>
        </w:rPr>
        <w:t>（二）建设和环境管理局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职责描述：</w:t>
      </w:r>
      <w:r>
        <w:rPr>
          <w:rFonts w:hint="eastAsia" w:ascii="仿宋_GB2312" w:hAnsi="仿宋_GB2312" w:eastAsia="仿宋_GB2312" w:cs="仿宋_GB2312"/>
          <w:sz w:val="32"/>
          <w:szCs w:val="32"/>
          <w:lang w:val="en-US" w:eastAsia="zh-CN"/>
        </w:rPr>
        <w:t>负责编制园区总体规划、中长期发展规划和年度计划并组织实施；负责规划建设管理，协助园区新建项目对规划、建设等各项相关手续进行报批；负责园区各项基础设施、公共设施的维护与管理，协调解决园区内水、电、路、讯等基础设施建设中的问题；负责生态建设、环境管理与保护；负责就项目选址提出要求与建议；负责协助区国土局管理区域内国土（海洋）资源；负责党工委、管委会领导交办的其他工作任务。</w:t>
      </w:r>
    </w:p>
    <w:p>
      <w:pPr>
        <w:adjustRightInd w:val="0"/>
        <w:snapToGrid w:val="0"/>
        <w:spacing w:line="570" w:lineRule="exact"/>
        <w:ind w:firstLine="643" w:firstLineChars="200"/>
        <w:rPr>
          <w:rFonts w:eastAsia="方正仿宋简体"/>
          <w:bCs/>
          <w:sz w:val="32"/>
          <w:szCs w:val="32"/>
        </w:rPr>
      </w:pPr>
      <w:r>
        <w:rPr>
          <w:rFonts w:hint="eastAsia" w:ascii="仿宋_GB2312" w:hAnsi="仿宋_GB2312" w:eastAsia="仿宋_GB2312" w:cs="仿宋_GB2312"/>
          <w:b/>
          <w:bCs w:val="0"/>
          <w:sz w:val="32"/>
          <w:szCs w:val="32"/>
          <w:lang w:eastAsia="zh-CN"/>
        </w:rPr>
        <w:t>年度绩效目标：</w:t>
      </w:r>
      <w:r>
        <w:rPr>
          <w:rFonts w:hint="eastAsia" w:ascii="仿宋_GB2312" w:hAnsi="仿宋_GB2312" w:eastAsia="仿宋_GB2312" w:cs="仿宋_GB2312"/>
          <w:sz w:val="32"/>
          <w:szCs w:val="32"/>
          <w:lang w:val="en-US" w:eastAsia="zh-CN"/>
        </w:rPr>
        <w:t>不断做好港区环境整治。将扬尘和散乱污治理、超载超限整治作为工作重点，持续开展港区环境综合整治攻坚行动。同时，按照“增加绿量，乔灌搭配”原则，计划新增港区绿化10.25万平米。不断打击违法违规行为。增加资金和物资的投入力度，通过技防、物防与人防相结合的方式，联合公安、国土、住建等多部门，加大对违法违规行为的检查力度，发现一起，查处一起，为建设世界一流综合贸易大港保驾护航。不断做好安全生产检查。强化安全生产监管，结合有资质的第三方机构每周到各企业检查安全生产落实情况，将检查发现的问题督促整改，强化企业安全主体责任，确保安全形势稳定。不断做好信访隐患排查。消除农民工信访隐患，加强与各企业、总包、分包的信息沟通，对各施工工地全方位排查，消除信访隐患，从源头遏制农民工工资拖欠问题。</w:t>
      </w:r>
    </w:p>
    <w:p>
      <w:pPr>
        <w:spacing w:line="520" w:lineRule="exact"/>
        <w:ind w:firstLine="640"/>
        <w:rPr>
          <w:rFonts w:hint="eastAsia" w:ascii="方正小标宋_GBK" w:eastAsia="方正小标宋_GBK"/>
          <w:sz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方正楷体简体" w:hAnsi="方正楷体简体" w:eastAsia="方正楷体简体" w:cs="方正楷体简体"/>
          <w:b/>
          <w:sz w:val="32"/>
          <w:szCs w:val="32"/>
          <w:lang w:eastAsia="zh-CN"/>
        </w:rPr>
        <w:t>（三）港航服务中心</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职责描述：</w:t>
      </w:r>
      <w:r>
        <w:rPr>
          <w:rFonts w:hint="eastAsia" w:ascii="仿宋_GB2312" w:hAnsi="仿宋_GB2312" w:eastAsia="仿宋_GB2312" w:cs="仿宋_GB2312"/>
          <w:sz w:val="32"/>
          <w:szCs w:val="32"/>
          <w:lang w:val="en-US" w:eastAsia="zh-CN"/>
        </w:rPr>
        <w:t>负责组织协调港区口岸规划的实施；负责制定并协调落实区域内口岸管理办法和实施细则；负责协调督导口岸建设、改造以及查验配套基础设施的建设、升级与维护；负责区域内所有港口公用基础设施的管理；负责协调港区口岸开放或关闭等工作；负责口岸数据统计、分析；负责推进口岸查验部门协调联动，创新监管模式，提高通关效率，优化口岸环境；负责协调在口岸的管理、经营、服务和有关活动中发生的纠纷、以及海关特殊监管区域的宏观管理；负责协调海事、边防、海警等相关部门、清除港区非作业船只、渔网等影响航行安全的问题；配合上级口岸管理和港航部门开展相关工作；负责党工委、管委会领导交办的其他任务。</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年度绩效目标：</w:t>
      </w:r>
      <w:r>
        <w:rPr>
          <w:rFonts w:hint="eastAsia" w:ascii="仿宋_GB2312" w:hAnsi="仿宋_GB2312" w:eastAsia="仿宋_GB2312" w:cs="仿宋_GB2312"/>
          <w:sz w:val="32"/>
          <w:szCs w:val="32"/>
          <w:lang w:val="en-US" w:eastAsia="zh-CN"/>
        </w:rPr>
        <w:t>①一港池20万吨级航道工程，计划2021年一季度开工建设。②二港池10万吨级航道工程，计划2021年年底前具备开工条件。③三港池5万吨级航道工程，计划2021年10月底前完成项目前期审批工作，在生态环境部批准临时海洋倾倒区的情况下，年底前开工建设。④锚地扩容，积极推动市农业农村局的评估及海港开发区管委会的征海补偿商谈工作，力争2021年内解决东区新增锚地与善海园海洋牧场项目用海冲突问题。2021年计划开通国内外航线3条，新增设内陆港3个。在确保完成“公转铁”运量，提高客运服务水平和重点项目建设顺利收官的前提下，重点推进铁路项目建设11项，其中，水曹铁路、实业装车系统等2个项目计划完工，曹南站扩能改造，港池岛站铁路装车系统、矿三铁路专用线改造及配套工程、集装箱铁路专用线扩能等4个项目计划新开工，环渤海高铁、迁曹增三四线汉曹铁路、港前物流站、曹妃甸铁路物流中心、唐曹铁路东延等5个重点项目做好前期谋划，适时启动建设。</w:t>
      </w:r>
    </w:p>
    <w:p>
      <w:pPr>
        <w:spacing w:line="600" w:lineRule="exact"/>
        <w:ind w:firstLine="640"/>
        <w:rPr>
          <w:rFonts w:hint="eastAsia" w:ascii="仿宋_GB2312" w:hAnsi="仿宋_GB2312" w:eastAsia="仿宋_GB2312" w:cs="仿宋_GB2312"/>
          <w:sz w:val="32"/>
          <w:szCs w:val="32"/>
          <w:lang w:val="en-US" w:eastAsia="zh-CN"/>
        </w:rPr>
      </w:pPr>
    </w:p>
    <w:p>
      <w:pPr>
        <w:ind w:firstLine="562"/>
        <w:jc w:val="left"/>
        <w:rPr>
          <w:rFonts w:hint="eastAsia" w:ascii="方正楷体_GBK" w:eastAsia="方正楷体_GBK"/>
          <w:b/>
          <w:color w:val="000000"/>
          <w:sz w:val="28"/>
          <w:lang w:eastAsia="zh-CN"/>
        </w:rPr>
      </w:pPr>
      <w:r>
        <w:rPr>
          <w:rFonts w:hint="eastAsia" w:ascii="方正楷体_GBK" w:eastAsia="方正楷体_GBK"/>
          <w:b/>
          <w:color w:val="000000"/>
          <w:sz w:val="28"/>
          <w:lang w:eastAsia="zh-CN"/>
        </w:rPr>
        <w:t>部门职责及工作活动绩效目标指标</w:t>
      </w:r>
    </w:p>
    <w:p>
      <w:pPr>
        <w:ind w:firstLine="562"/>
        <w:jc w:val="left"/>
        <w:rPr>
          <w:rFonts w:hint="eastAsia"/>
          <w:sz w:val="28"/>
        </w:rPr>
      </w:pPr>
    </w:p>
    <w:p>
      <w:pPr>
        <w:ind w:firstLine="562"/>
        <w:jc w:val="center"/>
        <w:rPr>
          <w:rFonts w:hint="eastAsia" w:eastAsia="宋体"/>
          <w:b/>
          <w:bCs/>
          <w:sz w:val="28"/>
          <w:lang w:val="en-US" w:eastAsia="zh-CN"/>
        </w:rPr>
      </w:pPr>
      <w:r>
        <w:rPr>
          <w:rFonts w:hint="eastAsia"/>
          <w:b/>
          <w:bCs/>
          <w:sz w:val="28"/>
          <w:lang w:eastAsia="zh-CN"/>
        </w:rPr>
        <w:t>部门职责</w:t>
      </w:r>
      <w:r>
        <w:rPr>
          <w:rFonts w:hint="eastAsia"/>
          <w:b/>
          <w:bCs/>
          <w:sz w:val="28"/>
          <w:lang w:val="en-US" w:eastAsia="zh-CN"/>
        </w:rPr>
        <w:t>-工作活动绩效目标</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804</w:t>
            </w:r>
            <w:r>
              <w:rPr>
                <w:rFonts w:hint="eastAsia" w:ascii="方正小标宋_GBK" w:eastAsia="方正小标宋_GBK"/>
                <w:sz w:val="24"/>
              </w:rPr>
              <w:t>港口物流产业园区建设指挥部</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一、对外商贸管理</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247.8</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规范全区对外招商引资活动，组织实施投资贸易洽谈会等活动。开展贸易洽谈、招商合作等活动，促进贸易往来。</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促进招商引资活动效率稳步提高，优化项目产业结构，完成区政府下达的指标。</w:t>
            </w:r>
          </w:p>
        </w:tc>
        <w:tc>
          <w:tcPr>
            <w:tcW w:w="1417"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赴外地区招商数量</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3</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2</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1</w:t>
            </w:r>
          </w:p>
        </w:tc>
        <w:tc>
          <w:tcPr>
            <w:tcW w:w="737" w:type="dxa"/>
            <w:noWrap w:val="0"/>
            <w:vAlign w:val="center"/>
          </w:tcPr>
          <w:p>
            <w:pPr>
              <w:spacing w:line="300" w:lineRule="exact"/>
              <w:jc w:val="center"/>
              <w:rPr>
                <w:rFonts w:ascii="方正书宋_GBK" w:hAnsi="Calibri" w:eastAsia="方正书宋_GBK" w:cs="黑体"/>
                <w:kern w:val="2"/>
                <w:sz w:val="21"/>
                <w:szCs w:val="22"/>
                <w:lang w:val="en-US" w:eastAsia="zh-CN" w:bidi="ar-SA"/>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、招商引资</w:t>
            </w:r>
          </w:p>
        </w:tc>
        <w:tc>
          <w:tcPr>
            <w:tcW w:w="1276" w:type="dxa"/>
            <w:vMerge w:val="restart"/>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247.8</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组织实施投资贸易洽谈会等活动。组织开展贸易洽谈、招商合作等活动，促进贸易往来。</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通过加大招商力度，瞄准重点区域、重点客商和商务机构，推动和引领全区做好招商工</w:t>
            </w:r>
            <w:bookmarkStart w:id="0" w:name="_GoBack"/>
            <w:bookmarkEnd w:id="0"/>
            <w:r>
              <w:rPr>
                <w:rFonts w:hint="eastAsia" w:ascii="方正书宋_GBK" w:eastAsia="方正书宋_GBK"/>
              </w:rPr>
              <w:t>作。突出引进战略投资者，力争在重点产业引进一批战略支撑项目、龙头企业和协力配套企业</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举办活动数量</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到会客商人数</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赴外地区招商数量</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二、港航服务</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1568.86</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协调督导口岸建设、改造以及查验配套基础设施的建设；负责区域内所有港口公用基础设施的管理；协调口岸开放或口岸关闭等工作，口岸数据统计、分析；负责协调在口岸的管理、经营、服务和有关活动中发生的纠纷，以及海关特殊监管区域的宏观管理；负责协调海事、边防、海警等相关部门，清除港区非作业船只、渔网等影响航行安全的问题；配合上级口岸管理和港航部门开展相关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完善港口配套设施，提升曹妃甸港整体服务水平。</w:t>
            </w:r>
          </w:p>
        </w:tc>
        <w:tc>
          <w:tcPr>
            <w:tcW w:w="1417"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各项工作完成率。</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、口岸发展和建设</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1568.86</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参与编制曹妃甸港区规划；统计、分析港口吞吐量数据；完善港口配套设施；协调四联检部门，做好口岸管理工作；配合上级口岸管理和港航部门开展相关工作。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参与编制曹妃甸港区规划；统计、分析港口吞吐量数据；完善港口基础设施；协调四联检部门，做好口岸管理工作；配合上级口岸管理和港航部门开展相关工作。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各项工作完成率。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、口岸开放</w:t>
            </w:r>
          </w:p>
        </w:tc>
        <w:tc>
          <w:tcPr>
            <w:tcW w:w="127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参与港口项目工程验收、口岸开放验收工作。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参与港口项目工程验收、口岸开放验收工作。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港口项目工程验收、口岸开放验收工作参与程度。</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三、组织辖区内安全生产监督检查工作，安全生产宣传教育活动；协助上级安监部门做好安全生产事故调查工作</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辖区内安全生产监督检查，安全生产宣传教育工作；协助上级安监部门做好安全生产事故调查工作，根据《安全生产法》、《安全生产违法行为行政处罚办法》等法律法规，依法开展执法检查和宣传教育工作工作，遏制重特大事故发生，确保辖区内安全生产形势稳定</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定期组织辖区内安全生产监督检查，安全生产宣传教育工作；协助上级安监部门做好安全生产事故调查工作</w:t>
            </w:r>
          </w:p>
        </w:tc>
        <w:tc>
          <w:tcPr>
            <w:tcW w:w="1417"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检查监管覆盖率</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ascii="方正书宋_GBK" w:eastAsia="方正书宋_GBK"/>
              </w:rPr>
              <w:t>100%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开展安全生产宣传教育活动，定期组织辖区内安全生产监督检查，安全生产宣传教育工作；协助上级安监部门做好安全生产事故调查工作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通过督导检查辖区内安全生产，最大限度地发现、纠正、督促企业消除各类隐患，预防和减少事故的发生，确保辖区内安全生产形势持续稳定好转</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检查监管覆盖率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四、建设和环境管理</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241.9</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编制辖区的总体规划，组织对区域城市发展规划、建设规划提出建议并协助组织实施；做好辖区内基础设施和公共设施的维护及管理，负责辖区内生态建设、环境管理和保护。</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编制园区总体规划、中长期发展规划和年度计划并组织实施，园区规划建设管理，园区各项基础设施、公共设施的维护和管理，生态建设、环境管理和保护，协助管理国土（海洋）资源。</w:t>
            </w:r>
          </w:p>
        </w:tc>
        <w:tc>
          <w:tcPr>
            <w:tcW w:w="1417"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综合业务管理完成率</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、园区规划编制</w:t>
            </w:r>
          </w:p>
        </w:tc>
        <w:tc>
          <w:tcPr>
            <w:tcW w:w="127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编制园区总体规划、中长期发展规划和年度计划并组织实施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完成园区总体规划、中长期发展规划编制工作并组织实施</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规划编制完成率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、综合业务管理</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241.9</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协助园区新建项目对规划、建设等各项相关手续进行报批，协调解决园区内水、电、路、讯等基础设施建设中的问题，就项目选址提出要求和建议，生态环境保护工作，协助管理区域内国土（海洋）资源</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就园区项目选址提出建议和要求，协助园区新建项目对规划、建设、用海用地等手续报批；保持园区基础设施、公用设施完好，满足企业建设需要；保持园区生态平衡，建设绿色、生态港口</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综合业务管理完成率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五、机关党政务建设管理</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542.55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加强党的思想政治建设、组织建设、园区党风廉政建设，做好园区党务工作。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政治觉悟和思想道德素质明显提高。</w:t>
            </w:r>
          </w:p>
        </w:tc>
        <w:tc>
          <w:tcPr>
            <w:tcW w:w="1417"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综合事务管理工作完成率</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、思想政治建设</w:t>
            </w:r>
          </w:p>
        </w:tc>
        <w:tc>
          <w:tcPr>
            <w:tcW w:w="127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指导园区及各级党组织抓好党的思想、组织、作风建设和党员教育管理，负责综合指导园区精神文明建设及普法工作，承担机关思想道德文化建设工作。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利用各种有效载体开展宣传教育活动</w:t>
            </w:r>
            <w:r>
              <w:rPr>
                <w:rFonts w:ascii="方正书宋_GBK" w:eastAsia="方正书宋_GBK"/>
              </w:rPr>
              <w:t>,</w:t>
            </w:r>
            <w:r>
              <w:rPr>
                <w:rFonts w:hint="eastAsia" w:ascii="方正书宋_GBK" w:eastAsia="方正书宋_GBK"/>
              </w:rPr>
              <w:t>效果明显</w:t>
            </w:r>
            <w:r>
              <w:rPr>
                <w:rFonts w:ascii="方正书宋_GBK" w:eastAsia="方正书宋_GBK"/>
              </w:rPr>
              <w:t>;</w:t>
            </w:r>
            <w:r>
              <w:rPr>
                <w:rFonts w:hint="eastAsia" w:ascii="方正书宋_GBK" w:eastAsia="方正书宋_GBK"/>
              </w:rPr>
              <w:t>学习制度得到普遍落实，各项活动普遍参加</w:t>
            </w:r>
            <w:r>
              <w:rPr>
                <w:rFonts w:ascii="方正书宋_GBK" w:eastAsia="方正书宋_GBK"/>
              </w:rPr>
              <w:t>;</w:t>
            </w:r>
            <w:r>
              <w:rPr>
                <w:rFonts w:hint="eastAsia" w:ascii="方正书宋_GBK" w:eastAsia="方正书宋_GBK"/>
              </w:rPr>
              <w:t>精神文明创建活动参与广泛，公民道德素质、各项活动满意率明显提高。</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思想教育活动完成率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542.55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做好会议培训组织，内部信息化建设与维护，人事、党务以及老干部管理等工作。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保障机关正常工作有效运转</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bl>
    <w:p>
      <w:pPr>
        <w:autoSpaceDE w:val="0"/>
        <w:autoSpaceDN w:val="0"/>
        <w:adjustRightInd w:val="0"/>
        <w:jc w:val="left"/>
        <w:rPr>
          <w:rFonts w:hint="eastAsia" w:ascii="黑体" w:hAnsi="黑体" w:eastAsia="黑体" w:cs="Times New Roman"/>
          <w:sz w:val="32"/>
          <w:szCs w:val="32"/>
          <w:lang w:val="en-US" w:eastAsia="zh-CN"/>
        </w:rPr>
      </w:pPr>
    </w:p>
    <w:p>
      <w:pPr>
        <w:autoSpaceDE w:val="0"/>
        <w:autoSpaceDN w:val="0"/>
        <w:adjustRightInd w:val="0"/>
        <w:jc w:val="left"/>
        <w:rPr>
          <w:rFonts w:hint="eastAsia" w:ascii="黑体" w:hAnsi="黑体" w:eastAsia="黑体" w:cs="Times New Roman"/>
          <w:sz w:val="32"/>
          <w:szCs w:val="32"/>
          <w:lang w:val="en-US" w:eastAsia="zh-CN"/>
        </w:rPr>
      </w:pPr>
    </w:p>
    <w:p>
      <w:pPr>
        <w:autoSpaceDE w:val="0"/>
        <w:autoSpaceDN w:val="0"/>
        <w:adjustRightInd w:val="0"/>
        <w:jc w:val="left"/>
        <w:rPr>
          <w:rFonts w:hint="eastAsia" w:ascii="黑体" w:hAnsi="黑体" w:eastAsia="黑体" w:cs="Times New Roman"/>
          <w:sz w:val="32"/>
          <w:szCs w:val="32"/>
          <w:lang w:val="en-US" w:eastAsia="zh-CN"/>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六、政府采购预算情况</w:t>
      </w:r>
    </w:p>
    <w:p>
      <w:pPr>
        <w:outlineLvl w:val="0"/>
        <w:rPr>
          <w:rFonts w:hint="eastAsia" w:ascii="黑体" w:hAnsi="黑体" w:eastAsia="黑体" w:cs="Times New Roman"/>
          <w:sz w:val="32"/>
          <w:szCs w:val="32"/>
          <w:lang w:val="en-US" w:eastAsia="zh-CN"/>
        </w:rPr>
      </w:pPr>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lang w:val="en-US" w:eastAsia="zh-CN"/>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lang w:eastAsia="zh-CN"/>
        </w:rPr>
        <w:t>未</w:t>
      </w:r>
      <w:r>
        <w:rPr>
          <w:rFonts w:ascii="Times New Roman" w:hAnsi="Times New Roman" w:eastAsia="方正仿宋_GBK" w:cs="Times New Roman"/>
          <w:sz w:val="32"/>
          <w:szCs w:val="24"/>
        </w:rPr>
        <w:t>安排政府采购预算。</w:t>
      </w:r>
    </w:p>
    <w:p>
      <w:pPr>
        <w:autoSpaceDE w:val="0"/>
        <w:autoSpaceDN w:val="0"/>
        <w:adjustRightInd w:val="0"/>
        <w:ind w:firstLine="320" w:firstLineChars="1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242.70</w:t>
      </w:r>
      <w:r>
        <w:rPr>
          <w:rFonts w:hint="eastAsia" w:ascii="仿宋_GB2312" w:hAnsi="黑体" w:eastAsia="仿宋_GB2312" w:cs="Times New Roman"/>
          <w:sz w:val="32"/>
          <w:szCs w:val="32"/>
        </w:rPr>
        <w:t>万元，</w:t>
      </w:r>
      <w:r>
        <w:rPr>
          <w:rFonts w:hint="eastAsia" w:ascii="仿宋_GB2312" w:hAnsi="黑体" w:eastAsia="仿宋_GB2312" w:cs="Times New Roman"/>
          <w:sz w:val="32"/>
          <w:szCs w:val="32"/>
          <w:lang w:val="en-US" w:eastAsia="zh-CN"/>
        </w:rPr>
        <w:t>均为20万元以下的设备。</w:t>
      </w:r>
      <w:r>
        <w:rPr>
          <w:rFonts w:hint="eastAsia" w:ascii="仿宋_GB2312" w:hAnsi="黑体" w:eastAsia="仿宋_GB2312" w:cs="Times New Roman"/>
          <w:sz w:val="32"/>
          <w:szCs w:val="32"/>
        </w:rPr>
        <w:t>本年度</w:t>
      </w:r>
      <w:r>
        <w:rPr>
          <w:rFonts w:hint="eastAsia" w:ascii="仿宋_GB2312" w:hAnsi="黑体" w:eastAsia="仿宋_GB2312" w:cs="Times New Roman"/>
          <w:sz w:val="32"/>
          <w:szCs w:val="32"/>
          <w:lang w:eastAsia="zh-CN"/>
        </w:rPr>
        <w:t>未</w:t>
      </w:r>
      <w:r>
        <w:rPr>
          <w:rFonts w:hint="eastAsia" w:ascii="仿宋_GB2312" w:hAnsi="黑体" w:eastAsia="仿宋_GB2312" w:cs="Times New Roman"/>
          <w:sz w:val="32"/>
          <w:szCs w:val="32"/>
        </w:rPr>
        <w:t>购置固定资产主要为</w:t>
      </w:r>
      <w:r>
        <w:rPr>
          <w:rFonts w:hint="eastAsia" w:ascii="仿宋_GB2312" w:hAnsi="黑体" w:eastAsia="仿宋_GB2312" w:cs="Times New Roman"/>
          <w:sz w:val="32"/>
          <w:szCs w:val="32"/>
          <w:lang w:eastAsia="zh-CN"/>
        </w:rPr>
        <w:t>电脑、笔记本、复印机、打印机、扫描仪等设备，共计</w:t>
      </w:r>
      <w:r>
        <w:rPr>
          <w:rFonts w:hint="eastAsia" w:ascii="仿宋_GB2312" w:hAnsi="黑体" w:eastAsia="仿宋_GB2312" w:cs="Times New Roman"/>
          <w:sz w:val="32"/>
          <w:szCs w:val="32"/>
          <w:lang w:val="en-US" w:eastAsia="zh-CN"/>
        </w:rPr>
        <w:t>0万元。</w:t>
      </w:r>
    </w:p>
    <w:tbl>
      <w:tblPr>
        <w:tblStyle w:val="9"/>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1"/>
        <w:gridCol w:w="3304"/>
        <w:gridCol w:w="5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4120" w:type="dxa"/>
            <w:gridSpan w:val="3"/>
            <w:tcBorders>
              <w:top w:val="nil"/>
              <w:left w:val="nil"/>
              <w:bottom w:val="nil"/>
              <w:right w:val="nil"/>
            </w:tcBorders>
            <w:vAlign w:val="center"/>
          </w:tcPr>
          <w:p>
            <w:pPr>
              <w:widowControl/>
              <w:jc w:val="center"/>
              <w:rPr>
                <w:rFonts w:ascii="宋体" w:hAnsi="宋体" w:eastAsia="宋体" w:cs="宋体"/>
                <w:b/>
                <w:bCs/>
                <w:kern w:val="0"/>
                <w:sz w:val="32"/>
                <w:szCs w:val="32"/>
              </w:rPr>
            </w:pPr>
            <w:r>
              <w:rPr>
                <w:rFonts w:hint="eastAsia" w:ascii="宋体" w:hAnsi="宋体" w:cs="宋体"/>
                <w:b/>
                <w:bCs/>
                <w:kern w:val="0"/>
                <w:sz w:val="32"/>
                <w:szCs w:val="32"/>
                <w:lang w:eastAsia="zh-CN"/>
              </w:rPr>
              <w:t>曹妃甸港口物流园区管理委员会</w:t>
            </w:r>
            <w:r>
              <w:rPr>
                <w:rFonts w:hint="eastAsia" w:ascii="宋体" w:hAnsi="宋体" w:eastAsia="宋体" w:cs="宋体"/>
                <w:b/>
                <w:bCs/>
                <w:kern w:val="0"/>
                <w:sz w:val="32"/>
                <w:szCs w:val="32"/>
              </w:rPr>
              <w:t>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75" w:type="dxa"/>
            <w:gridSpan w:val="2"/>
            <w:tcBorders>
              <w:top w:val="nil"/>
              <w:left w:val="nil"/>
              <w:bottom w:val="nil"/>
              <w:right w:val="nil"/>
            </w:tcBorders>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cs="宋体"/>
                <w:kern w:val="0"/>
                <w:sz w:val="22"/>
                <w:lang w:eastAsia="zh-CN"/>
              </w:rPr>
              <w:t>曹妃甸港口物流园区管理委员会</w:t>
            </w:r>
          </w:p>
        </w:tc>
        <w:tc>
          <w:tcPr>
            <w:tcW w:w="5345" w:type="dxa"/>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cs="宋体"/>
                <w:kern w:val="0"/>
                <w:sz w:val="22"/>
                <w:lang w:val="en-US" w:eastAsia="zh-CN"/>
              </w:rPr>
              <w:t>20</w:t>
            </w:r>
            <w:r>
              <w:rPr>
                <w:rFonts w:hint="eastAsia" w:ascii="宋体" w:hAnsi="宋体" w:eastAsia="宋体" w:cs="宋体"/>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30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3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资产总额</w:t>
            </w:r>
          </w:p>
        </w:tc>
        <w:tc>
          <w:tcPr>
            <w:tcW w:w="330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3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1、房屋（平方米）</w:t>
            </w:r>
          </w:p>
        </w:tc>
        <w:tc>
          <w:tcPr>
            <w:tcW w:w="330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c>
          <w:tcPr>
            <w:tcW w:w="534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其中：办公用房（平方米）</w:t>
            </w:r>
          </w:p>
        </w:tc>
        <w:tc>
          <w:tcPr>
            <w:tcW w:w="330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c>
          <w:tcPr>
            <w:tcW w:w="534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2、车辆（台、辆）</w:t>
            </w:r>
          </w:p>
        </w:tc>
        <w:tc>
          <w:tcPr>
            <w:tcW w:w="330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w:t>
            </w:r>
          </w:p>
        </w:tc>
        <w:tc>
          <w:tcPr>
            <w:tcW w:w="53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3、单价在20万元以上设备</w:t>
            </w:r>
          </w:p>
        </w:tc>
        <w:tc>
          <w:tcPr>
            <w:tcW w:w="330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3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47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4、其他固定资产</w:t>
            </w:r>
          </w:p>
        </w:tc>
        <w:tc>
          <w:tcPr>
            <w:tcW w:w="330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3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201.8</w:t>
            </w:r>
          </w:p>
        </w:tc>
      </w:tr>
    </w:tbl>
    <w:p>
      <w:pPr>
        <w:rPr>
          <w:rFonts w:hint="eastAsia" w:ascii="仿宋_GB2312" w:hAnsi="黑体" w:eastAsia="仿宋_GB2312" w:cs="Times New Roman"/>
          <w:color w:val="auto"/>
          <w:sz w:val="32"/>
          <w:szCs w:val="32"/>
          <w:lang w:val="en-US" w:eastAsia="zh-CN"/>
        </w:rPr>
      </w:pPr>
    </w:p>
    <w:p>
      <w:pPr>
        <w:numPr>
          <w:ilvl w:val="0"/>
          <w:numId w:val="4"/>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1、一般预算收入：财政当年拨付的资金。</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2、基本支出：为保障机构正常运转，完成日常工作任务，而发生的人员支出和公用支出。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3、项目支出：是指在基本支出之外，为完成特定行政任务和事业发展目标，而发生的支出。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机关运行费：是指为保证行政单位（包括参照公务员管理的事业单位）运行，用于购买货物和服务的各项资金。主要包括：办公费、印刷费，水费、电费、邮电费、福利费、日常维修费、办公物业服务费、公务车运行维护费等。</w:t>
      </w:r>
    </w:p>
    <w:p>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我部门无其他需要说明的事项。</w:t>
      </w:r>
    </w:p>
    <w:p>
      <w:pPr>
        <w:pStyle w:val="8"/>
        <w:jc w:val="both"/>
        <w:rPr>
          <w:rFonts w:hint="eastAsia"/>
        </w:rPr>
      </w:pPr>
      <w:r>
        <w:rPr>
          <w:rFonts w:hint="eastAsia"/>
          <w:sz w:val="28"/>
        </w:rPr>
        <w:t xml:space="preserve">         </w:t>
      </w:r>
      <w:r>
        <w:t xml:space="preserve">                                                </w:t>
      </w:r>
    </w:p>
    <w:p>
      <w:pPr>
        <w:rPr>
          <w:rFonts w:hint="eastAsia" w:ascii="仿宋_GB2312" w:hAnsi="仿宋_GB2312" w:eastAsia="仿宋_GB2312" w:cs="仿宋_GB2312"/>
          <w:sz w:val="32"/>
          <w:szCs w:val="32"/>
        </w:rPr>
      </w:pPr>
    </w:p>
    <w:sectPr>
      <w:headerReference r:id="rId3" w:type="default"/>
      <w:footerReference r:id="rId4"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76</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abstractNum w:abstractNumId="2">
    <w:nsid w:val="5909A0EE"/>
    <w:multiLevelType w:val="singleLevel"/>
    <w:tmpl w:val="5909A0EE"/>
    <w:lvl w:ilvl="0" w:tentative="0">
      <w:start w:val="1"/>
      <w:numFmt w:val="chineseCounting"/>
      <w:suff w:val="nothing"/>
      <w:lvlText w:val="%1、"/>
      <w:lvlJc w:val="left"/>
    </w:lvl>
  </w:abstractNum>
  <w:abstractNum w:abstractNumId="3">
    <w:nsid w:val="5909A57E"/>
    <w:multiLevelType w:val="singleLevel"/>
    <w:tmpl w:val="5909A57E"/>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ZWNkMjMwZjI0MjRjNWZhMjJlZmVhNGZkZGZhNzgifQ=="/>
  </w:docVars>
  <w:rsids>
    <w:rsidRoot w:val="00172A27"/>
    <w:rsid w:val="000B7EA5"/>
    <w:rsid w:val="02335EF2"/>
    <w:rsid w:val="043106FB"/>
    <w:rsid w:val="04897001"/>
    <w:rsid w:val="05254915"/>
    <w:rsid w:val="06526A52"/>
    <w:rsid w:val="067564CD"/>
    <w:rsid w:val="081465EC"/>
    <w:rsid w:val="08B872E5"/>
    <w:rsid w:val="09A36D5E"/>
    <w:rsid w:val="0B0816B0"/>
    <w:rsid w:val="0D3D7863"/>
    <w:rsid w:val="0DC25EEE"/>
    <w:rsid w:val="0E5E3DC1"/>
    <w:rsid w:val="0EFA3881"/>
    <w:rsid w:val="0F395075"/>
    <w:rsid w:val="102E0CE7"/>
    <w:rsid w:val="10E7652F"/>
    <w:rsid w:val="114A2081"/>
    <w:rsid w:val="11B14DCE"/>
    <w:rsid w:val="11BD51BB"/>
    <w:rsid w:val="131D7EA0"/>
    <w:rsid w:val="132D779A"/>
    <w:rsid w:val="13FE75A2"/>
    <w:rsid w:val="140D16D8"/>
    <w:rsid w:val="149505C6"/>
    <w:rsid w:val="162E3AC8"/>
    <w:rsid w:val="173E1959"/>
    <w:rsid w:val="17B27C12"/>
    <w:rsid w:val="182B5206"/>
    <w:rsid w:val="187044D8"/>
    <w:rsid w:val="18E406CF"/>
    <w:rsid w:val="19E05BC3"/>
    <w:rsid w:val="1A6C0E84"/>
    <w:rsid w:val="1A7C3068"/>
    <w:rsid w:val="1AF16905"/>
    <w:rsid w:val="1B0D5892"/>
    <w:rsid w:val="1B6C046B"/>
    <w:rsid w:val="1BAF6B37"/>
    <w:rsid w:val="1C6D28A3"/>
    <w:rsid w:val="1CC5044C"/>
    <w:rsid w:val="1D8544C7"/>
    <w:rsid w:val="1DC43078"/>
    <w:rsid w:val="1E90517C"/>
    <w:rsid w:val="1F436A91"/>
    <w:rsid w:val="20490F69"/>
    <w:rsid w:val="20880B42"/>
    <w:rsid w:val="20C43791"/>
    <w:rsid w:val="20D06600"/>
    <w:rsid w:val="21031285"/>
    <w:rsid w:val="214C5F33"/>
    <w:rsid w:val="216768CD"/>
    <w:rsid w:val="22F056FB"/>
    <w:rsid w:val="23813FB8"/>
    <w:rsid w:val="24621FB6"/>
    <w:rsid w:val="24D1323C"/>
    <w:rsid w:val="252B756D"/>
    <w:rsid w:val="253476E6"/>
    <w:rsid w:val="2557532B"/>
    <w:rsid w:val="2573511A"/>
    <w:rsid w:val="26964247"/>
    <w:rsid w:val="26A175C9"/>
    <w:rsid w:val="26B55F79"/>
    <w:rsid w:val="291809A3"/>
    <w:rsid w:val="2A143B39"/>
    <w:rsid w:val="2B2D036C"/>
    <w:rsid w:val="2B675316"/>
    <w:rsid w:val="2BAD07C1"/>
    <w:rsid w:val="2BBA1516"/>
    <w:rsid w:val="2BE15490"/>
    <w:rsid w:val="2C0A2AA6"/>
    <w:rsid w:val="2C343CEB"/>
    <w:rsid w:val="2C752E78"/>
    <w:rsid w:val="2C973BA3"/>
    <w:rsid w:val="2CD91EE1"/>
    <w:rsid w:val="2D3D47D0"/>
    <w:rsid w:val="2D7A14B7"/>
    <w:rsid w:val="2D9F209F"/>
    <w:rsid w:val="2DF3678A"/>
    <w:rsid w:val="2DFA07EA"/>
    <w:rsid w:val="2EE35562"/>
    <w:rsid w:val="2FAF2DC0"/>
    <w:rsid w:val="30AF37BE"/>
    <w:rsid w:val="33806FB3"/>
    <w:rsid w:val="37346343"/>
    <w:rsid w:val="376059F1"/>
    <w:rsid w:val="37DB0555"/>
    <w:rsid w:val="38781EDD"/>
    <w:rsid w:val="39B624A1"/>
    <w:rsid w:val="3B9D05E2"/>
    <w:rsid w:val="3B9D3F7B"/>
    <w:rsid w:val="3BC06A63"/>
    <w:rsid w:val="3CD51860"/>
    <w:rsid w:val="3CE615CC"/>
    <w:rsid w:val="3DF441D1"/>
    <w:rsid w:val="3EAA5A68"/>
    <w:rsid w:val="3F0323B6"/>
    <w:rsid w:val="3F140787"/>
    <w:rsid w:val="3F550749"/>
    <w:rsid w:val="3F675A63"/>
    <w:rsid w:val="3FB01BED"/>
    <w:rsid w:val="417B1318"/>
    <w:rsid w:val="42646472"/>
    <w:rsid w:val="45822C50"/>
    <w:rsid w:val="45DE55A4"/>
    <w:rsid w:val="460974D0"/>
    <w:rsid w:val="477E5776"/>
    <w:rsid w:val="47E52DBD"/>
    <w:rsid w:val="47F75FA8"/>
    <w:rsid w:val="48C0054A"/>
    <w:rsid w:val="4AAC2E03"/>
    <w:rsid w:val="4AD67916"/>
    <w:rsid w:val="4AEC470D"/>
    <w:rsid w:val="4B120823"/>
    <w:rsid w:val="4BB8691C"/>
    <w:rsid w:val="4C9D40EB"/>
    <w:rsid w:val="4D667939"/>
    <w:rsid w:val="4E116BA7"/>
    <w:rsid w:val="4EFB5CEB"/>
    <w:rsid w:val="4F762266"/>
    <w:rsid w:val="507B57E7"/>
    <w:rsid w:val="50D61A4B"/>
    <w:rsid w:val="516D3442"/>
    <w:rsid w:val="51974DC8"/>
    <w:rsid w:val="525A132C"/>
    <w:rsid w:val="52F74406"/>
    <w:rsid w:val="53934B54"/>
    <w:rsid w:val="558F476A"/>
    <w:rsid w:val="55DE3CBE"/>
    <w:rsid w:val="56412769"/>
    <w:rsid w:val="567974AC"/>
    <w:rsid w:val="56A439CF"/>
    <w:rsid w:val="570517E2"/>
    <w:rsid w:val="588958A6"/>
    <w:rsid w:val="59727FA3"/>
    <w:rsid w:val="59D52016"/>
    <w:rsid w:val="5B0A7539"/>
    <w:rsid w:val="5C5C3E00"/>
    <w:rsid w:val="5CF32068"/>
    <w:rsid w:val="5D534355"/>
    <w:rsid w:val="5E864621"/>
    <w:rsid w:val="60023ECA"/>
    <w:rsid w:val="62F7325E"/>
    <w:rsid w:val="63035AB9"/>
    <w:rsid w:val="633119FF"/>
    <w:rsid w:val="64521C97"/>
    <w:rsid w:val="64D511C6"/>
    <w:rsid w:val="652A4135"/>
    <w:rsid w:val="66156FDB"/>
    <w:rsid w:val="67C9021A"/>
    <w:rsid w:val="67D11E56"/>
    <w:rsid w:val="68875A82"/>
    <w:rsid w:val="693010B4"/>
    <w:rsid w:val="6B114F2F"/>
    <w:rsid w:val="6BDC690F"/>
    <w:rsid w:val="6BF81301"/>
    <w:rsid w:val="6C7A6CD1"/>
    <w:rsid w:val="6F0E2FEB"/>
    <w:rsid w:val="6F123BFA"/>
    <w:rsid w:val="6FA2576F"/>
    <w:rsid w:val="6FF75DFC"/>
    <w:rsid w:val="7056335F"/>
    <w:rsid w:val="712552E9"/>
    <w:rsid w:val="73B72B75"/>
    <w:rsid w:val="74041146"/>
    <w:rsid w:val="74DD0FBA"/>
    <w:rsid w:val="76CF1A18"/>
    <w:rsid w:val="779F354D"/>
    <w:rsid w:val="7944331F"/>
    <w:rsid w:val="796535FC"/>
    <w:rsid w:val="7A1A5ADF"/>
    <w:rsid w:val="7AEC23D6"/>
    <w:rsid w:val="7BBC722B"/>
    <w:rsid w:val="7C0A36A0"/>
    <w:rsid w:val="7C9A7756"/>
    <w:rsid w:val="7E9419AA"/>
    <w:rsid w:val="7F752A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页脚 Char"/>
    <w:basedOn w:val="10"/>
    <w:link w:val="3"/>
    <w:semiHidden/>
    <w:qFormat/>
    <w:uiPriority w:val="0"/>
    <w:rPr>
      <w:rFonts w:ascii="Times New Roman" w:hAnsi="Times New Roman" w:eastAsia="宋体" w:cs="Times New Roman"/>
      <w:sz w:val="18"/>
      <w:szCs w:val="18"/>
    </w:rPr>
  </w:style>
  <w:style w:type="character" w:customStyle="1" w:styleId="14">
    <w:name w:val="页眉 Char"/>
    <w:basedOn w:val="10"/>
    <w:link w:val="4"/>
    <w:semiHidden/>
    <w:qFormat/>
    <w:uiPriority w:val="0"/>
    <w:rPr>
      <w:rFonts w:ascii="Times New Roman" w:hAnsi="Times New Roman" w:eastAsia="宋体" w:cs="Times New Roman"/>
      <w:sz w:val="18"/>
      <w:szCs w:val="18"/>
    </w:rPr>
  </w:style>
  <w:style w:type="character" w:customStyle="1" w:styleId="15">
    <w:name w:val="page number"/>
    <w:basedOn w:val="10"/>
    <w:qFormat/>
    <w:uiPriority w:val="0"/>
  </w:style>
  <w:style w:type="character" w:customStyle="1" w:styleId="16">
    <w:name w:val="font1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5745</Words>
  <Characters>6143</Characters>
  <Lines>5</Lines>
  <Paragraphs>1</Paragraphs>
  <TotalTime>0</TotalTime>
  <ScaleCrop>false</ScaleCrop>
  <LinksUpToDate>false</LinksUpToDate>
  <CharactersWithSpaces>6258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浵華</cp:lastModifiedBy>
  <cp:lastPrinted>2017-05-03T09:08:00Z</cp:lastPrinted>
  <dcterms:modified xsi:type="dcterms:W3CDTF">2022-06-30T09:33:18Z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SaveFontToCloudKey">
    <vt:lpwstr>0_cloud</vt:lpwstr>
  </property>
  <property fmtid="{D5CDD505-2E9C-101B-9397-08002B2CF9AE}" pid="4" name="ICV">
    <vt:lpwstr>FD85719144BF413694F378F2B0C318E6</vt:lpwstr>
  </property>
</Properties>
</file>