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D9D62">
      <w:pPr>
        <w:spacing w:line="500" w:lineRule="exact"/>
        <w:jc w:val="center"/>
        <w:rPr>
          <w:rFonts w:hint="eastAsia" w:ascii="华文中宋" w:hAnsi="华文中宋" w:eastAsia="华文中宋" w:cs="华文中宋"/>
          <w:b/>
          <w:sz w:val="44"/>
          <w:szCs w:val="44"/>
          <w:u w:val="none"/>
          <w:lang w:val="en-US" w:eastAsia="zh-CN"/>
        </w:rPr>
      </w:pPr>
      <w:r>
        <w:rPr>
          <w:rFonts w:hint="eastAsia" w:ascii="华文中宋" w:hAnsi="华文中宋" w:eastAsia="华文中宋" w:cs="华文中宋"/>
          <w:b/>
          <w:sz w:val="44"/>
          <w:szCs w:val="44"/>
          <w:u w:val="none"/>
          <w:lang w:val="en-US" w:eastAsia="zh-CN"/>
        </w:rPr>
        <w:t>行政执法公示——行政处罚</w:t>
      </w:r>
    </w:p>
    <w:p w14:paraId="71C91DE5">
      <w:pPr>
        <w:pStyle w:val="2"/>
        <w:rPr>
          <w:rFonts w:hint="eastAsia"/>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6602"/>
      </w:tblGrid>
      <w:tr w14:paraId="6AC2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20" w:type="dxa"/>
            <w:vAlign w:val="center"/>
          </w:tcPr>
          <w:p w14:paraId="61B598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Calibri" w:eastAsia="仿宋_GB2312" w:cs="黑体"/>
                <w:color w:val="000000"/>
                <w:w w:val="100"/>
                <w:sz w:val="24"/>
                <w:szCs w:val="24"/>
                <w:u w:val="none" w:color="auto"/>
                <w:lang w:val="en-US" w:eastAsia="zh-CN"/>
              </w:rPr>
            </w:pPr>
            <w:r>
              <w:rPr>
                <w:rFonts w:hint="eastAsia" w:ascii="仿宋_GB2312" w:hAnsi="Calibri" w:eastAsia="仿宋_GB2312" w:cs="黑体"/>
                <w:color w:val="000000"/>
                <w:w w:val="100"/>
                <w:sz w:val="24"/>
                <w:szCs w:val="24"/>
                <w:u w:val="none" w:color="auto"/>
                <w:lang w:val="en-US" w:eastAsia="zh-CN"/>
              </w:rPr>
              <w:t>被处罚单位名称</w:t>
            </w:r>
          </w:p>
        </w:tc>
        <w:tc>
          <w:tcPr>
            <w:tcW w:w="6602" w:type="dxa"/>
            <w:vAlign w:val="center"/>
          </w:tcPr>
          <w:p w14:paraId="7F76634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_GB2312" w:hAnsi="Calibri" w:eastAsia="仿宋_GB2312" w:cs="黑体"/>
                <w:color w:val="000000"/>
                <w:w w:val="100"/>
                <w:sz w:val="24"/>
                <w:szCs w:val="24"/>
                <w:u w:val="none" w:color="auto"/>
                <w:lang w:val="en-US" w:eastAsia="zh-CN"/>
              </w:rPr>
            </w:pPr>
            <w:r>
              <w:rPr>
                <w:rFonts w:hint="eastAsia" w:ascii="仿宋_GB2312" w:hAnsi="Calibri" w:eastAsia="仿宋_GB2312" w:cs="黑体"/>
                <w:color w:val="000000"/>
                <w:w w:val="100"/>
                <w:sz w:val="24"/>
                <w:szCs w:val="24"/>
                <w:u w:val="none" w:color="auto"/>
                <w:lang w:val="en-US" w:eastAsia="zh-CN"/>
              </w:rPr>
              <w:t>唐山科嘉燃气有限责任公司</w:t>
            </w:r>
          </w:p>
        </w:tc>
      </w:tr>
      <w:tr w14:paraId="5680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20" w:type="dxa"/>
            <w:vAlign w:val="center"/>
          </w:tcPr>
          <w:p w14:paraId="37D4F1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Calibri" w:eastAsia="仿宋_GB2312" w:cs="黑体"/>
                <w:color w:val="000000"/>
                <w:w w:val="100"/>
                <w:sz w:val="24"/>
                <w:szCs w:val="24"/>
                <w:u w:val="none" w:color="auto"/>
                <w:lang w:val="en-US" w:eastAsia="zh-CN"/>
              </w:rPr>
            </w:pPr>
            <w:r>
              <w:rPr>
                <w:rFonts w:hint="eastAsia" w:ascii="仿宋_GB2312" w:hAnsi="Calibri" w:eastAsia="仿宋_GB2312" w:cs="黑体"/>
                <w:color w:val="000000"/>
                <w:w w:val="100"/>
                <w:sz w:val="24"/>
                <w:szCs w:val="24"/>
                <w:u w:val="none" w:color="auto"/>
                <w:lang w:val="en-US" w:eastAsia="zh-CN"/>
              </w:rPr>
              <w:t>违法行为</w:t>
            </w:r>
          </w:p>
        </w:tc>
        <w:tc>
          <w:tcPr>
            <w:tcW w:w="6602" w:type="dxa"/>
            <w:vAlign w:val="center"/>
          </w:tcPr>
          <w:p w14:paraId="19C255F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_GB2312" w:hAnsi="Calibri" w:eastAsia="仿宋_GB2312" w:cs="黑体"/>
                <w:color w:val="000000"/>
                <w:w w:val="100"/>
                <w:sz w:val="24"/>
                <w:szCs w:val="24"/>
                <w:u w:val="none" w:color="auto"/>
                <w:lang w:val="en-US" w:eastAsia="zh-CN"/>
              </w:rPr>
            </w:pPr>
            <w:r>
              <w:rPr>
                <w:rFonts w:hint="eastAsia" w:ascii="Times New Roman" w:hAnsi="Times New Roman" w:eastAsia="仿宋_GB2312" w:cs="Times New Roman"/>
                <w:sz w:val="24"/>
                <w:szCs w:val="24"/>
                <w:lang w:val="en-US" w:eastAsia="zh-CN"/>
              </w:rPr>
              <w:t>唐山科嘉燃气有限责任公司调压计量站及燃气管道工程项目安全设施设计未按照规定报经有关部门审查同意，擅自开工建设。</w:t>
            </w:r>
          </w:p>
        </w:tc>
      </w:tr>
      <w:tr w14:paraId="631E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0" w:type="dxa"/>
            <w:vAlign w:val="center"/>
          </w:tcPr>
          <w:p w14:paraId="62C878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Calibri" w:eastAsia="仿宋_GB2312" w:cs="黑体"/>
                <w:color w:val="000000"/>
                <w:w w:val="100"/>
                <w:sz w:val="24"/>
                <w:szCs w:val="24"/>
                <w:u w:val="none" w:color="auto"/>
                <w:lang w:val="en-US" w:eastAsia="zh-CN"/>
              </w:rPr>
            </w:pPr>
            <w:r>
              <w:rPr>
                <w:rFonts w:hint="eastAsia" w:ascii="仿宋_GB2312" w:hAnsi="Calibri" w:eastAsia="仿宋_GB2312" w:cs="黑体"/>
                <w:color w:val="000000"/>
                <w:w w:val="100"/>
                <w:sz w:val="24"/>
                <w:szCs w:val="24"/>
                <w:u w:val="none" w:color="auto"/>
                <w:lang w:val="en-US" w:eastAsia="zh-CN"/>
              </w:rPr>
              <w:t>处罚时间</w:t>
            </w:r>
          </w:p>
        </w:tc>
        <w:tc>
          <w:tcPr>
            <w:tcW w:w="6602" w:type="dxa"/>
            <w:vAlign w:val="center"/>
          </w:tcPr>
          <w:p w14:paraId="409219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Calibri" w:eastAsia="仿宋_GB2312" w:cs="黑体"/>
                <w:color w:val="000000"/>
                <w:w w:val="100"/>
                <w:sz w:val="24"/>
                <w:szCs w:val="24"/>
                <w:u w:val="none" w:color="auto"/>
                <w:lang w:val="en-US" w:eastAsia="zh-CN"/>
              </w:rPr>
            </w:pPr>
            <w:r>
              <w:rPr>
                <w:rFonts w:hint="eastAsia" w:ascii="仿宋_GB2312" w:hAnsi="Calibri" w:eastAsia="仿宋_GB2312" w:cs="黑体"/>
                <w:color w:val="000000"/>
                <w:w w:val="100"/>
                <w:sz w:val="24"/>
                <w:szCs w:val="24"/>
                <w:u w:val="none" w:color="auto"/>
                <w:lang w:val="en-US" w:eastAsia="zh-CN"/>
              </w:rPr>
              <w:t>2025年1月14日</w:t>
            </w:r>
          </w:p>
        </w:tc>
      </w:tr>
      <w:tr w14:paraId="4C7C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920" w:type="dxa"/>
            <w:vAlign w:val="center"/>
          </w:tcPr>
          <w:p w14:paraId="6BD59B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Calibri" w:eastAsia="仿宋_GB2312" w:cs="黑体"/>
                <w:color w:val="000000"/>
                <w:w w:val="100"/>
                <w:sz w:val="24"/>
                <w:szCs w:val="24"/>
                <w:u w:val="none" w:color="auto"/>
                <w:lang w:val="en-US" w:eastAsia="zh-CN"/>
              </w:rPr>
            </w:pPr>
            <w:r>
              <w:rPr>
                <w:rFonts w:hint="eastAsia" w:ascii="仿宋_GB2312" w:hAnsi="Calibri" w:eastAsia="仿宋_GB2312" w:cs="黑体"/>
                <w:color w:val="000000"/>
                <w:w w:val="100"/>
                <w:sz w:val="24"/>
                <w:szCs w:val="24"/>
                <w:u w:val="none" w:color="auto"/>
                <w:lang w:val="en-US" w:eastAsia="zh-CN"/>
              </w:rPr>
              <w:t>处罚依据</w:t>
            </w:r>
          </w:p>
        </w:tc>
        <w:tc>
          <w:tcPr>
            <w:tcW w:w="6602" w:type="dxa"/>
            <w:vAlign w:val="center"/>
          </w:tcPr>
          <w:p w14:paraId="13DDBA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Calibri" w:eastAsia="仿宋_GB2312" w:cs="黑体"/>
                <w:color w:val="000000"/>
                <w:w w:val="100"/>
                <w:sz w:val="24"/>
                <w:szCs w:val="24"/>
                <w:u w:val="none" w:color="auto"/>
                <w:lang w:val="en-US" w:eastAsia="zh-CN"/>
              </w:rPr>
            </w:pPr>
            <w:r>
              <w:rPr>
                <w:rFonts w:hint="default" w:ascii="仿宋_GB2312" w:hAnsi="Calibri" w:eastAsia="仿宋_GB2312" w:cs="黑体"/>
                <w:color w:val="000000"/>
                <w:w w:val="100"/>
                <w:sz w:val="24"/>
                <w:szCs w:val="24"/>
                <w:u w:val="none" w:color="auto"/>
                <w:lang w:val="en-US" w:eastAsia="zh-CN"/>
              </w:rPr>
              <w:t>《中华人民共和国安全生产法》第三十三条第二款</w:t>
            </w:r>
          </w:p>
          <w:p w14:paraId="2C2A14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Calibri" w:eastAsia="仿宋_GB2312" w:cs="黑体"/>
                <w:color w:val="000000"/>
                <w:w w:val="100"/>
                <w:sz w:val="24"/>
                <w:szCs w:val="24"/>
                <w:u w:val="none" w:color="auto"/>
                <w:lang w:val="en-US" w:eastAsia="zh-CN"/>
              </w:rPr>
            </w:pPr>
            <w:r>
              <w:rPr>
                <w:rFonts w:hint="default" w:ascii="仿宋_GB2312" w:hAnsi="Calibri" w:eastAsia="仿宋_GB2312" w:cs="黑体"/>
                <w:color w:val="000000"/>
                <w:w w:val="100"/>
                <w:sz w:val="24"/>
                <w:szCs w:val="24"/>
                <w:u w:val="none" w:color="auto"/>
                <w:lang w:val="en-US" w:eastAsia="zh-CN"/>
              </w:rPr>
              <w:t>《中华人民共和国安全生产法》第九十八条第（二）项</w:t>
            </w:r>
          </w:p>
        </w:tc>
      </w:tr>
      <w:tr w14:paraId="54E7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920" w:type="dxa"/>
            <w:vAlign w:val="center"/>
          </w:tcPr>
          <w:p w14:paraId="58C664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Calibri" w:eastAsia="仿宋_GB2312" w:cs="黑体"/>
                <w:color w:val="000000"/>
                <w:w w:val="100"/>
                <w:sz w:val="24"/>
                <w:szCs w:val="24"/>
                <w:u w:val="none" w:color="auto"/>
                <w:lang w:val="en-US" w:eastAsia="zh-CN"/>
              </w:rPr>
            </w:pPr>
            <w:r>
              <w:rPr>
                <w:rFonts w:hint="eastAsia" w:ascii="仿宋_GB2312" w:hAnsi="Calibri" w:eastAsia="仿宋_GB2312" w:cs="黑体"/>
                <w:color w:val="000000"/>
                <w:w w:val="100"/>
                <w:sz w:val="24"/>
                <w:szCs w:val="24"/>
                <w:u w:val="none" w:color="auto"/>
                <w:lang w:val="en-US" w:eastAsia="zh-CN"/>
              </w:rPr>
              <w:t>依据内容</w:t>
            </w:r>
          </w:p>
        </w:tc>
        <w:tc>
          <w:tcPr>
            <w:tcW w:w="6602" w:type="dxa"/>
            <w:vAlign w:val="center"/>
          </w:tcPr>
          <w:p w14:paraId="015CC07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〔法律规定〕《安全生产法》第三十三条第二款</w:t>
            </w:r>
            <w:bookmarkStart w:id="0" w:name="_GoBack"/>
            <w:bookmarkEnd w:id="0"/>
            <w:r>
              <w:rPr>
                <w:rFonts w:hint="eastAsia" w:ascii="Times New Roman" w:hAnsi="Times New Roman" w:eastAsia="仿宋_GB2312" w:cs="Times New Roman"/>
                <w:sz w:val="24"/>
                <w:szCs w:val="24"/>
                <w:lang w:val="en-US" w:eastAsia="zh-CN"/>
              </w:rPr>
              <w:t>规定：建设项目安全设施的设计人、设计单位应当对安全设施设计负责。</w:t>
            </w:r>
          </w:p>
          <w:p w14:paraId="3E52EF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矿山、金属冶炼建设项目和用于生产、储存、装卸危险物品的建设项目的安全设施设计应当按照国家有关规定报经有关部门审查，审查部门及其负责审查的人员对审查结果负责。</w:t>
            </w:r>
          </w:p>
          <w:p w14:paraId="4F32381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处罚依据〕《安全生产法》第九十八条第（二）项规定：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4A31F60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lang w:val="en-US" w:eastAsia="zh-CN"/>
              </w:rPr>
            </w:pPr>
            <w:r>
              <w:rPr>
                <w:rFonts w:hint="eastAsia" w:ascii="Times New Roman" w:hAnsi="Times New Roman" w:eastAsia="仿宋_GB2312" w:cs="Times New Roman"/>
                <w:sz w:val="24"/>
                <w:szCs w:val="24"/>
                <w:lang w:val="en-US" w:eastAsia="zh-CN"/>
              </w:rPr>
              <w:t>（二）矿山、金属冶炼建设项目或者用于生产、储存、装卸危险物品的建设项目没有安全设施设计或者安全设施设计未按照规定报经有关部门审查同意的；</w:t>
            </w:r>
          </w:p>
        </w:tc>
      </w:tr>
    </w:tbl>
    <w:p w14:paraId="6930507C">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ZGUyYzU5ZjZlZjdiZjBmYzIwMDFkNjE5MWNkMTgifQ=="/>
    <w:docVar w:name="KSO_WPS_MARK_KEY" w:val="0e04da06-bcec-4f34-a8bd-b4ada820200a"/>
  </w:docVars>
  <w:rsids>
    <w:rsidRoot w:val="3BC307C8"/>
    <w:rsid w:val="18137F71"/>
    <w:rsid w:val="23144B9D"/>
    <w:rsid w:val="236E0751"/>
    <w:rsid w:val="30422D49"/>
    <w:rsid w:val="36F36B33"/>
    <w:rsid w:val="3BC307C8"/>
    <w:rsid w:val="3F604F9A"/>
    <w:rsid w:val="4BAE52DF"/>
    <w:rsid w:val="50597F0F"/>
    <w:rsid w:val="5338592C"/>
    <w:rsid w:val="562B0306"/>
    <w:rsid w:val="5C0870DF"/>
    <w:rsid w:val="5D4C2123"/>
    <w:rsid w:val="5E3D67BE"/>
    <w:rsid w:val="65202952"/>
    <w:rsid w:val="6F1A48B6"/>
    <w:rsid w:val="6FAC1340"/>
    <w:rsid w:val="762F50EB"/>
    <w:rsid w:val="7A592736"/>
    <w:rsid w:val="7FAE0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675</Words>
  <Characters>678</Characters>
  <Lines>0</Lines>
  <Paragraphs>0</Paragraphs>
  <TotalTime>5</TotalTime>
  <ScaleCrop>false</ScaleCrop>
  <LinksUpToDate>false</LinksUpToDate>
  <CharactersWithSpaces>680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2024-08-14T01:48:00Z</dcterms:created>
  <dc:creator>春风</dc:creator>
  <cp:lastModifiedBy>刘兆雄</cp:lastModifiedBy>
  <dcterms:modified xsi:type="dcterms:W3CDTF">2025-03-06T07:06:33Z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829682CEDC55487EA40276AAF6B5D42F_13</vt:lpwstr>
  </property>
  <property fmtid="{D5CDD505-2E9C-101B-9397-08002B2CF9AE}" pid="4" name="KSOTemplateDocerSaveRecord">
    <vt:lpwstr>eyJoZGlkIjoiZjQ4ODQ4NWNhZTZlYmNjNjAyN2Y1OTkzMDUxODkyZGEiLCJ1c2VySWQiOiIzMDIyNzkyNjcifQ==</vt:lpwstr>
  </property>
</Properties>
</file>