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部分烈士（含错杀后被平反人员）子女认定及生活补助给付办事指南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880" w:firstLineChars="200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部分烈士（含错杀后被平反人员）子女认定及生活补助给付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  <w:highlight w:val="yellow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sz w:val="32"/>
          <w:szCs w:val="32"/>
        </w:rPr>
        <w:t>行政综合服务中心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(1)民政部、财政部《关于给部分烈士子女发放定期生活补助的通知》根据中央领导同志有关批示精神，经研究决定，从2011年7月1日起，给部分烈士子女（含建国前错杀后被平反人员的子女，下同）发放定期生活补助。现将有关问题通知如下：一、部分烈士子女是指居住在农村和城镇无工作单位、18周岁之前没有享受过定期抚恤金待遇且年满60周岁的烈士子女。</w:t>
      </w:r>
      <w:r>
        <w:rPr>
          <w:rFonts w:hint="eastAsia"/>
          <w:color w:val="333333"/>
          <w:sz w:val="23"/>
          <w:szCs w:val="23"/>
          <w:shd w:val="clear" w:color="auto" w:fill="FFFFFF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 xml:space="preserve">(2)民政部办公厅、财政部办公厅《关于落实给部分烈士子女发放定期生活补助政策的实施意见》染病防治应用性“根据民政部、财政部《关于给部分烈士子女发放定期生活补助的通知》（民发〔2012〕27号，以下简称《通知》）规定，自2011年7月1日起，给部分烈士子女（含建国前错杀后被平反人员的子女，下同）每人每月发放130元的定期生活补助。为确保政策顺利贯彻落实，现提出如下实施意见。一、适用对象的界定：政策实施对象的人员范围为，居住在农村和城镇无工作单位、18周岁以前没有享受过定期抚恤金待遇且年满60周岁的烈士子女和建国前错杀后被平反人员（以下简称错杀被平反人员）子女。”      </w:t>
      </w:r>
      <w:r>
        <w:rPr>
          <w:rFonts w:hint="eastAsia" w:ascii="黑体" w:hAnsi="黑体" w:eastAsia="黑体" w:cs="黑体"/>
          <w:sz w:val="32"/>
          <w:szCs w:val="32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四、申请条件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《关于给部分烈士子女发放定期生活补助的通知》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居住在农村和城镇无工作单位、18周岁以前没有享受过定期抚恤金待遇且年满60周岁的烈士子女和建国前错杀后被平反人员子女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五、申请材料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1.个人申请；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2.由村（居）委会出具的申请人与烈士或错杀被平反人员关系的证明信两份；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3.填写《部分烈士（含错杀被平反人员）子女审核表》 和《部分烈士（含错杀 被平反人员）子女信息采集表》；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4.户口本、户口本复印件、第二代身份证复印件或户籍证明、烈士证明书或错杀被平反人员平反证明材料原件及复印件。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 事项办理流程图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drawing>
          <wp:inline distT="0" distB="0" distL="114300" distR="114300">
            <wp:extent cx="4319905" cy="3563620"/>
            <wp:effectExtent l="0" t="0" r="4445" b="17780"/>
            <wp:docPr id="1" name="图片 1" descr="b2aac647b6927cded32c98b7028c1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2aac647b6927cded32c98b7028c1d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9905" cy="356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七、办理时限：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法定时限：20 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承诺时限：1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11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11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420" w:firstLineChars="200"/>
        <w:textAlignment w:val="auto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kwMGI3YmZhMTk4MWY5ZWJkMWE0NDZiZmZiZGFkMDUifQ=="/>
  </w:docVars>
  <w:rsids>
    <w:rsidRoot w:val="00BA7918"/>
    <w:rsid w:val="003C3562"/>
    <w:rsid w:val="00416429"/>
    <w:rsid w:val="00651866"/>
    <w:rsid w:val="009B74FF"/>
    <w:rsid w:val="00BA0517"/>
    <w:rsid w:val="00BA7918"/>
    <w:rsid w:val="00D136B3"/>
    <w:rsid w:val="174D2C62"/>
    <w:rsid w:val="415C1BE7"/>
    <w:rsid w:val="50011267"/>
    <w:rsid w:val="6068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1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5</Pages>
  <Words>1038</Words>
  <Characters>1156</Characters>
  <Lines>9</Lines>
  <Paragraphs>2</Paragraphs>
  <TotalTime>0</TotalTime>
  <ScaleCrop>false</ScaleCrop>
  <LinksUpToDate>false</LinksUpToDate>
  <CharactersWithSpaces>1292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2023-07-07T02:14:00Z</dcterms:created>
  <dc:creator>USER-</dc:creator>
  <cp:lastModifiedBy>lenovo</cp:lastModifiedBy>
  <dcterms:modified xsi:type="dcterms:W3CDTF">2023-07-28T09:50:31Z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DF5ED02B4F3B4E61BDE3E99334412B62_12</vt:lpwstr>
  </property>
</Properties>
</file>