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一、曹妃甸区直机关工委收支预算</w:t>
      </w:r>
      <w:r>
        <w:tab/>
      </w:r>
      <w:r>
        <w:fldChar w:fldCharType="begin"/>
      </w:r>
      <w:r>
        <w:instrText xml:space="preserve">PAGEREF _Toc_4_4_0000000001 \h</w:instrText>
      </w:r>
      <w:r>
        <w:fldChar w:fldCharType="separate"/>
      </w:r>
      <w:r>
        <w:t>1</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一、曹妃甸区直机关工委收支预算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286001曹妃甸区直机关工委</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250.99</w:t>
            </w:r>
          </w:p>
        </w:tc>
        <w:tc>
          <w:tcPr>
            <w:tcW w:w="4535" w:type="dxa"/>
            <w:vAlign w:val="center"/>
          </w:tcPr>
          <w:p>
            <w:pPr>
              <w:pStyle w:val="12"/>
            </w:pPr>
            <w:r>
              <w:t>一、一般公共服务支出</w:t>
            </w:r>
          </w:p>
        </w:tc>
        <w:tc>
          <w:tcPr>
            <w:tcW w:w="2126" w:type="dxa"/>
            <w:vAlign w:val="center"/>
          </w:tcPr>
          <w:p>
            <w:pPr>
              <w:pStyle w:val="11"/>
            </w:pPr>
            <w:r>
              <w:t>213.51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250.99</w:t>
            </w:r>
          </w:p>
        </w:tc>
        <w:tc>
          <w:tcPr>
            <w:tcW w:w="4535" w:type="dxa"/>
            <w:vAlign w:val="center"/>
          </w:tcPr>
          <w:p>
            <w:pPr>
              <w:pStyle w:val="14"/>
            </w:pPr>
            <w:r>
              <w:t>本年支出合计</w:t>
            </w:r>
          </w:p>
        </w:tc>
        <w:tc>
          <w:tcPr>
            <w:tcW w:w="2126" w:type="dxa"/>
            <w:vAlign w:val="center"/>
          </w:tcPr>
          <w:p>
            <w:pPr>
              <w:pStyle w:val="15"/>
            </w:pPr>
            <w:r>
              <w:t>250.99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250.99</w:t>
            </w:r>
          </w:p>
        </w:tc>
        <w:tc>
          <w:tcPr>
            <w:tcW w:w="4535" w:type="dxa"/>
            <w:vAlign w:val="center"/>
          </w:tcPr>
          <w:p>
            <w:pPr>
              <w:pStyle w:val="14"/>
            </w:pPr>
            <w:r>
              <w:t>支出总计</w:t>
            </w:r>
          </w:p>
        </w:tc>
        <w:tc>
          <w:tcPr>
            <w:tcW w:w="2126" w:type="dxa"/>
            <w:vAlign w:val="center"/>
          </w:tcPr>
          <w:p>
            <w:pPr>
              <w:pStyle w:val="15"/>
            </w:pPr>
            <w:r>
              <w:t>250.99</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286001曹妃甸区直机关工委</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250.99</w:t>
            </w:r>
          </w:p>
        </w:tc>
        <w:tc>
          <w:tcPr>
            <w:tcW w:w="1134" w:type="dxa"/>
            <w:vAlign w:val="center"/>
          </w:tcPr>
          <w:p>
            <w:pPr>
              <w:pStyle w:val="15"/>
            </w:pPr>
            <w:r>
              <w:t>250.99</w:t>
            </w:r>
          </w:p>
        </w:tc>
        <w:tc>
          <w:tcPr>
            <w:tcW w:w="1134" w:type="dxa"/>
            <w:vAlign w:val="center"/>
          </w:tcPr>
          <w:p>
            <w:pPr>
              <w:pStyle w:val="15"/>
            </w:pPr>
            <w:r>
              <w:t>250.99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213.51</w:t>
            </w:r>
          </w:p>
        </w:tc>
        <w:tc>
          <w:tcPr>
            <w:tcW w:w="1134" w:type="dxa"/>
            <w:vAlign w:val="center"/>
          </w:tcPr>
          <w:p>
            <w:pPr>
              <w:pStyle w:val="11"/>
            </w:pPr>
            <w:r>
              <w:t>213.51</w:t>
            </w:r>
          </w:p>
        </w:tc>
        <w:tc>
          <w:tcPr>
            <w:tcW w:w="1134" w:type="dxa"/>
            <w:vAlign w:val="center"/>
          </w:tcPr>
          <w:p>
            <w:pPr>
              <w:pStyle w:val="11"/>
            </w:pPr>
            <w:r>
              <w:t>213.51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213.51</w:t>
            </w:r>
          </w:p>
        </w:tc>
        <w:tc>
          <w:tcPr>
            <w:tcW w:w="1134" w:type="dxa"/>
            <w:vAlign w:val="center"/>
          </w:tcPr>
          <w:p>
            <w:pPr>
              <w:pStyle w:val="11"/>
            </w:pPr>
            <w:r>
              <w:t>213.51</w:t>
            </w:r>
          </w:p>
        </w:tc>
        <w:tc>
          <w:tcPr>
            <w:tcW w:w="1134" w:type="dxa"/>
            <w:vAlign w:val="center"/>
          </w:tcPr>
          <w:p>
            <w:pPr>
              <w:pStyle w:val="11"/>
            </w:pPr>
            <w:r>
              <w:t>213.51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181.98</w:t>
            </w:r>
          </w:p>
        </w:tc>
        <w:tc>
          <w:tcPr>
            <w:tcW w:w="1134" w:type="dxa"/>
            <w:vAlign w:val="center"/>
          </w:tcPr>
          <w:p>
            <w:pPr>
              <w:pStyle w:val="11"/>
            </w:pPr>
            <w:r>
              <w:t>181.98</w:t>
            </w:r>
          </w:p>
        </w:tc>
        <w:tc>
          <w:tcPr>
            <w:tcW w:w="1134" w:type="dxa"/>
            <w:vAlign w:val="center"/>
          </w:tcPr>
          <w:p>
            <w:pPr>
              <w:pStyle w:val="11"/>
            </w:pPr>
            <w:r>
              <w:t>181.98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2013699</w:t>
            </w:r>
          </w:p>
        </w:tc>
        <w:tc>
          <w:tcPr>
            <w:tcW w:w="1559" w:type="dxa"/>
            <w:vAlign w:val="center"/>
          </w:tcPr>
          <w:p>
            <w:pPr>
              <w:pStyle w:val="12"/>
            </w:pPr>
            <w:r>
              <w:t>其他共产党事务支出</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r>
              <w:t>31.53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10.90</w:t>
            </w:r>
          </w:p>
        </w:tc>
        <w:tc>
          <w:tcPr>
            <w:tcW w:w="1134" w:type="dxa"/>
            <w:vAlign w:val="center"/>
          </w:tcPr>
          <w:p>
            <w:pPr>
              <w:pStyle w:val="11"/>
            </w:pPr>
            <w:r>
              <w:t>10.90</w:t>
            </w:r>
          </w:p>
        </w:tc>
        <w:tc>
          <w:tcPr>
            <w:tcW w:w="1134" w:type="dxa"/>
            <w:vAlign w:val="center"/>
          </w:tcPr>
          <w:p>
            <w:pPr>
              <w:pStyle w:val="11"/>
            </w:pPr>
            <w:r>
              <w:t>10.90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4.06</w:t>
            </w:r>
          </w:p>
        </w:tc>
        <w:tc>
          <w:tcPr>
            <w:tcW w:w="1134" w:type="dxa"/>
            <w:vAlign w:val="center"/>
          </w:tcPr>
          <w:p>
            <w:pPr>
              <w:pStyle w:val="11"/>
            </w:pPr>
            <w:r>
              <w:t>4.06</w:t>
            </w:r>
          </w:p>
        </w:tc>
        <w:tc>
          <w:tcPr>
            <w:tcW w:w="1134" w:type="dxa"/>
            <w:vAlign w:val="center"/>
          </w:tcPr>
          <w:p>
            <w:pPr>
              <w:pStyle w:val="11"/>
            </w:pPr>
            <w:r>
              <w:t>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8.25</w:t>
            </w:r>
          </w:p>
        </w:tc>
        <w:tc>
          <w:tcPr>
            <w:tcW w:w="1134" w:type="dxa"/>
            <w:vAlign w:val="center"/>
          </w:tcPr>
          <w:p>
            <w:pPr>
              <w:pStyle w:val="11"/>
            </w:pPr>
            <w:r>
              <w:t>8.25</w:t>
            </w:r>
          </w:p>
        </w:tc>
        <w:tc>
          <w:tcPr>
            <w:tcW w:w="1134" w:type="dxa"/>
            <w:vAlign w:val="center"/>
          </w:tcPr>
          <w:p>
            <w:pPr>
              <w:pStyle w:val="11"/>
            </w:pPr>
            <w:r>
              <w:t>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r>
              <w:t>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250.99</w:t>
            </w:r>
          </w:p>
        </w:tc>
        <w:tc>
          <w:tcPr>
            <w:tcW w:w="1361" w:type="dxa"/>
            <w:vAlign w:val="center"/>
          </w:tcPr>
          <w:p>
            <w:pPr>
              <w:pStyle w:val="15"/>
            </w:pPr>
            <w:r>
              <w:t>219.46</w:t>
            </w:r>
          </w:p>
        </w:tc>
        <w:tc>
          <w:tcPr>
            <w:tcW w:w="1361" w:type="dxa"/>
            <w:vAlign w:val="center"/>
          </w:tcPr>
          <w:p>
            <w:pPr>
              <w:pStyle w:val="15"/>
            </w:pPr>
            <w:r>
              <w:t>31.53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213.51</w:t>
            </w:r>
          </w:p>
        </w:tc>
        <w:tc>
          <w:tcPr>
            <w:tcW w:w="1361" w:type="dxa"/>
            <w:vAlign w:val="center"/>
          </w:tcPr>
          <w:p>
            <w:pPr>
              <w:pStyle w:val="11"/>
            </w:pPr>
            <w:r>
              <w:t>181.98</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213.51</w:t>
            </w:r>
          </w:p>
        </w:tc>
        <w:tc>
          <w:tcPr>
            <w:tcW w:w="1361" w:type="dxa"/>
            <w:vAlign w:val="center"/>
          </w:tcPr>
          <w:p>
            <w:pPr>
              <w:pStyle w:val="11"/>
            </w:pPr>
            <w:r>
              <w:t>181.98</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181.98</w:t>
            </w:r>
          </w:p>
        </w:tc>
        <w:tc>
          <w:tcPr>
            <w:tcW w:w="1361" w:type="dxa"/>
            <w:vAlign w:val="center"/>
          </w:tcPr>
          <w:p>
            <w:pPr>
              <w:pStyle w:val="11"/>
            </w:pPr>
            <w:r>
              <w:t>181.98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2013699</w:t>
            </w:r>
          </w:p>
        </w:tc>
        <w:tc>
          <w:tcPr>
            <w:tcW w:w="4535" w:type="dxa"/>
            <w:vAlign w:val="center"/>
          </w:tcPr>
          <w:p>
            <w:pPr>
              <w:pStyle w:val="12"/>
            </w:pPr>
            <w:r>
              <w:t>其他共产党事务支出</w:t>
            </w: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r>
              <w:t>31.53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16.34</w:t>
            </w:r>
          </w:p>
        </w:tc>
        <w:tc>
          <w:tcPr>
            <w:tcW w:w="1361" w:type="dxa"/>
            <w:vAlign w:val="center"/>
          </w:tcPr>
          <w:p>
            <w:pPr>
              <w:pStyle w:val="11"/>
            </w:pPr>
            <w:r>
              <w:t>16.34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16.34</w:t>
            </w:r>
          </w:p>
        </w:tc>
        <w:tc>
          <w:tcPr>
            <w:tcW w:w="1361" w:type="dxa"/>
            <w:vAlign w:val="center"/>
          </w:tcPr>
          <w:p>
            <w:pPr>
              <w:pStyle w:val="11"/>
            </w:pPr>
            <w:r>
              <w:t>16.34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10.90</w:t>
            </w:r>
          </w:p>
        </w:tc>
        <w:tc>
          <w:tcPr>
            <w:tcW w:w="1361" w:type="dxa"/>
            <w:vAlign w:val="center"/>
          </w:tcPr>
          <w:p>
            <w:pPr>
              <w:pStyle w:val="11"/>
            </w:pPr>
            <w:r>
              <w:t>10.90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12.31</w:t>
            </w:r>
          </w:p>
        </w:tc>
        <w:tc>
          <w:tcPr>
            <w:tcW w:w="1361" w:type="dxa"/>
            <w:vAlign w:val="center"/>
          </w:tcPr>
          <w:p>
            <w:pPr>
              <w:pStyle w:val="11"/>
            </w:pPr>
            <w:r>
              <w:t>12.31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12.31</w:t>
            </w:r>
          </w:p>
        </w:tc>
        <w:tc>
          <w:tcPr>
            <w:tcW w:w="1361" w:type="dxa"/>
            <w:vAlign w:val="center"/>
          </w:tcPr>
          <w:p>
            <w:pPr>
              <w:pStyle w:val="11"/>
            </w:pPr>
            <w:r>
              <w:t>12.31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4.06</w:t>
            </w:r>
          </w:p>
        </w:tc>
        <w:tc>
          <w:tcPr>
            <w:tcW w:w="1361" w:type="dxa"/>
            <w:vAlign w:val="center"/>
          </w:tcPr>
          <w:p>
            <w:pPr>
              <w:pStyle w:val="11"/>
            </w:pPr>
            <w:r>
              <w:t>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8.25</w:t>
            </w:r>
          </w:p>
        </w:tc>
        <w:tc>
          <w:tcPr>
            <w:tcW w:w="1361" w:type="dxa"/>
            <w:vAlign w:val="center"/>
          </w:tcPr>
          <w:p>
            <w:pPr>
              <w:pStyle w:val="11"/>
            </w:pPr>
            <w:r>
              <w:t>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8.83</w:t>
            </w:r>
          </w:p>
        </w:tc>
        <w:tc>
          <w:tcPr>
            <w:tcW w:w="1361" w:type="dxa"/>
            <w:vAlign w:val="center"/>
          </w:tcPr>
          <w:p>
            <w:pPr>
              <w:pStyle w:val="11"/>
            </w:pPr>
            <w:r>
              <w:t>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8.83</w:t>
            </w:r>
          </w:p>
        </w:tc>
        <w:tc>
          <w:tcPr>
            <w:tcW w:w="1361" w:type="dxa"/>
            <w:vAlign w:val="center"/>
          </w:tcPr>
          <w:p>
            <w:pPr>
              <w:pStyle w:val="11"/>
            </w:pPr>
            <w:r>
              <w:t>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8.83</w:t>
            </w:r>
          </w:p>
        </w:tc>
        <w:tc>
          <w:tcPr>
            <w:tcW w:w="1361" w:type="dxa"/>
            <w:vAlign w:val="center"/>
          </w:tcPr>
          <w:p>
            <w:pPr>
              <w:pStyle w:val="11"/>
            </w:pPr>
            <w:r>
              <w:t>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250.99</w:t>
            </w:r>
          </w:p>
        </w:tc>
        <w:tc>
          <w:tcPr>
            <w:tcW w:w="3402" w:type="dxa"/>
            <w:vAlign w:val="center"/>
          </w:tcPr>
          <w:p>
            <w:pPr>
              <w:pStyle w:val="12"/>
            </w:pPr>
            <w:r>
              <w:t>一、一般公共服务支出</w:t>
            </w:r>
          </w:p>
        </w:tc>
        <w:tc>
          <w:tcPr>
            <w:tcW w:w="1474" w:type="dxa"/>
            <w:vAlign w:val="center"/>
          </w:tcPr>
          <w:p>
            <w:pPr>
              <w:pStyle w:val="11"/>
            </w:pPr>
            <w:r>
              <w:t>213.51</w:t>
            </w:r>
          </w:p>
        </w:tc>
        <w:tc>
          <w:tcPr>
            <w:tcW w:w="1474" w:type="dxa"/>
            <w:vAlign w:val="center"/>
          </w:tcPr>
          <w:p>
            <w:pPr>
              <w:pStyle w:val="11"/>
            </w:pPr>
            <w:r>
              <w:t>213.51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16.34</w:t>
            </w:r>
          </w:p>
        </w:tc>
        <w:tc>
          <w:tcPr>
            <w:tcW w:w="1474" w:type="dxa"/>
            <w:vAlign w:val="center"/>
          </w:tcPr>
          <w:p>
            <w:pPr>
              <w:pStyle w:val="11"/>
            </w:pPr>
            <w:r>
              <w:t>16.34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12.31</w:t>
            </w:r>
          </w:p>
        </w:tc>
        <w:tc>
          <w:tcPr>
            <w:tcW w:w="1474" w:type="dxa"/>
            <w:vAlign w:val="center"/>
          </w:tcPr>
          <w:p>
            <w:pPr>
              <w:pStyle w:val="11"/>
            </w:pPr>
            <w:r>
              <w:t>12.31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8.83</w:t>
            </w:r>
          </w:p>
        </w:tc>
        <w:tc>
          <w:tcPr>
            <w:tcW w:w="1474" w:type="dxa"/>
            <w:vAlign w:val="center"/>
          </w:tcPr>
          <w:p>
            <w:pPr>
              <w:pStyle w:val="11"/>
            </w:pPr>
            <w:r>
              <w:t>8.83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250.99</w:t>
            </w:r>
          </w:p>
        </w:tc>
        <w:tc>
          <w:tcPr>
            <w:tcW w:w="3402" w:type="dxa"/>
            <w:vAlign w:val="center"/>
          </w:tcPr>
          <w:p>
            <w:pPr>
              <w:pStyle w:val="14"/>
            </w:pPr>
            <w:r>
              <w:t>本年支出合计</w:t>
            </w:r>
          </w:p>
        </w:tc>
        <w:tc>
          <w:tcPr>
            <w:tcW w:w="1474" w:type="dxa"/>
            <w:vAlign w:val="center"/>
          </w:tcPr>
          <w:p>
            <w:pPr>
              <w:pStyle w:val="15"/>
            </w:pPr>
            <w:r>
              <w:t>250.99</w:t>
            </w:r>
          </w:p>
        </w:tc>
        <w:tc>
          <w:tcPr>
            <w:tcW w:w="1474" w:type="dxa"/>
            <w:vAlign w:val="center"/>
          </w:tcPr>
          <w:p>
            <w:pPr>
              <w:pStyle w:val="15"/>
            </w:pPr>
            <w:r>
              <w:t>250.99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250.99</w:t>
            </w:r>
          </w:p>
        </w:tc>
        <w:tc>
          <w:tcPr>
            <w:tcW w:w="3402" w:type="dxa"/>
            <w:vAlign w:val="center"/>
          </w:tcPr>
          <w:p>
            <w:pPr>
              <w:pStyle w:val="14"/>
            </w:pPr>
            <w:r>
              <w:t>支出总计</w:t>
            </w:r>
          </w:p>
        </w:tc>
        <w:tc>
          <w:tcPr>
            <w:tcW w:w="1474" w:type="dxa"/>
            <w:vAlign w:val="center"/>
          </w:tcPr>
          <w:p>
            <w:pPr>
              <w:pStyle w:val="15"/>
            </w:pPr>
            <w:r>
              <w:t>250.99</w:t>
            </w:r>
          </w:p>
        </w:tc>
        <w:tc>
          <w:tcPr>
            <w:tcW w:w="1474" w:type="dxa"/>
            <w:vAlign w:val="center"/>
          </w:tcPr>
          <w:p>
            <w:pPr>
              <w:pStyle w:val="15"/>
            </w:pPr>
            <w:r>
              <w:t>250.99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250.99</w:t>
            </w:r>
          </w:p>
        </w:tc>
        <w:tc>
          <w:tcPr>
            <w:tcW w:w="2551" w:type="dxa"/>
            <w:vAlign w:val="center"/>
          </w:tcPr>
          <w:p>
            <w:pPr>
              <w:pStyle w:val="15"/>
            </w:pPr>
            <w:r>
              <w:t>219.46</w:t>
            </w:r>
          </w:p>
        </w:tc>
        <w:tc>
          <w:tcPr>
            <w:tcW w:w="2551" w:type="dxa"/>
            <w:vAlign w:val="center"/>
          </w:tcPr>
          <w:p>
            <w:pPr>
              <w:pStyle w:val="15"/>
            </w:pPr>
            <w:r>
              <w:t>31.53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213.51</w:t>
            </w:r>
          </w:p>
        </w:tc>
        <w:tc>
          <w:tcPr>
            <w:tcW w:w="2551" w:type="dxa"/>
            <w:vAlign w:val="center"/>
          </w:tcPr>
          <w:p>
            <w:pPr>
              <w:pStyle w:val="11"/>
            </w:pPr>
            <w:r>
              <w:t>181.98</w:t>
            </w:r>
          </w:p>
        </w:tc>
        <w:tc>
          <w:tcPr>
            <w:tcW w:w="2551" w:type="dxa"/>
            <w:vAlign w:val="center"/>
          </w:tcPr>
          <w:p>
            <w:pPr>
              <w:pStyle w:val="11"/>
            </w:pPr>
            <w:r>
              <w:t>31.53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213.51</w:t>
            </w:r>
          </w:p>
        </w:tc>
        <w:tc>
          <w:tcPr>
            <w:tcW w:w="2551" w:type="dxa"/>
            <w:vAlign w:val="center"/>
          </w:tcPr>
          <w:p>
            <w:pPr>
              <w:pStyle w:val="11"/>
            </w:pPr>
            <w:r>
              <w:t>181.98</w:t>
            </w:r>
          </w:p>
        </w:tc>
        <w:tc>
          <w:tcPr>
            <w:tcW w:w="2551" w:type="dxa"/>
            <w:vAlign w:val="center"/>
          </w:tcPr>
          <w:p>
            <w:pPr>
              <w:pStyle w:val="11"/>
            </w:pPr>
            <w:r>
              <w:t>31.53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181.98</w:t>
            </w:r>
          </w:p>
        </w:tc>
        <w:tc>
          <w:tcPr>
            <w:tcW w:w="2551" w:type="dxa"/>
            <w:vAlign w:val="center"/>
          </w:tcPr>
          <w:p>
            <w:pPr>
              <w:pStyle w:val="11"/>
            </w:pPr>
            <w:r>
              <w:t>181.98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2013699</w:t>
            </w:r>
          </w:p>
        </w:tc>
        <w:tc>
          <w:tcPr>
            <w:tcW w:w="4535" w:type="dxa"/>
            <w:vAlign w:val="center"/>
          </w:tcPr>
          <w:p>
            <w:pPr>
              <w:pStyle w:val="12"/>
            </w:pPr>
            <w:r>
              <w:t>其他共产党事务支出</w:t>
            </w:r>
          </w:p>
        </w:tc>
        <w:tc>
          <w:tcPr>
            <w:tcW w:w="2551" w:type="dxa"/>
            <w:vAlign w:val="center"/>
          </w:tcPr>
          <w:p>
            <w:pPr>
              <w:pStyle w:val="11"/>
            </w:pPr>
            <w:r>
              <w:t>31.53</w:t>
            </w:r>
          </w:p>
        </w:tc>
        <w:tc>
          <w:tcPr>
            <w:tcW w:w="2551" w:type="dxa"/>
            <w:vAlign w:val="center"/>
          </w:tcPr>
          <w:p>
            <w:pPr>
              <w:pStyle w:val="11"/>
            </w:pPr>
          </w:p>
        </w:tc>
        <w:tc>
          <w:tcPr>
            <w:tcW w:w="2551" w:type="dxa"/>
            <w:vAlign w:val="center"/>
          </w:tcPr>
          <w:p>
            <w:pPr>
              <w:pStyle w:val="11"/>
            </w:pPr>
            <w:r>
              <w:t>31.53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10.90</w:t>
            </w:r>
          </w:p>
        </w:tc>
        <w:tc>
          <w:tcPr>
            <w:tcW w:w="2551" w:type="dxa"/>
            <w:vAlign w:val="center"/>
          </w:tcPr>
          <w:p>
            <w:pPr>
              <w:pStyle w:val="11"/>
            </w:pPr>
            <w:r>
              <w:t>10.90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12.31</w:t>
            </w:r>
          </w:p>
        </w:tc>
        <w:tc>
          <w:tcPr>
            <w:tcW w:w="2551" w:type="dxa"/>
            <w:vAlign w:val="center"/>
          </w:tcPr>
          <w:p>
            <w:pPr>
              <w:pStyle w:val="11"/>
            </w:pPr>
            <w:r>
              <w:t>12.31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12.31</w:t>
            </w:r>
          </w:p>
        </w:tc>
        <w:tc>
          <w:tcPr>
            <w:tcW w:w="2551" w:type="dxa"/>
            <w:vAlign w:val="center"/>
          </w:tcPr>
          <w:p>
            <w:pPr>
              <w:pStyle w:val="11"/>
            </w:pPr>
            <w:r>
              <w:t>12.31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4.06</w:t>
            </w:r>
          </w:p>
        </w:tc>
        <w:tc>
          <w:tcPr>
            <w:tcW w:w="2551" w:type="dxa"/>
            <w:vAlign w:val="center"/>
          </w:tcPr>
          <w:p>
            <w:pPr>
              <w:pStyle w:val="11"/>
            </w:pPr>
            <w:r>
              <w:t>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8.25</w:t>
            </w:r>
          </w:p>
        </w:tc>
        <w:tc>
          <w:tcPr>
            <w:tcW w:w="2551" w:type="dxa"/>
            <w:vAlign w:val="center"/>
          </w:tcPr>
          <w:p>
            <w:pPr>
              <w:pStyle w:val="11"/>
            </w:pPr>
            <w:r>
              <w:t>8.25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8.83</w:t>
            </w:r>
          </w:p>
        </w:tc>
        <w:tc>
          <w:tcPr>
            <w:tcW w:w="2551" w:type="dxa"/>
            <w:vAlign w:val="center"/>
          </w:tcPr>
          <w:p>
            <w:pPr>
              <w:pStyle w:val="11"/>
            </w:pPr>
            <w:r>
              <w:t>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8.83</w:t>
            </w:r>
          </w:p>
        </w:tc>
        <w:tc>
          <w:tcPr>
            <w:tcW w:w="2551" w:type="dxa"/>
            <w:vAlign w:val="center"/>
          </w:tcPr>
          <w:p>
            <w:pPr>
              <w:pStyle w:val="11"/>
            </w:pPr>
            <w:r>
              <w:t>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8.83</w:t>
            </w:r>
          </w:p>
        </w:tc>
        <w:tc>
          <w:tcPr>
            <w:tcW w:w="2551" w:type="dxa"/>
            <w:vAlign w:val="center"/>
          </w:tcPr>
          <w:p>
            <w:pPr>
              <w:pStyle w:val="11"/>
            </w:pPr>
            <w:r>
              <w:t>8.83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219.46</w:t>
            </w:r>
          </w:p>
        </w:tc>
        <w:tc>
          <w:tcPr>
            <w:tcW w:w="2551" w:type="dxa"/>
            <w:vAlign w:val="center"/>
          </w:tcPr>
          <w:p>
            <w:pPr>
              <w:pStyle w:val="15"/>
            </w:pPr>
            <w:r>
              <w:t>185.51</w:t>
            </w:r>
          </w:p>
        </w:tc>
        <w:tc>
          <w:tcPr>
            <w:tcW w:w="2551" w:type="dxa"/>
            <w:vAlign w:val="center"/>
          </w:tcPr>
          <w:p>
            <w:pPr>
              <w:pStyle w:val="15"/>
            </w:pPr>
            <w:r>
              <w:t>33.96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172.89</w:t>
            </w:r>
          </w:p>
        </w:tc>
        <w:tc>
          <w:tcPr>
            <w:tcW w:w="2551" w:type="dxa"/>
            <w:vAlign w:val="center"/>
          </w:tcPr>
          <w:p>
            <w:pPr>
              <w:pStyle w:val="11"/>
            </w:pPr>
            <w:r>
              <w:t>172.89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27.46</w:t>
            </w:r>
          </w:p>
        </w:tc>
        <w:tc>
          <w:tcPr>
            <w:tcW w:w="2551" w:type="dxa"/>
            <w:vAlign w:val="center"/>
          </w:tcPr>
          <w:p>
            <w:pPr>
              <w:pStyle w:val="11"/>
            </w:pPr>
            <w:r>
              <w:t>27.46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14.44</w:t>
            </w:r>
          </w:p>
        </w:tc>
        <w:tc>
          <w:tcPr>
            <w:tcW w:w="2551" w:type="dxa"/>
            <w:vAlign w:val="center"/>
          </w:tcPr>
          <w:p>
            <w:pPr>
              <w:pStyle w:val="11"/>
            </w:pPr>
            <w:r>
              <w:t>14.44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10.90</w:t>
            </w:r>
          </w:p>
        </w:tc>
        <w:tc>
          <w:tcPr>
            <w:tcW w:w="2551" w:type="dxa"/>
            <w:vAlign w:val="center"/>
          </w:tcPr>
          <w:p>
            <w:pPr>
              <w:pStyle w:val="11"/>
            </w:pPr>
            <w:r>
              <w:t>10.90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4.06</w:t>
            </w:r>
          </w:p>
        </w:tc>
        <w:tc>
          <w:tcPr>
            <w:tcW w:w="2551" w:type="dxa"/>
            <w:vAlign w:val="center"/>
          </w:tcPr>
          <w:p>
            <w:pPr>
              <w:pStyle w:val="11"/>
            </w:pPr>
            <w:r>
              <w:t>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8.25</w:t>
            </w:r>
          </w:p>
        </w:tc>
        <w:tc>
          <w:tcPr>
            <w:tcW w:w="2551" w:type="dxa"/>
            <w:vAlign w:val="center"/>
          </w:tcPr>
          <w:p>
            <w:pPr>
              <w:pStyle w:val="11"/>
            </w:pPr>
            <w:r>
              <w:t>8.25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8.83</w:t>
            </w:r>
          </w:p>
        </w:tc>
        <w:tc>
          <w:tcPr>
            <w:tcW w:w="2551" w:type="dxa"/>
            <w:vAlign w:val="center"/>
          </w:tcPr>
          <w:p>
            <w:pPr>
              <w:pStyle w:val="11"/>
            </w:pPr>
            <w:r>
              <w:t>8.83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65.22</w:t>
            </w:r>
          </w:p>
        </w:tc>
        <w:tc>
          <w:tcPr>
            <w:tcW w:w="2551" w:type="dxa"/>
            <w:vAlign w:val="center"/>
          </w:tcPr>
          <w:p>
            <w:pPr>
              <w:pStyle w:val="11"/>
            </w:pPr>
            <w:r>
              <w:t>65.22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33.96</w:t>
            </w:r>
          </w:p>
        </w:tc>
        <w:tc>
          <w:tcPr>
            <w:tcW w:w="2551" w:type="dxa"/>
            <w:vAlign w:val="center"/>
          </w:tcPr>
          <w:p>
            <w:pPr>
              <w:pStyle w:val="11"/>
            </w:pPr>
          </w:p>
        </w:tc>
        <w:tc>
          <w:tcPr>
            <w:tcW w:w="2551" w:type="dxa"/>
            <w:vAlign w:val="center"/>
          </w:tcPr>
          <w:p>
            <w:pPr>
              <w:pStyle w:val="11"/>
            </w:pPr>
            <w:r>
              <w:t>33.96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3.67</w:t>
            </w:r>
          </w:p>
        </w:tc>
        <w:tc>
          <w:tcPr>
            <w:tcW w:w="2551" w:type="dxa"/>
            <w:vAlign w:val="center"/>
          </w:tcPr>
          <w:p>
            <w:pPr>
              <w:pStyle w:val="11"/>
            </w:pPr>
          </w:p>
        </w:tc>
        <w:tc>
          <w:tcPr>
            <w:tcW w:w="2551" w:type="dxa"/>
            <w:vAlign w:val="center"/>
          </w:tcPr>
          <w:p>
            <w:pPr>
              <w:pStyle w:val="11"/>
            </w:pPr>
            <w:r>
              <w:t>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19.73</w:t>
            </w:r>
          </w:p>
        </w:tc>
        <w:tc>
          <w:tcPr>
            <w:tcW w:w="2551" w:type="dxa"/>
            <w:vAlign w:val="center"/>
          </w:tcPr>
          <w:p>
            <w:pPr>
              <w:pStyle w:val="11"/>
            </w:pPr>
          </w:p>
        </w:tc>
        <w:tc>
          <w:tcPr>
            <w:tcW w:w="2551" w:type="dxa"/>
            <w:vAlign w:val="center"/>
          </w:tcPr>
          <w:p>
            <w:pPr>
              <w:pStyle w:val="11"/>
            </w:pPr>
            <w:r>
              <w:t>19.73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12.62</w:t>
            </w:r>
          </w:p>
        </w:tc>
        <w:tc>
          <w:tcPr>
            <w:tcW w:w="2551" w:type="dxa"/>
            <w:vAlign w:val="center"/>
          </w:tcPr>
          <w:p>
            <w:pPr>
              <w:pStyle w:val="11"/>
            </w:pPr>
            <w:r>
              <w:t>12.62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12.62</w:t>
            </w:r>
          </w:p>
        </w:tc>
        <w:tc>
          <w:tcPr>
            <w:tcW w:w="2551" w:type="dxa"/>
            <w:vAlign w:val="center"/>
          </w:tcPr>
          <w:p>
            <w:pPr>
              <w:pStyle w:val="11"/>
            </w:pPr>
            <w:r>
              <w:t>12.62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286001曹妃甸区直机关工委</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2.10</w:t>
            </w:r>
          </w:p>
        </w:tc>
        <w:tc>
          <w:tcPr>
            <w:tcW w:w="2381" w:type="dxa"/>
            <w:vAlign w:val="center"/>
          </w:tcPr>
          <w:p>
            <w:pPr>
              <w:pStyle w:val="15"/>
            </w:pPr>
            <w:r>
              <w:t>2.10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2.10</w:t>
            </w:r>
          </w:p>
        </w:tc>
        <w:tc>
          <w:tcPr>
            <w:tcW w:w="2381" w:type="dxa"/>
            <w:vAlign w:val="center"/>
          </w:tcPr>
          <w:p>
            <w:pPr>
              <w:pStyle w:val="11"/>
            </w:pPr>
            <w:r>
              <w:t>2.10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曹妃甸区直机关工委2025年单位预算信息公开情况说明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按照《中华人民共和国预算法》、《地方预决算公开操作规程》和《关于进一步推进预算公开工作的实施意见》规定，现将曹妃甸区直机关工委2025年单位预算公开如下：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 xml:space="preserve">按照区委对中国共产党唐山市曹妃甸区委员会区直机关工作委员会（简称区直机关工委）的职责定位，区直机关工委为区委的派出机构，统一领导区直机关党的工作。主要负责党建规划，指导区直机关党的政治建设、思想建设、组织建设、作风建设、纪律建设，把制度建设贯彻其中，深入推进反腐败斗争；指导区直机关各级党组织和广大党员学习马克思列宁主义、毛泽东思想、邓小平理论、“三个代表”重要思想、科学发展观、习近平新时代中国特色社会主义思想，加强对区直机关党员的教育和管理；对区直机关各级党组织、党员领导干部落实党建责任制、遵守政治纪律和政治规矩情况进行监督检查，并向区委报告；指导实施对党员、特别是党员领导干部的监督，指导区直机关精神文明建设和统战、武装工作；领导区直各部门机关党的纪律检查及工、青、妇等。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曹妃甸区直机关工委</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p>
    <w:p>
      <w:pPr>
        <w:spacing w:before="10" w:after="10"/>
        <w:ind w:firstLine="640"/>
        <w:outlineLvl w:val="5"/>
      </w:pPr>
      <w:r>
        <w:rPr>
          <w:rFonts w:ascii="黑体" w:hAnsi="黑体" w:eastAsia="黑体" w:cs="黑体"/>
          <w:color w:val="000000"/>
          <w:sz w:val="32"/>
        </w:rPr>
        <w:t>三、机关运行经费安排情况</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1、2025年机关党组织活动经费绩效目标表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13020925P000134100024</w:t>
            </w:r>
          </w:p>
        </w:tc>
        <w:tc>
          <w:tcPr>
            <w:tcW w:w="2835" w:type="dxa"/>
            <w:vAlign w:val="center"/>
          </w:tcPr>
          <w:p>
            <w:pPr>
              <w:pStyle w:val="10"/>
            </w:pPr>
            <w:r>
              <w:t>项目名称</w:t>
            </w:r>
          </w:p>
        </w:tc>
        <w:tc>
          <w:tcPr>
            <w:tcW w:w="6095" w:type="dxa"/>
            <w:gridSpan w:val="3"/>
            <w:vAlign w:val="center"/>
          </w:tcPr>
          <w:p>
            <w:pPr>
              <w:pStyle w:val="12"/>
            </w:pPr>
            <w:r>
              <w:t>2025年机关党组织活动经费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29.53</w:t>
            </w:r>
          </w:p>
        </w:tc>
        <w:tc>
          <w:tcPr>
            <w:tcW w:w="2835" w:type="dxa"/>
            <w:vAlign w:val="center"/>
          </w:tcPr>
          <w:p>
            <w:pPr>
              <w:pStyle w:val="10"/>
            </w:pPr>
            <w:r>
              <w:t>其中：财政    资金</w:t>
            </w:r>
          </w:p>
        </w:tc>
        <w:tc>
          <w:tcPr>
            <w:tcW w:w="2551" w:type="dxa"/>
            <w:vAlign w:val="center"/>
          </w:tcPr>
          <w:p>
            <w:pPr>
              <w:pStyle w:val="12"/>
            </w:pPr>
            <w:r>
              <w:t>29.53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依据：唐山市委《关于贯彻&lt;中国共产党党和国家机关基层组织工作条例&gt;的实施细则》唐发【2012】32号文件的通知、</w:t>
            </w:r>
            <w:r>
              <w:rPr>
                <w:rFonts w:hint="eastAsia"/>
                <w:lang w:eastAsia="zh-CN"/>
              </w:rPr>
              <w:t>《中国共产党发展党员工作细则》</w:t>
            </w:r>
            <w:r>
              <w:t>。工委统筹使用党组织活动经费，用于基层党组织创建；党员和党务工作者的培训；举办入党积极分子培训班；组织新党员培训；表彰优秀党员、优秀党务工作者和优秀基层党组织；党员活动室建设；聘请专家授课，开展</w:t>
            </w:r>
            <w:r>
              <w:rPr>
                <w:rFonts w:hint="eastAsia"/>
                <w:lang w:eastAsia="zh-CN"/>
              </w:rPr>
              <w:t>“两学一做”学习教育</w:t>
            </w:r>
            <w:r>
              <w:t>；慰问困难党员等。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1.培训党员干部400人次。开展入党积极分子培训班。开展“两优一先”评选活动。组织新党员到爱国主义教育基地接受传统教育并宣誓。</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组织学习培训、座谈交流等次数</w:t>
            </w:r>
          </w:p>
        </w:tc>
        <w:tc>
          <w:tcPr>
            <w:tcW w:w="5386" w:type="dxa"/>
            <w:vAlign w:val="center"/>
          </w:tcPr>
          <w:p>
            <w:pPr>
              <w:pStyle w:val="12"/>
            </w:pPr>
            <w:r>
              <w:t>组织学习培训、座谈交流等次数</w:t>
            </w:r>
          </w:p>
        </w:tc>
        <w:tc>
          <w:tcPr>
            <w:tcW w:w="2268" w:type="dxa"/>
            <w:vAlign w:val="center"/>
          </w:tcPr>
          <w:p>
            <w:pPr>
              <w:pStyle w:val="12"/>
            </w:pPr>
            <w:r>
              <w:t>≥400人次</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≥90百分比</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≤29.53万元</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2、2025年机关团工作活动经费绩效目标表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13020925P00013610002F</w:t>
            </w:r>
          </w:p>
        </w:tc>
        <w:tc>
          <w:tcPr>
            <w:tcW w:w="2835" w:type="dxa"/>
            <w:vAlign w:val="center"/>
          </w:tcPr>
          <w:p>
            <w:pPr>
              <w:pStyle w:val="10"/>
            </w:pPr>
            <w:r>
              <w:t>项目名称</w:t>
            </w:r>
          </w:p>
        </w:tc>
        <w:tc>
          <w:tcPr>
            <w:tcW w:w="6095" w:type="dxa"/>
            <w:gridSpan w:val="3"/>
            <w:vAlign w:val="center"/>
          </w:tcPr>
          <w:p>
            <w:pPr>
              <w:pStyle w:val="12"/>
            </w:pPr>
            <w:r>
              <w:t>2025年机关团工作活动经费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按照全国团组织全覆盖要求，区直机关工委于2018年12月成立机关团工委，统一领导区直机关团的工作，每年组织开展机关团的工作.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1.1、开展机关团干部集体学习和青年志愿活动2、组织团员青年开展主题知识竞赛。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组织业务培训</w:t>
            </w:r>
          </w:p>
        </w:tc>
        <w:tc>
          <w:tcPr>
            <w:tcW w:w="5386" w:type="dxa"/>
            <w:vAlign w:val="center"/>
          </w:tcPr>
          <w:p>
            <w:pPr>
              <w:pStyle w:val="12"/>
            </w:pPr>
            <w:r>
              <w:t>组织业务培训</w:t>
            </w:r>
          </w:p>
        </w:tc>
        <w:tc>
          <w:tcPr>
            <w:tcW w:w="2268" w:type="dxa"/>
            <w:vAlign w:val="center"/>
          </w:tcPr>
          <w:p>
            <w:pPr>
              <w:pStyle w:val="12"/>
            </w:pPr>
            <w:r>
              <w:t>≥2次</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≤1年</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≤2万元</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提供优质服务</w:t>
            </w:r>
          </w:p>
        </w:tc>
        <w:tc>
          <w:tcPr>
            <w:tcW w:w="2268" w:type="dxa"/>
            <w:vAlign w:val="center"/>
          </w:tcPr>
          <w:p>
            <w:pPr>
              <w:pStyle w:val="12"/>
            </w:pPr>
            <w:r>
              <w:t>≥95百分比</w:t>
            </w:r>
          </w:p>
        </w:tc>
        <w:tc>
          <w:tcPr>
            <w:tcW w:w="1276" w:type="dxa"/>
            <w:vAlign w:val="center"/>
          </w:tcPr>
          <w:p>
            <w:pPr>
              <w:pStyle w:val="12"/>
            </w:pPr>
            <w:r>
              <w:t>预算编制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预算编制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286001曹妃甸区直机关工委</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曹妃甸区直机关工委上年末固定资产金额为</w:t>
      </w:r>
      <w:r>
        <w:rPr>
          <w:rFonts w:hint="eastAsia" w:eastAsia="方正仿宋_GBK"/>
          <w:color w:val="000000"/>
          <w:sz w:val="28"/>
          <w:lang w:val="en-US" w:eastAsia="zh-CN"/>
        </w:rPr>
        <w:t>64.82</w:t>
      </w:r>
      <w:r>
        <w:rPr>
          <w:rFonts w:eastAsia="方正仿宋_GBK"/>
          <w:color w:val="000000"/>
          <w:sz w:val="28"/>
        </w:rPr>
        <w:t>万元（详见下表）。本年度拟购置固定资产总额为</w:t>
      </w:r>
      <w:r>
        <w:rPr>
          <w:rFonts w:hint="eastAsia" w:eastAsia="方正仿宋_GBK"/>
          <w:color w:val="000000"/>
          <w:sz w:val="28"/>
          <w:lang w:val="en-US" w:eastAsia="zh-CN"/>
        </w:rPr>
        <w:t>0.7</w:t>
      </w:r>
      <w:r>
        <w:rPr>
          <w:rFonts w:eastAsia="方正仿宋_GBK"/>
          <w:color w:val="000000"/>
          <w:sz w:val="28"/>
        </w:rPr>
        <w:t>万元，</w:t>
      </w:r>
      <w:r>
        <w:rPr>
          <w:rFonts w:hint="eastAsia" w:eastAsia="方正仿宋_GBK"/>
          <w:color w:val="000000"/>
          <w:sz w:val="28"/>
          <w:lang w:eastAsia="zh-CN"/>
        </w:rPr>
        <w:t>主要为办公设备，均为</w:t>
      </w:r>
      <w:r>
        <w:rPr>
          <w:rFonts w:hint="eastAsia" w:eastAsia="方正仿宋_GBK"/>
          <w:color w:val="000000"/>
          <w:sz w:val="28"/>
          <w:lang w:val="en-US" w:eastAsia="zh-CN"/>
        </w:rPr>
        <w:t>20万元以下设备。</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286001曹妃甸区直机关工委</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eastAsia="zh-CN"/>
              </w:rPr>
            </w:pPr>
            <w:r>
              <w:rPr>
                <w:rFonts w:hint="eastAsia"/>
                <w:lang w:eastAsia="zh-CN"/>
              </w:rP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64.82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val="en-US" w:eastAsia="zh-CN"/>
              </w:rPr>
            </w:pPr>
            <w:r>
              <w:rPr>
                <w:rFonts w:hint="eastAsia"/>
                <w:lang w:val="en-US" w:eastAsia="zh-CN"/>
              </w:rP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 xml:space="preserve">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2、车辆（台、量）</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4、其他固定资产</w:t>
            </w:r>
          </w:p>
        </w:tc>
        <w:tc>
          <w:tcPr>
            <w:tcW w:w="2835" w:type="dxa"/>
            <w:vAlign w:val="center"/>
          </w:tcPr>
          <w:p>
            <w:pPr>
              <w:pStyle w:val="13"/>
              <w:rPr>
                <w:rFonts w:hint="default" w:eastAsia="方正书宋_GBK"/>
                <w:lang w:val="en-US" w:eastAsia="zh-CN"/>
              </w:rPr>
            </w:pPr>
            <w:r>
              <w:rPr>
                <w:rFonts w:hint="eastAsia"/>
                <w:lang w:val="en-US" w:eastAsia="zh-CN"/>
              </w:rPr>
              <w:t>212</w:t>
            </w:r>
          </w:p>
        </w:tc>
        <w:tc>
          <w:tcPr>
            <w:tcW w:w="2835" w:type="dxa"/>
            <w:vAlign w:val="center"/>
          </w:tcPr>
          <w:p>
            <w:pPr>
              <w:pStyle w:val="11"/>
              <w:rPr>
                <w:rFonts w:hint="default" w:eastAsia="方正书宋_GBK"/>
                <w:lang w:val="en-US" w:eastAsia="zh-CN"/>
              </w:rPr>
            </w:pPr>
            <w:r>
              <w:rPr>
                <w:rFonts w:hint="eastAsia"/>
                <w:lang w:val="en-US" w:eastAsia="zh-CN"/>
              </w:rPr>
              <w:t>44.32</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79"/>
    <w:rsid w:val="00065C91"/>
    <w:rsid w:val="00655829"/>
    <w:rsid w:val="00A01279"/>
    <w:rsid w:val="17D36E27"/>
    <w:rsid w:val="1DBF55B4"/>
    <w:rsid w:val="310B38D1"/>
    <w:rsid w:val="7E0B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Win7w.Com</Company>
  <Pages>22</Pages>
  <Words>1300</Words>
  <Characters>7411</Characters>
  <Lines>61</Lines>
  <Paragraphs>17</Paragraphs>
  <TotalTime>8</TotalTime>
  <ScaleCrop>false</ScaleCrop>
  <LinksUpToDate>false</LinksUpToDate>
  <CharactersWithSpaces>8694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2025-02-26T01:05:00Z</dcterms:created>
  <dc:creator>Administrator</dc:creator>
  <cp:lastModifiedBy>Administrator</cp:lastModifiedBy>
  <dcterms:modified xsi:type="dcterms:W3CDTF">2025-03-11T00:17:42Z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5AF07FB7C1804ABBBF2CE86F3DF878F1</vt:lpwstr>
  </property>
</Properties>
</file>