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曹妃甸区中山路街道办事处</w:t>
      </w:r>
    </w:p>
    <w:p>
      <w:pPr>
        <w:spacing w:before="0" w:after="0" w:line="240"/>
        <w:ind w:firstLine="0"/>
        <w:jc w:val="center"/>
        <w:outlineLvl w:val="9"/>
      </w:pPr>
      <w:r>
        <w:rPr>
          <w:rFonts w:ascii="方正小标宋_GBK" w:eastAsia="方正小标宋_GBK" w:hAnsi="方正小标宋_GBK" w:cs="方正小标宋_GBK"/>
          <w:color w:val="000000"/>
          <w:sz w:val="72"/>
        </w:rPr>
        <w:t xml:space="preserve">2025年部门预算绩效文本</w:t>
      </w:r>
    </w:p>
    <w:p>
      <w:pPr>
        <w:spacing w:before="0" w:after="0" w:line="240"/>
        <w:ind w:firstLine="0"/>
        <w:jc w:val="center"/>
        <w:outlineLvl w:val="9"/>
      </w:pP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宋体" w:eastAsia="宋体" w:hAnsi="宋体" w:cs="宋体"/>
          <w:color w:val="000000"/>
          <w:sz w:val="21"/>
        </w:rPr>
        <w:t xml:space="preserve"> </w:t>
      </w:r>
    </w:p>
    <w:p>
      <w:pPr>
        <w:spacing w:before="0" w:after="0" w:line="240"/>
        <w:ind w:firstLine="0"/>
        <w:jc w:val="center"/>
        <w:outlineLvl w:val="9"/>
      </w:pPr>
      <w:r>
        <w:rPr>
          <w:rFonts w:ascii="方正楷体_GBK" w:eastAsia="方正楷体_GBK" w:hAnsi="方正楷体_GBK" w:cs="方正楷体_GBK"/>
          <w:b/>
          <w:color w:val="000000"/>
          <w:sz w:val="32"/>
        </w:rPr>
        <w:t xml:space="preserve">曹妃甸区中山路街道办事处编制</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r>
        <w:rPr>
          <w:rFonts w:ascii="方正楷体_GBK" w:eastAsia="方正楷体_GBK" w:hAnsi="方正楷体_GBK" w:cs="方正楷体_GBK"/>
          <w:b/>
          <w:color w:val="000000"/>
          <w:sz w:val="32"/>
        </w:rPr>
        <w:t xml:space="preserve">曹妃甸区财政局审核</w:t>
      </w:r>
    </w:p>
    <w:p>
      <w:pPr>
        <w:spacing w:before="0" w:after="0" w:line="240"/>
        <w:ind w:firstLine="0"/>
        <w:jc w:val="center"/>
        <w:outlineLvl w:val="9"/>
        <w:sectPr>
          <w:type w:val="nextPage"/>
          <w:pgSz w:w="11900" w:h="16840" w:orient="portrait"/>
          <w:pgMar w:top="1984" w:right="1304" w:bottom="1134" w:left="1304" w:header="720" w:footer="720" w:gutter="0"/>
          <w:pgBorders/>
          <w:titlePg/>
        </w:sectPr>
      </w:pPr>
    </w:p>
    <w:p>
      <w:pPr>
        <w:spacing w:before="0" w:after="0" w:line="240"/>
        <w:ind w:firstLine="0"/>
        <w:jc w:val="center"/>
        <w:outlineLvl w:val="9"/>
      </w:pPr>
      <w:r>
        <w:rPr>
          <w:rFonts w:ascii="方正小标宋_GBK" w:eastAsia="方正小标宋_GBK" w:hAnsi="方正小标宋_GBK" w:cs="方正小标宋_GBK"/>
          <w:color w:val="000000"/>
          <w:sz w:val="36"/>
        </w:rPr>
        <w:t xml:space="preserve"> </w:t>
      </w:r>
    </w:p>
    <w:p>
      <w:pPr>
        <w:spacing w:before="0" w:after="0" w:line="240"/>
        <w:ind w:firstLine="0"/>
        <w:jc w:val="center"/>
        <w:outlineLvl w:val="0"/>
      </w:pPr>
      <w:r>
        <w:rPr>
          <w:rFonts w:ascii="方正小标宋_GBK" w:eastAsia="方正小标宋_GBK" w:hAnsi="方正小标宋_GBK" w:cs="方正小标宋_GBK"/>
          <w:color w:val="000000"/>
          <w:sz w:val="36"/>
        </w:rPr>
        <w:t xml:space="preserve">目    录</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 </w:t>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第一部分 部门整体绩效目标</w:t>
      </w:r>
    </w:p>
    <w:p>
      <w:pPr>
        <w:pStyle w:val="TOC1"/>
        <w:tabs>
          <w:tab w:val="right" w:leader="dot" w:pos="9282"/>
        </w:tabs>
      </w:pPr>
      <w:r>
        <w:fldChar w:fldCharType="begin"/>
      </w:r>
      <w:r>
        <w:instrText xml:space="preserve">TOC \o "2-2" \h \z \u</w:instrText>
      </w:r>
      <w:r>
        <w:fldChar w:fldCharType="separate"/>
      </w:r>
      <w:hyperlink w:anchor="_Toc_2_2_0000000001" w:history="1">
        <w:r>
          <w:t xml:space="preserve">一、总体绩效目标</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9282"/>
        </w:tabs>
      </w:pPr>
      <w:hyperlink w:anchor="_Toc_2_2_0000000002" w:history="1">
        <w:r>
          <w:t xml:space="preserve">二、分项绩效目标</w:t>
        </w:r>
        <w:r>
          <w:tab/>
        </w:r>
        <w:r>
          <w:fldChar w:fldCharType="begin"/>
        </w:r>
        <w:r>
          <w:instrText xml:space="preserve">PAGEREF _Toc_2_2_0000000002 \h</w:instrText>
        </w:r>
        <w:r>
          <w:fldChar w:fldCharType="separate"/>
        </w:r>
        <w:r>
          <w:t xml:space="preserve">2</w:t>
        </w:r>
        <w:r>
          <w:fldChar w:fldCharType="end"/>
        </w:r>
      </w:hyperlink>
    </w:p>
    <w:p>
      <w:pPr>
        <w:pStyle w:val="TOC1"/>
        <w:tabs>
          <w:tab w:val="right" w:leader="dot" w:pos="9282"/>
        </w:tabs>
      </w:pPr>
      <w:hyperlink w:anchor="_Toc_2_2_0000000003" w:history="1">
        <w:r>
          <w:t xml:space="preserve">三、工作保障措施</w:t>
        </w:r>
        <w:r>
          <w:tab/>
        </w:r>
        <w:r>
          <w:fldChar w:fldCharType="begin"/>
        </w:r>
        <w:r>
          <w:instrText xml:space="preserve">PAGEREF _Toc_2_2_0000000003 \h</w:instrText>
        </w:r>
        <w:r>
          <w:fldChar w:fldCharType="separate"/>
        </w:r>
        <w:r>
          <w:t xml:space="preserve">2</w:t>
        </w:r>
        <w:r>
          <w:fldChar w:fldCharType="end"/>
        </w:r>
      </w:hyperlink>
    </w:p>
    <w:p>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30"/>
        </w:rPr>
        <w:t xml:space="preserve">第二部分 预算项目绩效目标</w:t>
      </w:r>
    </w:p>
    <w:p>
      <w:pPr>
        <w:pStyle w:val="TOC1"/>
        <w:tabs>
          <w:tab w:val="right" w:leader="dot" w:pos="9282"/>
        </w:tabs>
      </w:pPr>
      <w:r>
        <w:fldChar w:fldCharType="begin"/>
      </w:r>
      <w:r>
        <w:instrText xml:space="preserve">TOC \o "4-4" \h \z \u</w:instrText>
      </w:r>
      <w:r>
        <w:fldChar w:fldCharType="separate"/>
      </w:r>
      <w:hyperlink w:anchor="_Toc_4_4_0000000004" w:history="1">
        <w:r>
          <w:t xml:space="preserve">1.房屋租赁和物业管理专项经费绩效目标表</w:t>
        </w:r>
        <w:r>
          <w:tab/>
        </w:r>
        <w:r>
          <w:fldChar w:fldCharType="begin"/>
        </w:r>
        <w:r>
          <w:instrText xml:space="preserve">PAGEREF _Toc_4_4_0000000004 \h</w:instrText>
        </w:r>
        <w:r>
          <w:fldChar w:fldCharType="separate"/>
        </w:r>
        <w:r>
          <w:t xml:space="preserve">5</w:t>
        </w:r>
        <w:r>
          <w:fldChar w:fldCharType="end"/>
        </w:r>
      </w:hyperlink>
    </w:p>
    <w:p>
      <w:pPr>
        <w:pStyle w:val="TOC1"/>
        <w:tabs>
          <w:tab w:val="right" w:leader="dot" w:pos="9282"/>
        </w:tabs>
      </w:pPr>
      <w:hyperlink w:anchor="_Toc_4_4_0000000005" w:history="1">
        <w:r>
          <w:t xml:space="preserve">2.楼门长补助专项经费绩效目标表</w:t>
        </w:r>
        <w:r>
          <w:tab/>
        </w:r>
        <w:r>
          <w:fldChar w:fldCharType="begin"/>
        </w:r>
        <w:r>
          <w:instrText xml:space="preserve">PAGEREF _Toc_4_4_0000000005 \h</w:instrText>
        </w:r>
        <w:r>
          <w:fldChar w:fldCharType="separate"/>
        </w:r>
        <w:r>
          <w:t xml:space="preserve">6</w:t>
        </w:r>
        <w:r>
          <w:fldChar w:fldCharType="end"/>
        </w:r>
      </w:hyperlink>
    </w:p>
    <w:p>
      <w:pPr>
        <w:pStyle w:val="TOC1"/>
        <w:tabs>
          <w:tab w:val="right" w:leader="dot" w:pos="9282"/>
        </w:tabs>
      </w:pPr>
      <w:hyperlink w:anchor="_Toc_4_4_0000000006" w:history="1">
        <w:r>
          <w:t xml:space="preserve">3.中山路街道专项经费绩效目标表</w:t>
        </w:r>
        <w:r>
          <w:tab/>
        </w:r>
        <w:r>
          <w:fldChar w:fldCharType="begin"/>
        </w:r>
        <w:r>
          <w:instrText xml:space="preserve">PAGEREF _Toc_4_4_0000000006 \h</w:instrText>
        </w:r>
        <w:r>
          <w:fldChar w:fldCharType="separate"/>
        </w:r>
        <w:r>
          <w:t xml:space="preserve">7</w:t>
        </w:r>
        <w:r>
          <w:fldChar w:fldCharType="end"/>
        </w:r>
      </w:hyperlink>
    </w:p>
    <w:p>
      <w:pPr/>
      <w:r>
        <w:fldChar w:fldCharType="end"/>
      </w:r>
    </w:p>
    <w:p>
      <w:pPr>
        <w:sectPr>
          <w:footerReference w:type="even" r:id="rId1"/>
          <w:footerReference w:type="default" r:id="rId2"/>
          <w:type w:val="nextPage"/>
          <w:pgSz w:w="11900" w:h="16840" w:orient="portrait"/>
          <w:pgMar w:top="1984" w:right="1304" w:bottom="1134" w:left="1304" w:header="720" w:footer="720" w:gutter="0"/>
          <w:pgBorders/>
          <w:pgNumType w:start="1"/>
        </w:sectPr>
      </w:pPr>
      <w:r>
        <w:br w:type="page"/>
      </w:r>
      <w:r>
        <w:rPr/>
        <w:br/>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第一部分</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部门整体绩效目标</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eastAsia="方正黑体_GBK" w:hAnsi="方正黑体_GBK" w:cs="方正黑体_GBK"/>
          <w:color w:val="000000"/>
          <w:sz w:val="28"/>
        </w:rPr>
        <w:t xml:space="preserve">一、总体绩效目标</w:t>
      </w:r>
      <w:bookmarkEnd w:id="0"/>
    </w:p>
    <w:p>
      <w:pPr>
        <w:pStyle w:val="插入文本样式-插入总体目标文件"/>
      </w:pPr>
      <w:r>
        <w:t xml:space="preserve">曹妃甸区中山路街道办事处总体绩效目标</w:t>
      </w:r>
    </w:p>
    <w:p>
      <w:pPr>
        <w:pStyle w:val="插入文本样式-插入总体目标文件"/>
      </w:pPr>
      <w:r>
        <w:t xml:space="preserve">宣传贯彻执行党的路线方针政策和党中央、上级党组织的决议。贯彻执行法律、法规、规章和上级人民代表大会及其常务委员会决议及上级政府的决定、命令，依法管理辖区公共事务。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负责办理上级人大常委会交办的监督、选举以及其他工作，做好人大代表工作，联系选民、反映群众意见和要求。加强街道党工委自身建设和基层党组织建设，履行全面从严治党主体责任，建立健全党建联席会制度，全面推进辖区党的政治建设、思想建设、组织建设、作风建设、纪律建设，把制度建设贯穿其中，组织开展党风廉政建设和反腐败工作。街道党工委领导群团组织，加强指导和规范，支持和保证群团组织依照国家法律法规以及各自章程履行职责。坚持党管武装的根本原则和制度，协调各方力量，对街道人民武装工作实行统一领导。指导居民委员会等基层群众性自治组织建设，健全自治平台。组织动员社区居民、单位和社会力量参与社区治理，整合辖区内社会力量，形成社区共治合力，为社区发展服务。对社区工作者队伍进行管理教育。按照管理权限，对街道机关所属单位干部进行教育、培训、选拔、考核和监督，对上级政府职能部门派出机构的工作考核和主要负责同志任免提出意见。按照职责分工组织维护辖区安全稳定，协调维护社会治安综合治理，做好应急管理、民族宗教工作，承担民兵预备役、征兵、退役军人服务、拥军优属、防范邪教等工作。组织开展群众性文化、体育、科普活动，开展法制宣传和社会公德教育，推动社区公益事业发展。维护老年人、妇女、未成年人、残疾人等合法权益。按照职责分工参与辖区设施规划、建设和验收，综合管理、统筹调度和考核督办涉及辖区的公共事务，按照有关规定统筹使用下沉到街道社区的人财物等资源。承办上级党委、人大、政府交办的其它事项。</w:t>
      </w:r>
    </w:p>
    <w:p>
      <w:pPr>
        <w:spacing w:before="10" w:after="10"/>
        <w:ind w:firstLine="560"/>
        <w:jc w:val="left"/>
        <w:outlineLvl w:val="1"/>
      </w:pPr>
      <w:bookmarkStart w:id="1" w:name="_Toc_2_2_0000000002"/>
      <w:r>
        <w:rPr>
          <w:rFonts w:ascii="方正黑体_GBK" w:eastAsia="方正黑体_GBK" w:hAnsi="方正黑体_GBK" w:cs="方正黑体_GBK"/>
          <w:color w:val="000000"/>
          <w:sz w:val="28"/>
        </w:rPr>
        <w:t xml:space="preserve">二、分项绩效目标</w:t>
      </w:r>
      <w:bookmarkEnd w:id="1"/>
    </w:p>
    <w:p>
      <w:pPr>
        <w:pStyle w:val="插入文本样式-插入职责分类绩效目标文件"/>
      </w:pPr>
      <w:r>
        <w:t xml:space="preserve">分项绩效目标</w:t>
      </w:r>
    </w:p>
    <w:p>
      <w:pPr>
        <w:pStyle w:val="插入文本样式-插入职责分类绩效目标文件"/>
      </w:pPr>
      <w:r>
        <w:t xml:space="preserve">（一）街道专项工作经费</w:t>
      </w:r>
    </w:p>
    <w:p>
      <w:pPr>
        <w:pStyle w:val="插入文本样式-插入职责分类绩效目标文件"/>
      </w:pPr>
      <w:r>
        <w:t xml:space="preserve">绩效目标：保障街道机关及所辖社区基本办公事务以及工作正常运转等。</w:t>
      </w:r>
    </w:p>
    <w:p>
      <w:pPr>
        <w:pStyle w:val="插入文本样式-插入职责分类绩效目标文件"/>
      </w:pPr>
      <w:r>
        <w:t xml:space="preserve">绩效指标：为保障机关工作人员基本办公费的落实，确保设备完好使用以及工作情况需要。</w:t>
      </w:r>
    </w:p>
    <w:p>
      <w:pPr>
        <w:pStyle w:val="插入文本样式-插入职责分类绩效目标文件"/>
      </w:pPr>
      <w:r>
        <w:t xml:space="preserve">（二）房屋租赁和物业管理专项经费</w:t>
      </w:r>
    </w:p>
    <w:p>
      <w:pPr>
        <w:pStyle w:val="插入文本样式-插入职责分类绩效目标文件"/>
      </w:pPr>
      <w:r>
        <w:t xml:space="preserve">绩效目标：保障各社区办公场地租赁费以及相关的物业管理费，保障街道库房租赁费。</w:t>
      </w:r>
    </w:p>
    <w:p>
      <w:pPr>
        <w:pStyle w:val="插入文本样式-插入职责分类绩效目标文件"/>
      </w:pPr>
      <w:r>
        <w:t xml:space="preserve">绩效指标：按照当年租赁费和物业费进行支付。</w:t>
      </w:r>
    </w:p>
    <w:p>
      <w:pPr>
        <w:pStyle w:val="插入文本样式-插入职责分类绩效目标文件"/>
      </w:pPr>
      <w:r>
        <w:t xml:space="preserve">（三）楼门长补助专项经费</w:t>
      </w:r>
    </w:p>
    <w:p>
      <w:pPr>
        <w:pStyle w:val="插入文本样式-插入职责分类绩效目标文件"/>
      </w:pPr>
      <w:r>
        <w:t xml:space="preserve">绩效目标：保证楼门长补助正常发放。</w:t>
      </w:r>
    </w:p>
    <w:p>
      <w:pPr>
        <w:pStyle w:val="插入文本样式-插入职责分类绩效目标文件"/>
      </w:pPr>
      <w:r>
        <w:t xml:space="preserve">绩效指标：发放楼门长补助，协助社区工作开展。</w:t>
      </w:r>
    </w:p>
    <w:p>
      <w:pPr>
        <w:spacing w:before="10" w:after="10"/>
        <w:ind w:firstLine="560"/>
        <w:jc w:val="left"/>
        <w:outlineLvl w:val="1"/>
      </w:pPr>
      <w:bookmarkStart w:id="2" w:name="_Toc_2_2_0000000003"/>
      <w:r>
        <w:rPr>
          <w:rFonts w:ascii="方正黑体_GBK" w:eastAsia="方正黑体_GBK" w:hAnsi="方正黑体_GBK" w:cs="方正黑体_GBK"/>
          <w:color w:val="000000"/>
          <w:sz w:val="28"/>
        </w:rPr>
        <w:t xml:space="preserve">三、工作保障措施</w:t>
      </w:r>
      <w:bookmarkEnd w:id="2"/>
    </w:p>
    <w:p>
      <w:pPr>
        <w:pStyle w:val="插入文本样式-插入实现年度发展规划目标的保障措施文件"/>
      </w:pPr>
      <w:r>
        <w:t xml:space="preserve">工作保障措施</w:t>
      </w:r>
    </w:p>
    <w:p>
      <w:pPr>
        <w:pStyle w:val="插入文本样式-插入实现年度发展规划目标的保障措施文件"/>
      </w:pPr>
      <w:r>
        <w:t xml:space="preserve">（一）完善制度建设。制定完善预算绩效管理制度、资金管理办法、工作保障制度等，为全年预算绩效目标的实现奠定制度基础。</w:t>
      </w:r>
    </w:p>
    <w:p>
      <w:pPr>
        <w:pStyle w:val="插入文本样式-插入实现年度发展规划目标的保障措施文件"/>
      </w:pPr>
      <w:r>
        <w:t xml:space="preserve">（二）加强支出管理。通过优化支出结构、编细编实预算、加快履行政府采购手续、尽快启动项目、及时支付资金、细化代编预算、按规定及时下达资金等多种措施，确保支出进度达标。</w:t>
      </w:r>
    </w:p>
    <w:p>
      <w:pPr>
        <w:pStyle w:val="插入文本样式-插入实现年度发展规划目标的保障措施文件"/>
      </w:pPr>
      <w:r>
        <w:t xml:space="preserve">（三）加强绩效运行监控。按要求开展绩效运行监控，发现问题及时采取措施，确保绩效目标如期保质实现。</w:t>
      </w:r>
    </w:p>
    <w:p>
      <w:pPr>
        <w:pStyle w:val="插入文本样式-插入实现年度发展规划目标的保障措施文件"/>
      </w:pPr>
      <w:r>
        <w:t xml:space="preserve">（四）做好绩效自评。按要求开展上年度部门预算绩效自评和重点评价工作，对评价中发现的问题及时整改，调整优化支出结构，提高财政资金使用效益。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（五）规范财务资产管理。完善财务管理制度，严格审批程序，加强固定资产登记、使用和报废处置管理，做到支出合理，物尽其用。</w:t>
      </w:r>
    </w:p>
    <w:p>
      <w:pPr>
        <w:pStyle w:val="插入文本样式-插入实现年度发展规划目标的保障措施文件"/>
      </w:pPr>
      <w:r>
        <w:t xml:space="preserve">（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插入文本样式-插入实现年度发展规划目标的保障措施文件"/>
      </w:pPr>
      <w:r>
        <w:t xml:space="preserve">（七）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ind w:firstLine="0"/>
        <w:jc w:val="center"/>
        <w:outlineLvl w:val="9"/>
        <w:sectPr>
          <w:type w:val="nextPage"/>
          <w:pgSz w:w="11900" w:h="16840" w:orient="portrait"/>
          <w:pgMar w:top="1984" w:right="1304" w:bottom="1134" w:left="1304" w:header="720" w:footer="720" w:gutter="0"/>
          <w:pgBorders/>
          <w:pgNumType w:start="1"/>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52"/>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第二部分</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pPr>
      <w:r>
        <w:rPr>
          <w:rFonts w:ascii="方正小标宋_GBK" w:eastAsia="方正小标宋_GBK" w:hAnsi="方正小标宋_GBK" w:cs="方正小标宋_GBK"/>
          <w:color w:val="000000"/>
          <w:sz w:val="44"/>
        </w:rPr>
        <w:t xml:space="preserve">预算项目绩效目标</w:t>
      </w:r>
    </w:p>
    <w:p>
      <w:pPr>
        <w:spacing w:before="0" w:after="0" w:line="240"/>
        <w:ind w:firstLine="0"/>
        <w:jc w:val="center"/>
        <w:outlineLvl w:val="9"/>
        <w:sectPr>
          <w:type w:val="nextPage"/>
          <w:pgSz w:w="11900" w:h="16840" w:orient="portrait"/>
          <w:pgMar w:top="1984" w:right="1304" w:bottom="1134" w:left="1304" w:header="720" w:footer="720" w:gutter="0"/>
          <w:pgBorders/>
        </w:sectPr>
      </w:pPr>
      <w:r>
        <w:rPr>
          <w:rFonts w:ascii="方正书宋_GBK" w:eastAsia="方正书宋_GBK" w:hAnsi="方正书宋_GBK" w:cs="方正书宋_GBK"/>
          <w:color w:val="000000"/>
          <w:sz w:val="21"/>
        </w:rPr>
        <w:t xml:space="preserve"> </w:t>
      </w: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3" w:name="_Toc_4_4_0000000004"/>
      <w:r>
        <w:rPr>
          <w:rFonts w:ascii="方正仿宋_GBK" w:eastAsia="方正仿宋_GBK" w:hAnsi="方正仿宋_GBK" w:cs="方正仿宋_GBK"/>
          <w:color w:val="000000"/>
          <w:sz w:val="28"/>
        </w:rPr>
        <w:t xml:space="preserve">1.房屋租赁和物业管理专项经费绩效目标表</w:t>
      </w:r>
      <w:bookmarkEnd w:id="3"/>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816001曹妃甸区中山路街道办事处本级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13020925P001470100024</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房屋租赁和物业管理专项经费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242.59</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242.59</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支付所辖社区党群服务中心办公场所租赁费、物业服务费；支付街道库房租赁费。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 </w:t>
            </w:r>
          </w:p>
        </w:tc>
        <w:tc>
          <w:tcPr>
            <w:tcW w:w="1587" w:type="dxa"/>
            <w:vAlign w:val="center"/>
          </w:tcPr>
          <w:p>
            <w:pPr>
              <w:pStyle w:val="单元格样式3"/>
            </w:pPr>
            <w:r>
              <w:t xml:space="preserve"> </w:t>
            </w:r>
          </w:p>
        </w:tc>
        <w:tc>
          <w:tcPr>
            <w:tcW w:w="1304" w:type="dxa"/>
            <w:vAlign w:val="center"/>
          </w:tcPr>
          <w:p>
            <w:pPr>
              <w:pStyle w:val="单元格样式3"/>
            </w:pPr>
            <w:r>
              <w:t xml:space="preserve">50%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1.保证街道下辖社区党群服务中心房租、街道库房房租及时支付</w:t>
            </w:r>
          </w:p>
          <w:p>
            <w:pPr>
              <w:pStyle w:val="单元格样式2"/>
            </w:pPr>
            <w:r>
              <w:t xml:space="preserve">2.保证街道下辖社区党群服务中心物业费及时支付</w:t>
            </w:r>
          </w:p>
          <w:p>
            <w:pPr>
              <w:pStyle w:val="单元格样式2"/>
            </w:pPr>
            <w:r>
              <w:t xml:space="preserve">3.保证街道下辖社区办公场所正常办公</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工作开展次数</w:t>
            </w:r>
          </w:p>
        </w:tc>
        <w:tc>
          <w:tcPr>
            <w:tcW w:w="2891" w:type="dxa"/>
            <w:vAlign w:val="center"/>
          </w:tcPr>
          <w:p>
            <w:pPr>
              <w:pStyle w:val="单元格样式2"/>
            </w:pPr>
            <w:r>
              <w:t xml:space="preserve">工作开展次数</w:t>
            </w:r>
          </w:p>
        </w:tc>
        <w:tc>
          <w:tcPr>
            <w:tcW w:w="1276" w:type="dxa"/>
            <w:vAlign w:val="center"/>
          </w:tcPr>
          <w:p>
            <w:pPr>
              <w:pStyle w:val="单元格样式2"/>
            </w:pPr>
            <w:r>
              <w:t xml:space="preserve">≥6次</w:t>
            </w:r>
          </w:p>
        </w:tc>
        <w:tc>
          <w:tcPr>
            <w:tcW w:w="1843" w:type="dxa"/>
            <w:vAlign w:val="center"/>
          </w:tcPr>
          <w:p>
            <w:pPr>
              <w:pStyle w:val="单元格样式2"/>
            </w:pPr>
            <w:r>
              <w:t xml:space="preserve">单位年初预算安排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覆盖率</w:t>
            </w:r>
          </w:p>
        </w:tc>
        <w:tc>
          <w:tcPr>
            <w:tcW w:w="2891" w:type="dxa"/>
            <w:vAlign w:val="center"/>
          </w:tcPr>
          <w:p>
            <w:pPr>
              <w:pStyle w:val="单元格样式2"/>
            </w:pPr>
            <w:r>
              <w:t xml:space="preserve">覆盖率</w:t>
            </w:r>
          </w:p>
        </w:tc>
        <w:tc>
          <w:tcPr>
            <w:tcW w:w="1276" w:type="dxa"/>
            <w:vAlign w:val="center"/>
          </w:tcPr>
          <w:p>
            <w:pPr>
              <w:pStyle w:val="单元格样式2"/>
            </w:pPr>
            <w:r>
              <w:t xml:space="preserve">≥95%</w:t>
            </w:r>
          </w:p>
        </w:tc>
        <w:tc>
          <w:tcPr>
            <w:tcW w:w="1843" w:type="dxa"/>
            <w:vAlign w:val="center"/>
          </w:tcPr>
          <w:p>
            <w:pPr>
              <w:pStyle w:val="单元格样式2"/>
            </w:pPr>
            <w:r>
              <w:t xml:space="preserve">单位年初预算安排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项目完成时间</w:t>
            </w:r>
          </w:p>
        </w:tc>
        <w:tc>
          <w:tcPr>
            <w:tcW w:w="2891" w:type="dxa"/>
            <w:vAlign w:val="center"/>
          </w:tcPr>
          <w:p>
            <w:pPr>
              <w:pStyle w:val="单元格样式2"/>
            </w:pPr>
            <w:r>
              <w:t xml:space="preserve">项目完成时间</w:t>
            </w:r>
          </w:p>
        </w:tc>
        <w:tc>
          <w:tcPr>
            <w:tcW w:w="1276" w:type="dxa"/>
            <w:vAlign w:val="center"/>
          </w:tcPr>
          <w:p>
            <w:pPr>
              <w:pStyle w:val="单元格样式2"/>
            </w:pPr>
            <w:r>
              <w:t xml:space="preserve">≤1年</w:t>
            </w:r>
          </w:p>
        </w:tc>
        <w:tc>
          <w:tcPr>
            <w:tcW w:w="1843" w:type="dxa"/>
            <w:vAlign w:val="center"/>
          </w:tcPr>
          <w:p>
            <w:pPr>
              <w:pStyle w:val="单元格样式2"/>
            </w:pPr>
            <w:r>
              <w:t xml:space="preserve">单位年初预算安排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≤242.59万元</w:t>
            </w:r>
          </w:p>
        </w:tc>
        <w:tc>
          <w:tcPr>
            <w:tcW w:w="1843" w:type="dxa"/>
            <w:vAlign w:val="center"/>
          </w:tcPr>
          <w:p>
            <w:pPr>
              <w:pStyle w:val="单元格样式2"/>
            </w:pPr>
            <w:r>
              <w:t xml:space="preserve">单位年初预算安排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公共服务水平提升情况</w:t>
            </w:r>
          </w:p>
        </w:tc>
        <w:tc>
          <w:tcPr>
            <w:tcW w:w="2891" w:type="dxa"/>
            <w:vAlign w:val="center"/>
          </w:tcPr>
          <w:p>
            <w:pPr>
              <w:pStyle w:val="单元格样式2"/>
            </w:pPr>
            <w:r>
              <w:t xml:space="preserve">公共服务水平提升情况</w:t>
            </w:r>
          </w:p>
        </w:tc>
        <w:tc>
          <w:tcPr>
            <w:tcW w:w="1276" w:type="dxa"/>
            <w:vAlign w:val="center"/>
          </w:tcPr>
          <w:p>
            <w:pPr>
              <w:pStyle w:val="单元格样式2"/>
            </w:pPr>
            <w:r>
              <w:t xml:space="preserve">≥95%</w:t>
            </w:r>
          </w:p>
        </w:tc>
        <w:tc>
          <w:tcPr>
            <w:tcW w:w="1843" w:type="dxa"/>
            <w:vAlign w:val="center"/>
          </w:tcPr>
          <w:p>
            <w:pPr>
              <w:pStyle w:val="单元格样式2"/>
            </w:pPr>
            <w:r>
              <w:t xml:space="preserve">单位年初预算安排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提供优质服务</w:t>
            </w:r>
          </w:p>
        </w:tc>
        <w:tc>
          <w:tcPr>
            <w:tcW w:w="2891" w:type="dxa"/>
            <w:vAlign w:val="center"/>
          </w:tcPr>
          <w:p>
            <w:pPr>
              <w:pStyle w:val="单元格样式2"/>
            </w:pPr>
            <w:r>
              <w:t xml:space="preserve">提供优质服务</w:t>
            </w:r>
          </w:p>
        </w:tc>
        <w:tc>
          <w:tcPr>
            <w:tcW w:w="1276" w:type="dxa"/>
            <w:vAlign w:val="center"/>
          </w:tcPr>
          <w:p>
            <w:pPr>
              <w:pStyle w:val="单元格样式2"/>
            </w:pPr>
            <w:r>
              <w:t xml:space="preserve">≥90%</w:t>
            </w:r>
          </w:p>
        </w:tc>
        <w:tc>
          <w:tcPr>
            <w:tcW w:w="1843" w:type="dxa"/>
            <w:vAlign w:val="center"/>
          </w:tcPr>
          <w:p>
            <w:pPr>
              <w:pStyle w:val="单元格样式2"/>
            </w:pPr>
            <w:r>
              <w:t xml:space="preserve">单位年初预算安排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≥95%</w:t>
            </w:r>
          </w:p>
        </w:tc>
        <w:tc>
          <w:tcPr>
            <w:tcW w:w="1843" w:type="dxa"/>
            <w:vAlign w:val="center"/>
          </w:tcPr>
          <w:p>
            <w:pPr>
              <w:pStyle w:val="单元格样式2"/>
            </w:pPr>
            <w:r>
              <w:t xml:space="preserve">单位年初预算安排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vAlign w:val="center"/>
          </w:tcPr>
          <w:p>
            <w:pPr>
              <w:pStyle w:val="单元格样式2"/>
            </w:pPr>
            <w:r>
              <w:t xml:space="preserve">维护社会稳定</w:t>
            </w:r>
          </w:p>
        </w:tc>
        <w:tc>
          <w:tcPr>
            <w:tcW w:w="1276" w:type="dxa"/>
            <w:vAlign w:val="center"/>
          </w:tcPr>
          <w:p>
            <w:pPr>
              <w:pStyle w:val="单元格样式2"/>
            </w:pPr>
            <w:r>
              <w:t xml:space="preserve">≥95%</w:t>
            </w:r>
          </w:p>
        </w:tc>
        <w:tc>
          <w:tcPr>
            <w:tcW w:w="1843" w:type="dxa"/>
            <w:vAlign w:val="center"/>
          </w:tcPr>
          <w:p>
            <w:pPr>
              <w:pStyle w:val="单元格样式2"/>
            </w:pPr>
            <w:r>
              <w:t xml:space="preserve">单位年初预算安排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社会公众和服务对象满意度</w:t>
            </w:r>
          </w:p>
        </w:tc>
        <w:tc>
          <w:tcPr>
            <w:tcW w:w="2891" w:type="dxa"/>
            <w:vAlign w:val="center"/>
          </w:tcPr>
          <w:p>
            <w:pPr>
              <w:pStyle w:val="单元格样式2"/>
            </w:pPr>
            <w:r>
              <w:t xml:space="preserve">社会公众和服务对象满意度</w:t>
            </w:r>
          </w:p>
        </w:tc>
        <w:tc>
          <w:tcPr>
            <w:tcW w:w="1276" w:type="dxa"/>
            <w:vAlign w:val="center"/>
          </w:tcPr>
          <w:p>
            <w:pPr>
              <w:pStyle w:val="单元格样式2"/>
            </w:pPr>
            <w:r>
              <w:t xml:space="preserve">≥95%</w:t>
            </w:r>
          </w:p>
        </w:tc>
        <w:tc>
          <w:tcPr>
            <w:tcW w:w="1843" w:type="dxa"/>
            <w:vAlign w:val="center"/>
          </w:tcPr>
          <w:p>
            <w:pPr>
              <w:pStyle w:val="单元格样式2"/>
            </w:pPr>
            <w:r>
              <w:t xml:space="preserve">单位年初预算安排</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4" w:name="_Toc_4_4_0000000005"/>
      <w:r>
        <w:rPr>
          <w:rFonts w:ascii="方正仿宋_GBK" w:eastAsia="方正仿宋_GBK" w:hAnsi="方正仿宋_GBK" w:cs="方正仿宋_GBK"/>
          <w:color w:val="000000"/>
          <w:sz w:val="28"/>
        </w:rPr>
        <w:t xml:space="preserve">2.楼门长补助专项经费绩效目标表</w:t>
      </w:r>
      <w:bookmarkEnd w:id="4"/>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816001曹妃甸区中山路街道办事处本级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13020925P00146810002A</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楼门长补助专项经费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237.00</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237.00</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用于支付楼门长补贴</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25%</w:t>
            </w:r>
          </w:p>
        </w:tc>
        <w:tc>
          <w:tcPr>
            <w:tcW w:w="1587" w:type="dxa"/>
            <w:vAlign w:val="center"/>
          </w:tcPr>
          <w:p>
            <w:pPr>
              <w:pStyle w:val="单元格样式3"/>
            </w:pPr>
            <w:r>
              <w:t xml:space="preserve">50%</w:t>
            </w:r>
          </w:p>
        </w:tc>
        <w:tc>
          <w:tcPr>
            <w:tcW w:w="1304" w:type="dxa"/>
            <w:vAlign w:val="center"/>
          </w:tcPr>
          <w:p>
            <w:pPr>
              <w:pStyle w:val="单元格样式3"/>
            </w:pPr>
            <w:r>
              <w:t xml:space="preserve">75%</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1.保证楼门长补助及时足额发放</w:t>
            </w:r>
          </w:p>
          <w:p>
            <w:pPr>
              <w:pStyle w:val="单元格样式2"/>
            </w:pPr>
            <w:r>
              <w:t xml:space="preserve">2.协助社区公共服务水平提升</w:t>
            </w:r>
          </w:p>
          <w:p>
            <w:pPr>
              <w:pStyle w:val="单元格样式2"/>
            </w:pPr>
            <w:r>
              <w:t xml:space="preserve">3.保证社区管理工作正常开展</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发放人数</w:t>
            </w:r>
          </w:p>
        </w:tc>
        <w:tc>
          <w:tcPr>
            <w:tcW w:w="2891" w:type="dxa"/>
            <w:vAlign w:val="center"/>
          </w:tcPr>
          <w:p>
            <w:pPr>
              <w:pStyle w:val="单元格样式2"/>
            </w:pPr>
            <w:r>
              <w:t xml:space="preserve">发放人数</w:t>
            </w:r>
          </w:p>
        </w:tc>
        <w:tc>
          <w:tcPr>
            <w:tcW w:w="1276" w:type="dxa"/>
            <w:vAlign w:val="center"/>
          </w:tcPr>
          <w:p>
            <w:pPr>
              <w:pStyle w:val="单元格样式2"/>
            </w:pPr>
            <w:r>
              <w:t xml:space="preserve">395人</w:t>
            </w:r>
          </w:p>
        </w:tc>
        <w:tc>
          <w:tcPr>
            <w:tcW w:w="1843" w:type="dxa"/>
            <w:vAlign w:val="center"/>
          </w:tcPr>
          <w:p>
            <w:pPr>
              <w:pStyle w:val="单元格样式2"/>
            </w:pPr>
            <w:r>
              <w:t xml:space="preserve">上级文件精神</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覆盖率</w:t>
            </w:r>
          </w:p>
        </w:tc>
        <w:tc>
          <w:tcPr>
            <w:tcW w:w="2891" w:type="dxa"/>
            <w:vAlign w:val="center"/>
          </w:tcPr>
          <w:p>
            <w:pPr>
              <w:pStyle w:val="单元格样式2"/>
            </w:pPr>
            <w:r>
              <w:t xml:space="preserve">覆盖率</w:t>
            </w:r>
          </w:p>
        </w:tc>
        <w:tc>
          <w:tcPr>
            <w:tcW w:w="1276" w:type="dxa"/>
            <w:vAlign w:val="center"/>
          </w:tcPr>
          <w:p>
            <w:pPr>
              <w:pStyle w:val="单元格样式2"/>
            </w:pPr>
            <w:r>
              <w:t xml:space="preserve">≥95%</w:t>
            </w:r>
          </w:p>
        </w:tc>
        <w:tc>
          <w:tcPr>
            <w:tcW w:w="1843" w:type="dxa"/>
            <w:vAlign w:val="center"/>
          </w:tcPr>
          <w:p>
            <w:pPr>
              <w:pStyle w:val="单元格样式2"/>
            </w:pPr>
            <w:r>
              <w:t xml:space="preserve">上级文件精神</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完成时间</w:t>
            </w:r>
          </w:p>
        </w:tc>
        <w:tc>
          <w:tcPr>
            <w:tcW w:w="2891" w:type="dxa"/>
            <w:vAlign w:val="center"/>
          </w:tcPr>
          <w:p>
            <w:pPr>
              <w:pStyle w:val="单元格样式2"/>
            </w:pPr>
            <w:r>
              <w:t xml:space="preserve">完成时间</w:t>
            </w:r>
          </w:p>
        </w:tc>
        <w:tc>
          <w:tcPr>
            <w:tcW w:w="1276" w:type="dxa"/>
            <w:vAlign w:val="center"/>
          </w:tcPr>
          <w:p>
            <w:pPr>
              <w:pStyle w:val="单元格样式2"/>
            </w:pPr>
            <w:r>
              <w:t xml:space="preserve">1年</w:t>
            </w:r>
          </w:p>
        </w:tc>
        <w:tc>
          <w:tcPr>
            <w:tcW w:w="1843" w:type="dxa"/>
            <w:vAlign w:val="center"/>
          </w:tcPr>
          <w:p>
            <w:pPr>
              <w:pStyle w:val="单元格样式2"/>
            </w:pPr>
            <w:r>
              <w:t xml:space="preserve">上级文件精神</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成本金额</w:t>
            </w:r>
          </w:p>
        </w:tc>
        <w:tc>
          <w:tcPr>
            <w:tcW w:w="2891" w:type="dxa"/>
            <w:vAlign w:val="center"/>
          </w:tcPr>
          <w:p>
            <w:pPr>
              <w:pStyle w:val="单元格样式2"/>
            </w:pPr>
            <w:r>
              <w:t xml:space="preserve">成本金额</w:t>
            </w:r>
          </w:p>
        </w:tc>
        <w:tc>
          <w:tcPr>
            <w:tcW w:w="1276" w:type="dxa"/>
            <w:vAlign w:val="center"/>
          </w:tcPr>
          <w:p>
            <w:pPr>
              <w:pStyle w:val="单元格样式2"/>
            </w:pPr>
            <w:r>
              <w:t xml:space="preserve">≤237万元</w:t>
            </w:r>
          </w:p>
        </w:tc>
        <w:tc>
          <w:tcPr>
            <w:tcW w:w="1843" w:type="dxa"/>
            <w:vAlign w:val="center"/>
          </w:tcPr>
          <w:p>
            <w:pPr>
              <w:pStyle w:val="单元格样式2"/>
            </w:pPr>
            <w:r>
              <w:t xml:space="preserve">上级文件精神</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公共服务水平提升情况</w:t>
            </w:r>
          </w:p>
        </w:tc>
        <w:tc>
          <w:tcPr>
            <w:tcW w:w="2891" w:type="dxa"/>
            <w:vAlign w:val="center"/>
          </w:tcPr>
          <w:p>
            <w:pPr>
              <w:pStyle w:val="单元格样式2"/>
            </w:pPr>
            <w:r>
              <w:t xml:space="preserve">公共服务水平提升情况</w:t>
            </w:r>
          </w:p>
        </w:tc>
        <w:tc>
          <w:tcPr>
            <w:tcW w:w="1276" w:type="dxa"/>
            <w:vAlign w:val="center"/>
          </w:tcPr>
          <w:p>
            <w:pPr>
              <w:pStyle w:val="单元格样式2"/>
            </w:pPr>
            <w:r>
              <w:t xml:space="preserve">≥95%</w:t>
            </w:r>
          </w:p>
        </w:tc>
        <w:tc>
          <w:tcPr>
            <w:tcW w:w="1843" w:type="dxa"/>
            <w:vAlign w:val="center"/>
          </w:tcPr>
          <w:p>
            <w:pPr>
              <w:pStyle w:val="单元格样式2"/>
            </w:pPr>
            <w:r>
              <w:t xml:space="preserve">上级文件精神</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提供优质服务</w:t>
            </w:r>
          </w:p>
        </w:tc>
        <w:tc>
          <w:tcPr>
            <w:tcW w:w="2891" w:type="dxa"/>
            <w:vAlign w:val="center"/>
          </w:tcPr>
          <w:p>
            <w:pPr>
              <w:pStyle w:val="单元格样式2"/>
            </w:pPr>
            <w:r>
              <w:t xml:space="preserve">提供优质服务</w:t>
            </w:r>
          </w:p>
        </w:tc>
        <w:tc>
          <w:tcPr>
            <w:tcW w:w="1276" w:type="dxa"/>
            <w:vAlign w:val="center"/>
          </w:tcPr>
          <w:p>
            <w:pPr>
              <w:pStyle w:val="单元格样式2"/>
            </w:pPr>
            <w:r>
              <w:t xml:space="preserve">≥95%</w:t>
            </w:r>
          </w:p>
        </w:tc>
        <w:tc>
          <w:tcPr>
            <w:tcW w:w="1843" w:type="dxa"/>
            <w:vAlign w:val="center"/>
          </w:tcPr>
          <w:p>
            <w:pPr>
              <w:pStyle w:val="单元格样式2"/>
            </w:pPr>
            <w:r>
              <w:t xml:space="preserve">上级文件精神</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≥95%</w:t>
            </w:r>
          </w:p>
        </w:tc>
        <w:tc>
          <w:tcPr>
            <w:tcW w:w="1843" w:type="dxa"/>
            <w:vAlign w:val="center"/>
          </w:tcPr>
          <w:p>
            <w:pPr>
              <w:pStyle w:val="单元格样式2"/>
            </w:pPr>
            <w:r>
              <w:t xml:space="preserve">上级文件精神</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vAlign w:val="center"/>
          </w:tcPr>
          <w:p>
            <w:pPr>
              <w:pStyle w:val="单元格样式2"/>
            </w:pPr>
            <w:r>
              <w:t xml:space="preserve">维护社会稳定</w:t>
            </w:r>
          </w:p>
        </w:tc>
        <w:tc>
          <w:tcPr>
            <w:tcW w:w="1276" w:type="dxa"/>
            <w:vAlign w:val="center"/>
          </w:tcPr>
          <w:p>
            <w:pPr>
              <w:pStyle w:val="单元格样式2"/>
            </w:pPr>
            <w:r>
              <w:t xml:space="preserve">≥95%</w:t>
            </w:r>
          </w:p>
        </w:tc>
        <w:tc>
          <w:tcPr>
            <w:tcW w:w="1843" w:type="dxa"/>
            <w:vAlign w:val="center"/>
          </w:tcPr>
          <w:p>
            <w:pPr>
              <w:pStyle w:val="单元格样式2"/>
            </w:pPr>
            <w:r>
              <w:t xml:space="preserve">上级文件精神</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服务群众满意度</w:t>
            </w:r>
          </w:p>
        </w:tc>
        <w:tc>
          <w:tcPr>
            <w:tcW w:w="2891" w:type="dxa"/>
            <w:vAlign w:val="center"/>
          </w:tcPr>
          <w:p>
            <w:pPr>
              <w:pStyle w:val="单元格样式2"/>
            </w:pPr>
            <w:r>
              <w:t xml:space="preserve">服务群众满意度</w:t>
            </w:r>
          </w:p>
        </w:tc>
        <w:tc>
          <w:tcPr>
            <w:tcW w:w="1276" w:type="dxa"/>
            <w:vAlign w:val="center"/>
          </w:tcPr>
          <w:p>
            <w:pPr>
              <w:pStyle w:val="单元格样式2"/>
            </w:pPr>
            <w:r>
              <w:t xml:space="preserve">≥95%</w:t>
            </w:r>
          </w:p>
        </w:tc>
        <w:tc>
          <w:tcPr>
            <w:tcW w:w="1843" w:type="dxa"/>
            <w:vAlign w:val="center"/>
          </w:tcPr>
          <w:p>
            <w:pPr>
              <w:pStyle w:val="单元格样式2"/>
            </w:pPr>
            <w:r>
              <w:t xml:space="preserve">上级文件精神</w:t>
            </w:r>
          </w:p>
        </w:tc>
      </w:tr>
    </w:tbl>
    <w:p>
      <w:pPr>
        <w:sectPr>
          <w:type w:val="nextPage"/>
          <w:pgSz w:w="11900" w:h="16840" w:orient="portrait"/>
          <w:pgMar w:top="1984" w:right="1304" w:bottom="1134" w:left="1304" w:header="720" w:footer="720" w:gutter="0"/>
          <w:pgBorders/>
        </w:sectPr>
      </w:pPr>
    </w:p>
    <w:p>
      <w:pPr>
        <w:spacing w:before="0" w:after="0" w:line="240"/>
        <w:ind w:firstLine="0"/>
        <w:jc w:val="center"/>
        <w:outlineLvl w:val="9"/>
      </w:pPr>
      <w:r>
        <w:rPr>
          <w:rFonts w:ascii="方正仿宋_GBK" w:eastAsia="方正仿宋_GBK" w:hAnsi="方正仿宋_GBK" w:cs="方正仿宋_GBK"/>
          <w:color w:val="000000"/>
          <w:sz w:val="28"/>
        </w:rPr>
        <w:t xml:space="preserve"> </w:t>
      </w:r>
    </w:p>
    <w:p>
      <w:pPr>
        <w:spacing w:before="0" w:after="0"/>
        <w:ind w:firstLine="560"/>
        <w:jc w:val="left"/>
        <w:outlineLvl w:val="3"/>
      </w:pPr>
      <w:bookmarkStart w:id="5" w:name="_Toc_4_4_0000000006"/>
      <w:r>
        <w:rPr>
          <w:rFonts w:ascii="方正仿宋_GBK" w:eastAsia="方正仿宋_GBK" w:hAnsi="方正仿宋_GBK" w:cs="方正仿宋_GBK"/>
          <w:color w:val="000000"/>
          <w:sz w:val="28"/>
        </w:rPr>
        <w:t xml:space="preserve">3.中山路街道专项经费绩效目标表</w:t>
      </w:r>
      <w:bookmarkEnd w:id="5"/>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1587"/>
        <w:gridCol w:w="1304"/>
        <w:gridCol w:w="1276"/>
        <w:gridCol w:w="1843"/>
      </w:tblGrid>
      <w:tr>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单元格样式5"/>
            </w:pPr>
            <w:r>
              <w:t xml:space="preserve">816001曹妃甸区中山路街道办事处本级</w:t>
            </w:r>
          </w:p>
        </w:tc>
        <w:tc>
          <w:tcPr>
            <w:tcW w:w="1843" w:type="dxa"/>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2608" w:type="dxa"/>
            <w:gridSpan w:val="2"/>
            <w:vAlign w:val="center"/>
          </w:tcPr>
          <w:p>
            <w:pPr>
              <w:pStyle w:val="单元格样式2"/>
            </w:pPr>
            <w:r>
              <w:t xml:space="preserve">13020925P001517100028</w:t>
            </w:r>
          </w:p>
        </w:tc>
        <w:tc>
          <w:tcPr>
            <w:tcW w:w="1587" w:type="dxa"/>
            <w:vAlign w:val="center"/>
          </w:tcPr>
          <w:p>
            <w:pPr>
              <w:pStyle w:val="单元格样式1"/>
            </w:pPr>
            <w:r>
              <w:t xml:space="preserve">项目名称</w:t>
            </w:r>
          </w:p>
        </w:tc>
        <w:tc>
          <w:tcPr>
            <w:tcW w:w="4423" w:type="dxa"/>
            <w:gridSpan w:val="3"/>
            <w:vAlign w:val="center"/>
          </w:tcPr>
          <w:p>
            <w:pPr>
              <w:pStyle w:val="单元格样式2"/>
            </w:pPr>
            <w:r>
              <w:t xml:space="preserve">中山路街道专项经费</w:t>
            </w:r>
          </w:p>
        </w:tc>
      </w:tr>
      <w:tr>
        <w:trPr>
          <w:trHeight w:val="369"/>
          <w:jc w:val="center"/>
        </w:trPr>
        <w:tc>
          <w:tcPr>
            <w:tcW w:w="1276" w:type="dxa"/>
            <w:vMerge w:val="restart"/>
            <w:vAlign w:val="center"/>
          </w:tcPr>
          <w:p>
            <w:pPr>
              <w:pStyle w:val="单元格样式1"/>
            </w:pPr>
            <w:r>
              <w:t xml:space="preserve">预算规模及资金用途</w:t>
            </w:r>
          </w:p>
        </w:tc>
        <w:tc>
          <w:tcPr>
            <w:tcW w:w="1276" w:type="dxa"/>
            <w:vAlign w:val="center"/>
          </w:tcPr>
          <w:p>
            <w:pPr>
              <w:pStyle w:val="单元格样式1"/>
            </w:pPr>
            <w:r>
              <w:t xml:space="preserve">预算数</w:t>
            </w:r>
          </w:p>
        </w:tc>
        <w:tc>
          <w:tcPr>
            <w:tcW w:w="1332" w:type="dxa"/>
            <w:vAlign w:val="center"/>
          </w:tcPr>
          <w:p>
            <w:pPr>
              <w:pStyle w:val="单元格样式2"/>
            </w:pPr>
            <w:r>
              <w:t xml:space="preserve">305.48</w:t>
            </w:r>
          </w:p>
        </w:tc>
        <w:tc>
          <w:tcPr>
            <w:tcW w:w="1587" w:type="dxa"/>
            <w:vAlign w:val="center"/>
          </w:tcPr>
          <w:p>
            <w:pPr>
              <w:pStyle w:val="单元格样式1"/>
            </w:pPr>
            <w:r>
              <w:t xml:space="preserve">其中：财政    资金</w:t>
            </w:r>
          </w:p>
        </w:tc>
        <w:tc>
          <w:tcPr>
            <w:tcW w:w="1304" w:type="dxa"/>
            <w:vAlign w:val="center"/>
          </w:tcPr>
          <w:p>
            <w:pPr>
              <w:pStyle w:val="单元格样式2"/>
            </w:pPr>
            <w:r>
              <w:t xml:space="preserve">305.48</w:t>
            </w:r>
          </w:p>
        </w:tc>
        <w:tc>
          <w:tcPr>
            <w:tcW w:w="1276" w:type="dxa"/>
            <w:vAlign w:val="center"/>
          </w:tcPr>
          <w:p>
            <w:pPr>
              <w:pStyle w:val="单元格样式1"/>
            </w:pPr>
            <w:r>
              <w:t xml:space="preserve">其他资金</w:t>
            </w:r>
          </w:p>
        </w:tc>
        <w:tc>
          <w:tcPr>
            <w:tcW w:w="1843" w:type="dxa"/>
            <w:vAlign w:val="center"/>
          </w:tcPr>
          <w:p>
            <w:pPr>
              <w:pStyle w:val="单元格样式2"/>
            </w:pPr>
            <w:r>
              <w:t xml:space="preserve"> </w:t>
            </w:r>
          </w:p>
        </w:tc>
      </w:tr>
      <w:tr>
        <w:trPr>
          <w:trHeight w:val="369"/>
          <w:jc w:val="center"/>
        </w:trPr>
        <w:tc>
          <w:tcPr>
            <w:tcW w:w="1276" w:type="dxa"/>
            <w:vMerge/>
          </w:tcPr>
          <w:p>
            <w:pPr/>
          </w:p>
        </w:tc>
        <w:tc>
          <w:tcPr>
            <w:tcW w:w="8618" w:type="dxa"/>
            <w:gridSpan w:val="6"/>
            <w:vAlign w:val="center"/>
          </w:tcPr>
          <w:p>
            <w:pPr>
              <w:pStyle w:val="单元格样式2"/>
            </w:pPr>
            <w:r>
              <w:t xml:space="preserve">街道及社区基础运行经费</w:t>
            </w:r>
          </w:p>
        </w:tc>
      </w:tr>
      <w:tr>
        <w:trPr>
          <w:trHeight w:val="369"/>
          <w:jc w:val="center"/>
        </w:trPr>
        <w:tc>
          <w:tcPr>
            <w:tcW w:w="1276" w:type="dxa"/>
            <w:vMerge w:val="restart"/>
            <w:vAlign w:val="center"/>
          </w:tcPr>
          <w:p>
            <w:pPr>
              <w:pStyle w:val="单元格样式1"/>
            </w:pPr>
            <w:r>
              <w:t xml:space="preserve">资金支出计划（%）</w:t>
            </w:r>
          </w:p>
        </w:tc>
        <w:tc>
          <w:tcPr>
            <w:tcW w:w="2608" w:type="dxa"/>
            <w:gridSpan w:val="2"/>
            <w:vAlign w:val="center"/>
          </w:tcPr>
          <w:p>
            <w:pPr>
              <w:pStyle w:val="单元格样式1"/>
            </w:pPr>
            <w:r>
              <w:t xml:space="preserve">3月底</w:t>
            </w:r>
          </w:p>
        </w:tc>
        <w:tc>
          <w:tcPr>
            <w:tcW w:w="1587" w:type="dxa"/>
            <w:vAlign w:val="center"/>
          </w:tcPr>
          <w:p>
            <w:pPr>
              <w:pStyle w:val="单元格样式1"/>
            </w:pPr>
            <w:r>
              <w:t xml:space="preserve">6月底</w:t>
            </w:r>
          </w:p>
        </w:tc>
        <w:tc>
          <w:tcPr>
            <w:tcW w:w="1304" w:type="dxa"/>
            <w:vAlign w:val="center"/>
          </w:tcPr>
          <w:p>
            <w:pPr>
              <w:pStyle w:val="单元格样式1"/>
            </w:pPr>
            <w:r>
              <w:t xml:space="preserve">10月底</w:t>
            </w:r>
          </w:p>
        </w:tc>
        <w:tc>
          <w:tcPr>
            <w:tcW w:w="3119" w:type="dxa"/>
            <w:gridSpan w:val="2"/>
            <w:vAlign w:val="center"/>
          </w:tcPr>
          <w:p>
            <w:pPr>
              <w:pStyle w:val="单元格样式1"/>
            </w:pPr>
            <w:r>
              <w:t xml:space="preserve">12月底</w:t>
            </w:r>
          </w:p>
        </w:tc>
      </w:tr>
      <w:tr>
        <w:trPr>
          <w:trHeight w:val="369"/>
          <w:jc w:val="center"/>
        </w:trPr>
        <w:tc>
          <w:tcPr>
            <w:tcW w:w="1276" w:type="dxa"/>
            <w:vMerge/>
          </w:tcPr>
          <w:p>
            <w:pPr/>
          </w:p>
        </w:tc>
        <w:tc>
          <w:tcPr>
            <w:tcW w:w="2608" w:type="dxa"/>
            <w:gridSpan w:val="2"/>
            <w:vAlign w:val="center"/>
          </w:tcPr>
          <w:p>
            <w:pPr>
              <w:pStyle w:val="单元格样式3"/>
            </w:pPr>
            <w:r>
              <w:t xml:space="preserve">10%</w:t>
            </w:r>
          </w:p>
        </w:tc>
        <w:tc>
          <w:tcPr>
            <w:tcW w:w="1587" w:type="dxa"/>
            <w:vAlign w:val="center"/>
          </w:tcPr>
          <w:p>
            <w:pPr>
              <w:pStyle w:val="单元格样式3"/>
            </w:pPr>
            <w:r>
              <w:t xml:space="preserve">30%</w:t>
            </w:r>
          </w:p>
        </w:tc>
        <w:tc>
          <w:tcPr>
            <w:tcW w:w="1304" w:type="dxa"/>
            <w:vAlign w:val="center"/>
          </w:tcPr>
          <w:p>
            <w:pPr>
              <w:pStyle w:val="单元格样式3"/>
            </w:pPr>
            <w:r>
              <w:t xml:space="preserve">60%</w:t>
            </w:r>
          </w:p>
        </w:tc>
        <w:tc>
          <w:tcPr>
            <w:tcW w:w="3119"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8618" w:type="dxa"/>
            <w:gridSpan w:val="6"/>
            <w:vAlign w:val="center"/>
          </w:tcPr>
          <w:p>
            <w:pPr>
              <w:pStyle w:val="单元格样式2"/>
            </w:pPr>
            <w:r>
              <w:t xml:space="preserve">1.街道机关各科室正常运行</w:t>
            </w:r>
          </w:p>
          <w:p>
            <w:pPr>
              <w:pStyle w:val="单元格样式2"/>
            </w:pPr>
            <w:r>
              <w:t xml:space="preserve">2.保证日常工作正常开展</w:t>
            </w:r>
          </w:p>
          <w:p>
            <w:pPr>
              <w:pStyle w:val="单元格样式2"/>
            </w:pPr>
            <w:r>
              <w:t xml:space="preserve">3.保证街道所辖社区正常运行</w:t>
            </w:r>
          </w:p>
        </w:tc>
      </w:tr>
    </w:tbl>
    <w:p>
      <w:pPr>
        <w:spacing w:before="0" w:after="0" w:line="2" w:lineRule="exact"/>
        <w:ind w:firstLine="0"/>
        <w:jc w:val="center"/>
        <w:outlineLvl w:val="9"/>
      </w:pPr>
      <w:r>
        <w:rPr>
          <w:rFonts w:ascii="方正书宋_GBK" w:eastAsia="方正书宋_GBK" w:hAnsi="方正书宋_GBK" w:cs="方正书宋_GBK"/>
          <w:color w:val="000000"/>
          <w:sz w:val="21"/>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1276"/>
        <w:gridCol w:w="1332"/>
        <w:gridCol w:w="2891"/>
        <w:gridCol w:w="1276"/>
        <w:gridCol w:w="1843"/>
      </w:tblGrid>
      <w:tr>
        <w:trPr>
          <w:trHeight w:val="397"/>
          <w:tblHeader/>
          <w:jc w:val="center"/>
        </w:trPr>
        <w:tc>
          <w:tcPr>
            <w:tcW w:w="1276" w:type="dxa"/>
            <w:vAlign w:val="center"/>
          </w:tcPr>
          <w:p>
            <w:pPr>
              <w:pStyle w:val="单元格样式1"/>
            </w:pPr>
            <w:r>
              <w:t xml:space="preserve">一级指标</w:t>
            </w:r>
          </w:p>
        </w:tc>
        <w:tc>
          <w:tcPr>
            <w:tcW w:w="1276" w:type="dxa"/>
            <w:vAlign w:val="center"/>
          </w:tcPr>
          <w:p>
            <w:pPr>
              <w:pStyle w:val="单元格样式1"/>
            </w:pPr>
            <w:r>
              <w:t xml:space="preserve">二级指标</w:t>
            </w:r>
          </w:p>
        </w:tc>
        <w:tc>
          <w:tcPr>
            <w:tcW w:w="1332" w:type="dxa"/>
            <w:vAlign w:val="center"/>
          </w:tcPr>
          <w:p>
            <w:pPr>
              <w:pStyle w:val="单元格样式1"/>
            </w:pPr>
            <w:r>
              <w:t xml:space="preserve">三级指标</w:t>
            </w:r>
          </w:p>
        </w:tc>
        <w:tc>
          <w:tcPr>
            <w:tcW w:w="2891" w:type="dxa"/>
            <w:vAlign w:val="center"/>
          </w:tcPr>
          <w:p>
            <w:pPr>
              <w:pStyle w:val="单元格样式1"/>
            </w:pPr>
            <w:r>
              <w:t xml:space="preserve">绩效指标描述</w:t>
            </w:r>
          </w:p>
        </w:tc>
        <w:tc>
          <w:tcPr>
            <w:tcW w:w="1276" w:type="dxa"/>
            <w:vAlign w:val="center"/>
          </w:tcPr>
          <w:p>
            <w:pPr>
              <w:pStyle w:val="单元格样式1"/>
            </w:pPr>
            <w:r>
              <w:t xml:space="preserve">指标值</w:t>
            </w:r>
          </w:p>
        </w:tc>
        <w:tc>
          <w:tcPr>
            <w:tcW w:w="1843" w:type="dxa"/>
            <w:vAlign w:val="center"/>
          </w:tcPr>
          <w:p>
            <w:pPr>
              <w:pStyle w:val="单元格样式1"/>
            </w:pPr>
            <w:r>
              <w:t xml:space="preserve">指标值确定依据</w:t>
            </w:r>
          </w:p>
        </w:tc>
      </w:tr>
      <w:tr>
        <w:trPr>
          <w:trHeight w:val="369"/>
          <w:jc w:val="center"/>
        </w:trPr>
        <w:tc>
          <w:tcPr>
            <w:tcW w:w="1276" w:type="dxa"/>
            <w:vMerge w:val="restart"/>
            <w:vAlign w:val="center"/>
          </w:tcPr>
          <w:p>
            <w:pPr>
              <w:pStyle w:val="单元格样式3"/>
            </w:pPr>
            <w:r>
              <w:t xml:space="preserve">产出指标</w:t>
            </w:r>
          </w:p>
        </w:tc>
        <w:tc>
          <w:tcPr>
            <w:tcW w:w="1276" w:type="dxa"/>
            <w:vAlign w:val="center"/>
          </w:tcPr>
          <w:p>
            <w:pPr>
              <w:pStyle w:val="单元格样式2"/>
            </w:pPr>
            <w:r>
              <w:t xml:space="preserve">数量指标</w:t>
            </w:r>
          </w:p>
        </w:tc>
        <w:tc>
          <w:tcPr>
            <w:tcW w:w="1332" w:type="dxa"/>
            <w:vAlign w:val="center"/>
          </w:tcPr>
          <w:p>
            <w:pPr>
              <w:pStyle w:val="单元格样式2"/>
            </w:pPr>
            <w:r>
              <w:t xml:space="preserve">工作开展次数</w:t>
            </w:r>
          </w:p>
        </w:tc>
        <w:tc>
          <w:tcPr>
            <w:tcW w:w="2891" w:type="dxa"/>
            <w:vAlign w:val="center"/>
          </w:tcPr>
          <w:p>
            <w:pPr>
              <w:pStyle w:val="单元格样式2"/>
            </w:pPr>
            <w:r>
              <w:t xml:space="preserve">工作开展次数</w:t>
            </w:r>
          </w:p>
        </w:tc>
        <w:tc>
          <w:tcPr>
            <w:tcW w:w="1276" w:type="dxa"/>
            <w:vAlign w:val="center"/>
          </w:tcPr>
          <w:p>
            <w:pPr>
              <w:pStyle w:val="单元格样式2"/>
            </w:pPr>
            <w:r>
              <w:t xml:space="preserve">≥500次</w:t>
            </w:r>
          </w:p>
        </w:tc>
        <w:tc>
          <w:tcPr>
            <w:tcW w:w="1843" w:type="dxa"/>
            <w:vAlign w:val="center"/>
          </w:tcPr>
          <w:p>
            <w:pPr>
              <w:pStyle w:val="单元格样式2"/>
            </w:pPr>
            <w:r>
              <w:t xml:space="preserve">单位年初工作安排</w:t>
            </w:r>
          </w:p>
        </w:tc>
      </w:tr>
      <w:tr>
        <w:trPr>
          <w:trHeight w:val="369"/>
          <w:jc w:val="center"/>
        </w:trPr>
        <w:tc>
          <w:tcPr>
            <w:tcW w:w="1276" w:type="dxa"/>
            <w:vMerge/>
            <w:vAlign w:val="center"/>
          </w:tcPr>
          <w:p>
            <w:pPr/>
          </w:p>
        </w:tc>
        <w:tc>
          <w:tcPr>
            <w:tcW w:w="1276" w:type="dxa"/>
            <w:vAlign w:val="center"/>
          </w:tcPr>
          <w:p>
            <w:pPr>
              <w:pStyle w:val="单元格样式2"/>
            </w:pPr>
            <w:r>
              <w:t xml:space="preserve">质量指标</w:t>
            </w:r>
          </w:p>
        </w:tc>
        <w:tc>
          <w:tcPr>
            <w:tcW w:w="1332" w:type="dxa"/>
            <w:vAlign w:val="center"/>
          </w:tcPr>
          <w:p>
            <w:pPr>
              <w:pStyle w:val="单元格样式2"/>
            </w:pPr>
            <w:r>
              <w:t xml:space="preserve">项目覆盖率</w:t>
            </w:r>
          </w:p>
        </w:tc>
        <w:tc>
          <w:tcPr>
            <w:tcW w:w="2891" w:type="dxa"/>
            <w:vAlign w:val="center"/>
          </w:tcPr>
          <w:p>
            <w:pPr>
              <w:pStyle w:val="单元格样式2"/>
            </w:pPr>
            <w:r>
              <w:t xml:space="preserve">覆盖率</w:t>
            </w:r>
          </w:p>
        </w:tc>
        <w:tc>
          <w:tcPr>
            <w:tcW w:w="1276" w:type="dxa"/>
            <w:vAlign w:val="center"/>
          </w:tcPr>
          <w:p>
            <w:pPr>
              <w:pStyle w:val="单元格样式2"/>
            </w:pPr>
            <w:r>
              <w:t xml:space="preserve">≥90%</w:t>
            </w:r>
          </w:p>
        </w:tc>
        <w:tc>
          <w:tcPr>
            <w:tcW w:w="1843" w:type="dxa"/>
            <w:vAlign w:val="center"/>
          </w:tcPr>
          <w:p>
            <w:pPr>
              <w:pStyle w:val="单元格样式2"/>
            </w:pPr>
            <w:r>
              <w:t xml:space="preserve">单位年初工作安排</w:t>
            </w:r>
          </w:p>
        </w:tc>
      </w:tr>
      <w:tr>
        <w:trPr>
          <w:trHeight w:val="369"/>
          <w:jc w:val="center"/>
        </w:trPr>
        <w:tc>
          <w:tcPr>
            <w:tcW w:w="1276" w:type="dxa"/>
            <w:vMerge/>
            <w:vAlign w:val="center"/>
          </w:tcPr>
          <w:p>
            <w:pPr/>
          </w:p>
        </w:tc>
        <w:tc>
          <w:tcPr>
            <w:tcW w:w="1276" w:type="dxa"/>
            <w:vAlign w:val="center"/>
          </w:tcPr>
          <w:p>
            <w:pPr>
              <w:pStyle w:val="单元格样式2"/>
            </w:pPr>
            <w:r>
              <w:t xml:space="preserve">时效指标</w:t>
            </w:r>
          </w:p>
        </w:tc>
        <w:tc>
          <w:tcPr>
            <w:tcW w:w="1332" w:type="dxa"/>
            <w:vAlign w:val="center"/>
          </w:tcPr>
          <w:p>
            <w:pPr>
              <w:pStyle w:val="单元格样式2"/>
            </w:pPr>
            <w:r>
              <w:t xml:space="preserve">项目完成时间</w:t>
            </w:r>
          </w:p>
        </w:tc>
        <w:tc>
          <w:tcPr>
            <w:tcW w:w="2891" w:type="dxa"/>
            <w:vAlign w:val="center"/>
          </w:tcPr>
          <w:p>
            <w:pPr>
              <w:pStyle w:val="单元格样式2"/>
            </w:pPr>
            <w:r>
              <w:t xml:space="preserve">项目完成时间</w:t>
            </w:r>
          </w:p>
        </w:tc>
        <w:tc>
          <w:tcPr>
            <w:tcW w:w="1276" w:type="dxa"/>
            <w:vAlign w:val="center"/>
          </w:tcPr>
          <w:p>
            <w:pPr>
              <w:pStyle w:val="单元格样式2"/>
            </w:pPr>
            <w:r>
              <w:t xml:space="preserve">≥1年</w:t>
            </w:r>
          </w:p>
        </w:tc>
        <w:tc>
          <w:tcPr>
            <w:tcW w:w="1843" w:type="dxa"/>
            <w:vAlign w:val="center"/>
          </w:tcPr>
          <w:p>
            <w:pPr>
              <w:pStyle w:val="单元格样式2"/>
            </w:pPr>
            <w:r>
              <w:t xml:space="preserve">单位年初工作安排</w:t>
            </w:r>
          </w:p>
        </w:tc>
      </w:tr>
      <w:tr>
        <w:trPr>
          <w:trHeight w:val="369"/>
          <w:jc w:val="center"/>
        </w:trPr>
        <w:tc>
          <w:tcPr>
            <w:tcW w:w="1276" w:type="dxa"/>
            <w:vMerge/>
            <w:vAlign w:val="center"/>
          </w:tcPr>
          <w:p>
            <w:pPr/>
          </w:p>
        </w:tc>
        <w:tc>
          <w:tcPr>
            <w:tcW w:w="1276" w:type="dxa"/>
            <w:vAlign w:val="center"/>
          </w:tcPr>
          <w:p>
            <w:pPr>
              <w:pStyle w:val="单元格样式2"/>
            </w:pPr>
            <w:r>
              <w:t xml:space="preserve">成本指标</w:t>
            </w:r>
          </w:p>
        </w:tc>
        <w:tc>
          <w:tcPr>
            <w:tcW w:w="1332" w:type="dxa"/>
            <w:vAlign w:val="center"/>
          </w:tcPr>
          <w:p>
            <w:pPr>
              <w:pStyle w:val="单元格样式2"/>
            </w:pPr>
            <w:r>
              <w:t xml:space="preserve">资金成本</w:t>
            </w:r>
          </w:p>
        </w:tc>
        <w:tc>
          <w:tcPr>
            <w:tcW w:w="2891" w:type="dxa"/>
            <w:vAlign w:val="center"/>
          </w:tcPr>
          <w:p>
            <w:pPr>
              <w:pStyle w:val="单元格样式2"/>
            </w:pPr>
            <w:r>
              <w:t xml:space="preserve">资金成本</w:t>
            </w:r>
          </w:p>
        </w:tc>
        <w:tc>
          <w:tcPr>
            <w:tcW w:w="1276" w:type="dxa"/>
            <w:vAlign w:val="center"/>
          </w:tcPr>
          <w:p>
            <w:pPr>
              <w:pStyle w:val="单元格样式2"/>
            </w:pPr>
            <w:r>
              <w:t xml:space="preserve">≤305.48万元</w:t>
            </w:r>
          </w:p>
        </w:tc>
        <w:tc>
          <w:tcPr>
            <w:tcW w:w="1843" w:type="dxa"/>
            <w:vAlign w:val="center"/>
          </w:tcPr>
          <w:p>
            <w:pPr>
              <w:pStyle w:val="单元格样式2"/>
            </w:pPr>
            <w:r>
              <w:t xml:space="preserve">单位年初工作安排</w:t>
            </w:r>
          </w:p>
        </w:tc>
      </w:tr>
      <w:tr>
        <w:trPr>
          <w:trHeight w:val="369"/>
          <w:jc w:val="center"/>
        </w:trPr>
        <w:tc>
          <w:tcPr>
            <w:tcW w:w="1276" w:type="dxa"/>
            <w:vMerge w:val="restart"/>
            <w:vAlign w:val="center"/>
          </w:tcPr>
          <w:p>
            <w:pPr>
              <w:pStyle w:val="单元格样式3"/>
            </w:pPr>
            <w:r>
              <w:t xml:space="preserve">效益指标</w:t>
            </w:r>
          </w:p>
        </w:tc>
        <w:tc>
          <w:tcPr>
            <w:tcW w:w="1276" w:type="dxa"/>
            <w:vAlign w:val="center"/>
          </w:tcPr>
          <w:p>
            <w:pPr>
              <w:pStyle w:val="单元格样式2"/>
            </w:pPr>
            <w:r>
              <w:t xml:space="preserve">经济效益指标</w:t>
            </w:r>
          </w:p>
        </w:tc>
        <w:tc>
          <w:tcPr>
            <w:tcW w:w="1332" w:type="dxa"/>
            <w:vAlign w:val="center"/>
          </w:tcPr>
          <w:p>
            <w:pPr>
              <w:pStyle w:val="单元格样式2"/>
            </w:pPr>
            <w:r>
              <w:t xml:space="preserve">公共服务水平提升情况</w:t>
            </w:r>
          </w:p>
        </w:tc>
        <w:tc>
          <w:tcPr>
            <w:tcW w:w="2891" w:type="dxa"/>
            <w:vAlign w:val="center"/>
          </w:tcPr>
          <w:p>
            <w:pPr>
              <w:pStyle w:val="单元格样式2"/>
            </w:pPr>
            <w:r>
              <w:t xml:space="preserve">公共服务水平提升情况</w:t>
            </w:r>
          </w:p>
        </w:tc>
        <w:tc>
          <w:tcPr>
            <w:tcW w:w="1276" w:type="dxa"/>
            <w:vAlign w:val="center"/>
          </w:tcPr>
          <w:p>
            <w:pPr>
              <w:pStyle w:val="单元格样式2"/>
            </w:pPr>
            <w:r>
              <w:t xml:space="preserve">≥90%</w:t>
            </w:r>
          </w:p>
        </w:tc>
        <w:tc>
          <w:tcPr>
            <w:tcW w:w="1843" w:type="dxa"/>
            <w:vAlign w:val="center"/>
          </w:tcPr>
          <w:p>
            <w:pPr>
              <w:pStyle w:val="单元格样式2"/>
            </w:pPr>
            <w:r>
              <w:t xml:space="preserve">单位年初工作安排</w:t>
            </w:r>
          </w:p>
        </w:tc>
      </w:tr>
      <w:tr>
        <w:trPr>
          <w:trHeight w:val="369"/>
          <w:jc w:val="center"/>
        </w:trPr>
        <w:tc>
          <w:tcPr>
            <w:tcW w:w="1276" w:type="dxa"/>
            <w:vMerge/>
            <w:vAlign w:val="center"/>
          </w:tcPr>
          <w:p>
            <w:pPr/>
          </w:p>
        </w:tc>
        <w:tc>
          <w:tcPr>
            <w:tcW w:w="1276" w:type="dxa"/>
            <w:vAlign w:val="center"/>
          </w:tcPr>
          <w:p>
            <w:pPr>
              <w:pStyle w:val="单元格样式2"/>
            </w:pPr>
            <w:r>
              <w:t xml:space="preserve">社会效益指标</w:t>
            </w:r>
          </w:p>
        </w:tc>
        <w:tc>
          <w:tcPr>
            <w:tcW w:w="1332" w:type="dxa"/>
            <w:vAlign w:val="center"/>
          </w:tcPr>
          <w:p>
            <w:pPr>
              <w:pStyle w:val="单元格样式2"/>
            </w:pPr>
            <w:r>
              <w:t xml:space="preserve">提供优质服务</w:t>
            </w:r>
          </w:p>
        </w:tc>
        <w:tc>
          <w:tcPr>
            <w:tcW w:w="2891" w:type="dxa"/>
            <w:vAlign w:val="center"/>
          </w:tcPr>
          <w:p>
            <w:pPr>
              <w:pStyle w:val="单元格样式2"/>
            </w:pPr>
            <w:r>
              <w:t xml:space="preserve">提供优质服务</w:t>
            </w:r>
          </w:p>
        </w:tc>
        <w:tc>
          <w:tcPr>
            <w:tcW w:w="1276" w:type="dxa"/>
            <w:vAlign w:val="center"/>
          </w:tcPr>
          <w:p>
            <w:pPr>
              <w:pStyle w:val="单元格样式2"/>
            </w:pPr>
            <w:r>
              <w:t xml:space="preserve">≥95%</w:t>
            </w:r>
          </w:p>
        </w:tc>
        <w:tc>
          <w:tcPr>
            <w:tcW w:w="1843" w:type="dxa"/>
            <w:vAlign w:val="center"/>
          </w:tcPr>
          <w:p>
            <w:pPr>
              <w:pStyle w:val="单元格样式2"/>
            </w:pPr>
            <w:r>
              <w:t xml:space="preserve">单位年初工作安排</w:t>
            </w:r>
          </w:p>
        </w:tc>
      </w:tr>
      <w:tr>
        <w:trPr>
          <w:trHeight w:val="369"/>
          <w:jc w:val="center"/>
        </w:trPr>
        <w:tc>
          <w:tcPr>
            <w:tcW w:w="1276" w:type="dxa"/>
            <w:vMerge/>
            <w:vAlign w:val="center"/>
          </w:tcPr>
          <w:p>
            <w:pPr/>
          </w:p>
        </w:tc>
        <w:tc>
          <w:tcPr>
            <w:tcW w:w="1276" w:type="dxa"/>
            <w:vAlign w:val="center"/>
          </w:tcPr>
          <w:p>
            <w:pPr>
              <w:pStyle w:val="单元格样式2"/>
            </w:pPr>
            <w:r>
              <w:t xml:space="preserve">生态效益指标</w:t>
            </w:r>
          </w:p>
        </w:tc>
        <w:tc>
          <w:tcPr>
            <w:tcW w:w="1332" w:type="dxa"/>
            <w:vAlign w:val="center"/>
          </w:tcPr>
          <w:p>
            <w:pPr>
              <w:pStyle w:val="单元格样式2"/>
            </w:pPr>
            <w:r>
              <w:t xml:space="preserve">生态影响</w:t>
            </w:r>
          </w:p>
        </w:tc>
        <w:tc>
          <w:tcPr>
            <w:tcW w:w="2891" w:type="dxa"/>
            <w:vAlign w:val="center"/>
          </w:tcPr>
          <w:p>
            <w:pPr>
              <w:pStyle w:val="单元格样式2"/>
            </w:pPr>
            <w:r>
              <w:t xml:space="preserve">生态影响</w:t>
            </w:r>
          </w:p>
        </w:tc>
        <w:tc>
          <w:tcPr>
            <w:tcW w:w="1276" w:type="dxa"/>
            <w:vAlign w:val="center"/>
          </w:tcPr>
          <w:p>
            <w:pPr>
              <w:pStyle w:val="单元格样式2"/>
            </w:pPr>
            <w:r>
              <w:t xml:space="preserve">≥95%</w:t>
            </w:r>
          </w:p>
        </w:tc>
        <w:tc>
          <w:tcPr>
            <w:tcW w:w="1843" w:type="dxa"/>
            <w:vAlign w:val="center"/>
          </w:tcPr>
          <w:p>
            <w:pPr>
              <w:pStyle w:val="单元格样式2"/>
            </w:pPr>
            <w:r>
              <w:t xml:space="preserve">单位年初工作安排</w:t>
            </w:r>
          </w:p>
        </w:tc>
      </w:tr>
      <w:tr>
        <w:trPr>
          <w:trHeight w:val="369"/>
          <w:jc w:val="center"/>
        </w:trPr>
        <w:tc>
          <w:tcPr>
            <w:tcW w:w="1276" w:type="dxa"/>
            <w:vMerge/>
            <w:vAlign w:val="center"/>
          </w:tcPr>
          <w:p>
            <w:pPr/>
          </w:p>
        </w:tc>
        <w:tc>
          <w:tcPr>
            <w:tcW w:w="1276" w:type="dxa"/>
            <w:vAlign w:val="center"/>
          </w:tcPr>
          <w:p>
            <w:pPr>
              <w:pStyle w:val="单元格样式2"/>
            </w:pPr>
            <w:r>
              <w:t xml:space="preserve">可持续影响指标</w:t>
            </w:r>
          </w:p>
        </w:tc>
        <w:tc>
          <w:tcPr>
            <w:tcW w:w="1332" w:type="dxa"/>
            <w:vAlign w:val="center"/>
          </w:tcPr>
          <w:p>
            <w:pPr>
              <w:pStyle w:val="单元格样式2"/>
            </w:pPr>
            <w:r>
              <w:t xml:space="preserve">维护社会稳定</w:t>
            </w:r>
          </w:p>
        </w:tc>
        <w:tc>
          <w:tcPr>
            <w:tcW w:w="2891" w:type="dxa"/>
            <w:vAlign w:val="center"/>
          </w:tcPr>
          <w:p>
            <w:pPr>
              <w:pStyle w:val="单元格样式2"/>
            </w:pPr>
            <w:r>
              <w:t xml:space="preserve">维护社会稳定</w:t>
            </w:r>
          </w:p>
        </w:tc>
        <w:tc>
          <w:tcPr>
            <w:tcW w:w="1276" w:type="dxa"/>
            <w:vAlign w:val="center"/>
          </w:tcPr>
          <w:p>
            <w:pPr>
              <w:pStyle w:val="单元格样式2"/>
            </w:pPr>
            <w:r>
              <w:t xml:space="preserve">≥95%</w:t>
            </w:r>
          </w:p>
        </w:tc>
        <w:tc>
          <w:tcPr>
            <w:tcW w:w="1843" w:type="dxa"/>
            <w:vAlign w:val="center"/>
          </w:tcPr>
          <w:p>
            <w:pPr>
              <w:pStyle w:val="单元格样式2"/>
            </w:pPr>
            <w:r>
              <w:t xml:space="preserve">单位年初工作安排</w:t>
            </w:r>
          </w:p>
        </w:tc>
      </w:tr>
      <w:tr>
        <w:trPr>
          <w:trHeight w:val="369"/>
          <w:jc w:val="center"/>
        </w:trPr>
        <w:tc>
          <w:tcPr>
            <w:tcW w:w="1276" w:type="dxa"/>
            <w:vAlign w:val="center"/>
          </w:tcPr>
          <w:p>
            <w:pPr>
              <w:pStyle w:val="单元格样式3"/>
            </w:pPr>
            <w:r>
              <w:t xml:space="preserve">满意度指标</w:t>
            </w:r>
          </w:p>
        </w:tc>
        <w:tc>
          <w:tcPr>
            <w:tcW w:w="1276" w:type="dxa"/>
            <w:vAlign w:val="center"/>
          </w:tcPr>
          <w:p>
            <w:pPr>
              <w:pStyle w:val="单元格样式2"/>
            </w:pPr>
            <w:r>
              <w:t xml:space="preserve">服务对象满意度指标</w:t>
            </w:r>
          </w:p>
        </w:tc>
        <w:tc>
          <w:tcPr>
            <w:tcW w:w="1332" w:type="dxa"/>
            <w:vAlign w:val="center"/>
          </w:tcPr>
          <w:p>
            <w:pPr>
              <w:pStyle w:val="单元格样式2"/>
            </w:pPr>
            <w:r>
              <w:t xml:space="preserve">社会公众或服务对象满意度</w:t>
            </w:r>
          </w:p>
        </w:tc>
        <w:tc>
          <w:tcPr>
            <w:tcW w:w="2891" w:type="dxa"/>
            <w:vAlign w:val="center"/>
          </w:tcPr>
          <w:p>
            <w:pPr>
              <w:pStyle w:val="单元格样式2"/>
            </w:pPr>
            <w:r>
              <w:t xml:space="preserve">社会公众或服务对象满意度</w:t>
            </w:r>
          </w:p>
        </w:tc>
        <w:tc>
          <w:tcPr>
            <w:tcW w:w="1276" w:type="dxa"/>
            <w:vAlign w:val="center"/>
          </w:tcPr>
          <w:p>
            <w:pPr>
              <w:pStyle w:val="单元格样式2"/>
            </w:pPr>
            <w:r>
              <w:t xml:space="preserve">≥95%</w:t>
            </w:r>
          </w:p>
        </w:tc>
        <w:tc>
          <w:tcPr>
            <w:tcW w:w="1843" w:type="dxa"/>
            <w:vAlign w:val="center"/>
          </w:tcPr>
          <w:p>
            <w:pPr>
              <w:pStyle w:val="单元格样式2"/>
            </w:pPr>
            <w:r>
              <w:t xml:space="preserve">单位年初工作安排</w:t>
            </w:r>
          </w:p>
        </w:tc>
      </w:tr>
    </w:tbl>
    <w:p>
      <w:pPr/>
    </w:p>
    <w:sectPr>
      <w:type w:val="nextPage"/>
      <w:pgSz w:w="11900" w:h="16840" w:orient="portrait"/>
      <w:pgMar w:top="1984" w:right="1304" w:bottom="1134" w:left="1304"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b w:val="0"/>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TOC2">
    <w:name w:val="TOC 2"/>
    <w:basedOn w:val="Normal"/>
    <w:qFormat/>
    <w:pPr>
      <w:ind w:left="240"/>
    </w:pPr>
    <w:rPr/>
  </w:style>
  <w:style w:type="paragraph" w:styleId="TOC4">
    <w:name w:val="TOC 4"/>
    <w:basedOn w:val="Normal"/>
    <w:qFormat/>
    <w:pPr>
      <w:ind w:left="720"/>
    </w:pPr>
    <w:rPr/>
  </w:style>
  <w:style w:type="paragraph" w:styleId="TOC1">
    <w:name w:val="TOC 1"/>
    <w:basedOn w:val="Normal"/>
    <w:qFormat/>
    <w:pPr>
      <w:spacing w:before="120" w:line="240"/>
      <w:ind w:firstLine="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11</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2025-02-25T09:27:57Z</dcterms:created>
  <dcterms:modified xsi:type="dcterms:W3CDTF">2025-02-25T09:27:57Z</dcterms:modified>
</cp:coreProperties>
</file>