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4"/>
          <w:szCs w:val="44"/>
        </w:rPr>
      </w:pPr>
      <w:bookmarkStart w:id="0" w:name="_GoBack"/>
      <w:bookmarkEnd w:id="0"/>
      <w:r>
        <w:rPr>
          <w:rFonts w:hint="eastAsia" w:ascii="方正小标宋_GBK" w:hAnsi="方正小标宋_GBK" w:eastAsia="方正小标宋_GBK" w:cs="方正小标宋_GBK"/>
          <w:sz w:val="44"/>
          <w:szCs w:val="44"/>
        </w:rPr>
        <w:t>非营利组织免税资格认定办事指南</w:t>
      </w:r>
    </w:p>
    <w:p>
      <w:pPr>
        <w:rPr>
          <w:rFonts w:ascii="黑体" w:hAnsi="黑体" w:eastAsia="黑体" w:cs="黑体"/>
          <w:sz w:val="32"/>
          <w:szCs w:val="32"/>
        </w:rPr>
      </w:pPr>
      <w:r>
        <w:rPr>
          <w:rFonts w:hint="eastAsia" w:ascii="黑体" w:hAnsi="黑体" w:eastAsia="黑体" w:cs="黑体"/>
          <w:sz w:val="32"/>
          <w:szCs w:val="32"/>
        </w:rPr>
        <w:t xml:space="preserve">    </w:t>
      </w:r>
    </w:p>
    <w:p>
      <w:pPr>
        <w:ind w:firstLine="640" w:firstLineChars="200"/>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非营利组织免税资格认定</w:t>
      </w:r>
    </w:p>
    <w:p>
      <w:pPr>
        <w:ind w:firstLine="640"/>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唐山市曹妃甸区财政局</w:t>
      </w:r>
    </w:p>
    <w:p>
      <w:pPr>
        <w:ind w:firstLine="640"/>
        <w:rPr>
          <w:rFonts w:ascii="仿宋" w:hAnsi="仿宋" w:eastAsia="仿宋" w:cs="仿宋"/>
          <w:sz w:val="32"/>
          <w:szCs w:val="32"/>
        </w:rPr>
      </w:pPr>
      <w:r>
        <w:rPr>
          <w:rFonts w:hint="eastAsia" w:ascii="仿宋" w:hAnsi="仿宋" w:eastAsia="仿宋" w:cs="仿宋"/>
          <w:sz w:val="32"/>
          <w:szCs w:val="32"/>
        </w:rPr>
        <w:t xml:space="preserve">              唐山市曹妃甸区税务局</w:t>
      </w:r>
    </w:p>
    <w:p>
      <w:pPr>
        <w:ind w:firstLine="640" w:firstLineChars="200"/>
        <w:rPr>
          <w:rFonts w:ascii="黑体" w:hAnsi="黑体" w:eastAsia="黑体" w:cs="黑体"/>
          <w:sz w:val="32"/>
          <w:szCs w:val="32"/>
        </w:rPr>
      </w:pPr>
      <w:r>
        <w:rPr>
          <w:rFonts w:hint="eastAsia" w:ascii="黑体" w:hAnsi="黑体" w:eastAsia="黑体" w:cs="黑体"/>
          <w:sz w:val="32"/>
          <w:szCs w:val="32"/>
        </w:rPr>
        <w:t>三、设定依据</w:t>
      </w:r>
    </w:p>
    <w:p>
      <w:pPr>
        <w:spacing w:line="570" w:lineRule="exact"/>
        <w:ind w:firstLine="640" w:firstLineChars="200"/>
        <w:rPr>
          <w:rFonts w:eastAsia="方正仿宋_GBK"/>
          <w:sz w:val="32"/>
          <w:szCs w:val="32"/>
        </w:rPr>
      </w:pPr>
      <w:r>
        <w:rPr>
          <w:rFonts w:hint="eastAsia" w:eastAsia="方正仿宋_GBK"/>
          <w:sz w:val="32"/>
          <w:szCs w:val="32"/>
        </w:rPr>
        <w:t>1.</w:t>
      </w:r>
      <w:r>
        <w:rPr>
          <w:rFonts w:eastAsia="方正仿宋_GBK"/>
          <w:sz w:val="32"/>
          <w:szCs w:val="32"/>
        </w:rPr>
        <w:t>《中华人民共和国企业所得税法》第二十六条</w:t>
      </w:r>
    </w:p>
    <w:p>
      <w:pPr>
        <w:spacing w:line="570" w:lineRule="exact"/>
        <w:ind w:firstLine="640" w:firstLineChars="200"/>
        <w:rPr>
          <w:rFonts w:eastAsia="方正仿宋_GBK"/>
          <w:sz w:val="32"/>
          <w:szCs w:val="32"/>
        </w:rPr>
      </w:pPr>
      <w:r>
        <w:rPr>
          <w:rFonts w:hint="eastAsia" w:eastAsia="方正仿宋_GBK"/>
          <w:sz w:val="32"/>
          <w:szCs w:val="32"/>
        </w:rPr>
        <w:t>2.《</w:t>
      </w:r>
      <w:r>
        <w:rPr>
          <w:rFonts w:eastAsia="方正仿宋_GBK"/>
          <w:sz w:val="32"/>
          <w:szCs w:val="32"/>
        </w:rPr>
        <w:t>中华人民共和国企业所得税法实施条例》第八十四条</w:t>
      </w:r>
    </w:p>
    <w:p>
      <w:pPr>
        <w:spacing w:line="570" w:lineRule="exact"/>
        <w:ind w:firstLine="640" w:firstLineChars="200"/>
        <w:rPr>
          <w:rFonts w:eastAsia="方正仿宋_GBK"/>
          <w:sz w:val="32"/>
          <w:szCs w:val="32"/>
        </w:rPr>
      </w:pPr>
      <w:r>
        <w:rPr>
          <w:rFonts w:hint="eastAsia" w:eastAsia="方正仿宋_GBK"/>
          <w:sz w:val="32"/>
          <w:szCs w:val="32"/>
        </w:rPr>
        <w:t>3.</w:t>
      </w:r>
      <w:r>
        <w:rPr>
          <w:rFonts w:eastAsia="方正仿宋_GBK"/>
          <w:sz w:val="32"/>
          <w:szCs w:val="32"/>
        </w:rPr>
        <w:t>《财政部 税务总局关于非营利组织免税资格认定管理有关问题的通知》（财税[2018]13号）</w:t>
      </w:r>
    </w:p>
    <w:p>
      <w:pPr>
        <w:pStyle w:val="6"/>
        <w:spacing w:line="560" w:lineRule="exact"/>
        <w:ind w:left="720" w:firstLine="0" w:firstLineChars="0"/>
        <w:rPr>
          <w:rFonts w:ascii="黑体" w:hAnsi="黑体" w:eastAsia="黑体" w:cs="黑体"/>
          <w:sz w:val="32"/>
          <w:szCs w:val="32"/>
        </w:rPr>
      </w:pPr>
      <w:r>
        <w:rPr>
          <w:rFonts w:hint="eastAsia" w:ascii="黑体" w:hAnsi="黑体" w:eastAsia="黑体" w:cs="黑体"/>
          <w:sz w:val="32"/>
          <w:szCs w:val="32"/>
        </w:rPr>
        <w:t>四、申请条件</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（一）申请条件的设定依据</w:t>
      </w:r>
    </w:p>
    <w:p>
      <w:pPr>
        <w:spacing w:line="570" w:lineRule="exact"/>
        <w:ind w:firstLine="640" w:firstLineChars="200"/>
        <w:rPr>
          <w:rFonts w:eastAsia="方正仿宋_GBK"/>
          <w:sz w:val="32"/>
          <w:szCs w:val="32"/>
        </w:rPr>
      </w:pPr>
      <w:r>
        <w:rPr>
          <w:rFonts w:eastAsia="方正仿宋_GBK"/>
          <w:sz w:val="32"/>
          <w:szCs w:val="32"/>
        </w:rPr>
        <w:t>《财政部 税务总局关于非营利组织免税资格认定管理有关问题的通知》（财税[2018]13号）</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（二）具体条件要求</w:t>
      </w:r>
    </w:p>
    <w:p>
      <w:pPr>
        <w:ind w:firstLine="640" w:firstLineChars="200"/>
        <w:rPr>
          <w:rFonts w:ascii="仿宋" w:hAnsi="仿宋" w:eastAsia="仿宋" w:cs="仿宋"/>
          <w:bCs/>
          <w:sz w:val="32"/>
          <w:szCs w:val="32"/>
        </w:rPr>
      </w:pPr>
      <w:r>
        <w:rPr>
          <w:rFonts w:hint="eastAsia" w:ascii="仿宋" w:hAnsi="仿宋" w:eastAsia="仿宋" w:cs="仿宋"/>
          <w:bCs/>
          <w:sz w:val="32"/>
          <w:szCs w:val="32"/>
        </w:rPr>
        <w:t>依据本通知认定的符合条件的非营利组织，必须同时满足以下条件:</w:t>
      </w:r>
    </w:p>
    <w:p>
      <w:pPr>
        <w:ind w:firstLine="640" w:firstLineChars="200"/>
        <w:rPr>
          <w:rFonts w:ascii="仿宋" w:hAnsi="仿宋" w:eastAsia="仿宋" w:cs="仿宋"/>
          <w:bCs/>
          <w:sz w:val="32"/>
          <w:szCs w:val="32"/>
        </w:rPr>
      </w:pPr>
      <w:r>
        <w:rPr>
          <w:rFonts w:hint="eastAsia" w:ascii="仿宋" w:hAnsi="仿宋" w:eastAsia="仿宋" w:cs="仿宋"/>
          <w:bCs/>
          <w:sz w:val="32"/>
          <w:szCs w:val="32"/>
        </w:rPr>
        <w:t>(一)依照国家有关法律法规设立或登记的事业单位、社会团体、基金会、社会服务机构、宗教活动场所、宗教院校以及财政部、税务总局认定的其他非营利组织;</w:t>
      </w:r>
    </w:p>
    <w:p>
      <w:pPr>
        <w:ind w:firstLine="640" w:firstLineChars="200"/>
        <w:rPr>
          <w:rFonts w:ascii="仿宋" w:hAnsi="仿宋" w:eastAsia="仿宋" w:cs="仿宋"/>
          <w:bCs/>
          <w:sz w:val="32"/>
          <w:szCs w:val="32"/>
        </w:rPr>
      </w:pPr>
      <w:r>
        <w:rPr>
          <w:rFonts w:hint="eastAsia" w:ascii="仿宋" w:hAnsi="仿宋" w:eastAsia="仿宋" w:cs="仿宋"/>
          <w:bCs/>
          <w:sz w:val="32"/>
          <w:szCs w:val="32"/>
        </w:rPr>
        <w:t>(二)从事公益性或者非营利性活动;</w:t>
      </w:r>
    </w:p>
    <w:p>
      <w:pPr>
        <w:ind w:firstLine="640" w:firstLineChars="200"/>
        <w:rPr>
          <w:rFonts w:ascii="仿宋" w:hAnsi="仿宋" w:eastAsia="仿宋" w:cs="仿宋"/>
          <w:bCs/>
          <w:sz w:val="32"/>
          <w:szCs w:val="32"/>
        </w:rPr>
      </w:pPr>
      <w:r>
        <w:rPr>
          <w:rFonts w:hint="eastAsia" w:ascii="仿宋" w:hAnsi="仿宋" w:eastAsia="仿宋" w:cs="仿宋"/>
          <w:bCs/>
          <w:sz w:val="32"/>
          <w:szCs w:val="32"/>
        </w:rPr>
        <w:t>(三)取得的收入除用于与该组织有关的、合理的支出外，全部用于登记核定或者章程规定的公益性或者非营利性事业;</w:t>
      </w:r>
    </w:p>
    <w:p>
      <w:pPr>
        <w:ind w:firstLine="640" w:firstLineChars="200"/>
        <w:rPr>
          <w:rFonts w:ascii="仿宋" w:hAnsi="仿宋" w:eastAsia="仿宋" w:cs="仿宋"/>
          <w:bCs/>
          <w:sz w:val="32"/>
          <w:szCs w:val="32"/>
        </w:rPr>
      </w:pPr>
      <w:r>
        <w:rPr>
          <w:rFonts w:hint="eastAsia" w:ascii="仿宋" w:hAnsi="仿宋" w:eastAsia="仿宋" w:cs="仿宋"/>
          <w:bCs/>
          <w:sz w:val="32"/>
          <w:szCs w:val="32"/>
        </w:rPr>
        <w:t>(四)财产及其孳息不用于分配，但不包括合理的工资薪金支出;</w:t>
      </w:r>
    </w:p>
    <w:p>
      <w:pPr>
        <w:ind w:firstLine="640" w:firstLineChars="200"/>
        <w:rPr>
          <w:rFonts w:ascii="仿宋" w:hAnsi="仿宋" w:eastAsia="仿宋" w:cs="仿宋"/>
          <w:bCs/>
          <w:sz w:val="32"/>
          <w:szCs w:val="32"/>
        </w:rPr>
      </w:pPr>
      <w:r>
        <w:rPr>
          <w:rFonts w:hint="eastAsia" w:ascii="仿宋" w:hAnsi="仿宋" w:eastAsia="仿宋" w:cs="仿宋"/>
          <w:bCs/>
          <w:sz w:val="32"/>
          <w:szCs w:val="32"/>
        </w:rPr>
        <w:t>(五)按照登记核定或者章程规定，该组织注销后的剩余财产用于公益性或者非营利性目的，或者由登记管理机关采取转赠给与该组织性质、宗旨相同的组织等处置方式，并向社会公告;</w:t>
      </w:r>
    </w:p>
    <w:p>
      <w:pPr>
        <w:ind w:firstLine="640" w:firstLineChars="200"/>
        <w:rPr>
          <w:rFonts w:ascii="仿宋" w:hAnsi="仿宋" w:eastAsia="仿宋" w:cs="仿宋"/>
          <w:bCs/>
          <w:sz w:val="32"/>
          <w:szCs w:val="32"/>
        </w:rPr>
      </w:pPr>
      <w:r>
        <w:rPr>
          <w:rFonts w:hint="eastAsia" w:ascii="仿宋" w:hAnsi="仿宋" w:eastAsia="仿宋" w:cs="仿宋"/>
          <w:bCs/>
          <w:sz w:val="32"/>
          <w:szCs w:val="32"/>
        </w:rPr>
        <w:t>(六)投入人对投入该组织的财产不保留或者享有任何财产权利，本款所称投入人是指除各级人民政府及其部门外的法人、自然人和其他组织;</w:t>
      </w:r>
    </w:p>
    <w:p>
      <w:pPr>
        <w:ind w:firstLine="640" w:firstLineChars="200"/>
        <w:rPr>
          <w:rFonts w:ascii="仿宋" w:hAnsi="仿宋" w:eastAsia="仿宋" w:cs="仿宋"/>
          <w:bCs/>
          <w:sz w:val="32"/>
          <w:szCs w:val="32"/>
        </w:rPr>
      </w:pPr>
      <w:r>
        <w:rPr>
          <w:rFonts w:hint="eastAsia" w:ascii="仿宋" w:hAnsi="仿宋" w:eastAsia="仿宋" w:cs="仿宋"/>
          <w:bCs/>
          <w:sz w:val="32"/>
          <w:szCs w:val="32"/>
        </w:rPr>
        <w:t>(七)工作人员工资福利开支控制在规定的比例内，不变相分配该组织的财产，其中:工作人员平均工资薪金水平不得超过税务登记所在地的地市级(含地市级)以上地区的同行业同类组织平均工资水平的两倍，工作人员福利按照国家有关规定执行;</w:t>
      </w:r>
    </w:p>
    <w:p>
      <w:pPr>
        <w:ind w:firstLine="640" w:firstLineChars="200"/>
        <w:rPr>
          <w:rFonts w:ascii="仿宋" w:hAnsi="仿宋" w:eastAsia="仿宋" w:cs="仿宋"/>
          <w:bCs/>
          <w:sz w:val="32"/>
          <w:szCs w:val="32"/>
        </w:rPr>
      </w:pPr>
      <w:r>
        <w:rPr>
          <w:rFonts w:hint="eastAsia" w:ascii="仿宋" w:hAnsi="仿宋" w:eastAsia="仿宋" w:cs="仿宋"/>
          <w:bCs/>
          <w:sz w:val="32"/>
          <w:szCs w:val="32"/>
        </w:rPr>
        <w:t>(八)对取得的应纳税收入及其有关的成本、费用、损失应与免税收入及其有关的成本、费用、损失分别核算。</w:t>
      </w:r>
    </w:p>
    <w:p>
      <w:pPr>
        <w:ind w:firstLine="640" w:firstLineChars="200"/>
        <w:rPr>
          <w:rFonts w:ascii="黑体" w:hAnsi="黑体" w:eastAsia="黑体" w:cs="黑体"/>
          <w:sz w:val="32"/>
          <w:szCs w:val="32"/>
        </w:rPr>
      </w:pPr>
      <w:r>
        <w:rPr>
          <w:rFonts w:hint="eastAsia" w:ascii="黑体" w:hAnsi="黑体" w:eastAsia="黑体" w:cs="黑体"/>
          <w:sz w:val="32"/>
          <w:szCs w:val="32"/>
        </w:rPr>
        <w:t>五、申请材料</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（一）申请要件的设定依据</w:t>
      </w:r>
    </w:p>
    <w:p>
      <w:pPr>
        <w:spacing w:line="570" w:lineRule="exact"/>
        <w:ind w:firstLine="640" w:firstLineChars="200"/>
        <w:rPr>
          <w:rFonts w:ascii="仿宋" w:hAnsi="仿宋" w:eastAsia="仿宋" w:cs="仿宋"/>
          <w:bCs/>
          <w:sz w:val="32"/>
          <w:szCs w:val="32"/>
        </w:rPr>
      </w:pPr>
      <w:r>
        <w:rPr>
          <w:rFonts w:eastAsia="方正仿宋_GBK"/>
          <w:sz w:val="32"/>
          <w:szCs w:val="32"/>
        </w:rPr>
        <w:t>《财政部 税务总局关于非营利组织免税资格认定管理有关问题的通知》（财税[2018]13号）</w:t>
      </w:r>
    </w:p>
    <w:p>
      <w:pPr>
        <w:pStyle w:val="6"/>
        <w:numPr>
          <w:ilvl w:val="0"/>
          <w:numId w:val="1"/>
        </w:numPr>
        <w:spacing w:after="0" w:line="560" w:lineRule="exact"/>
        <w:ind w:firstLine="643"/>
        <w:rPr>
          <w:rFonts w:ascii="楷体" w:hAnsi="楷体" w:eastAsia="楷体" w:cs="楷体"/>
          <w:b/>
          <w:bCs/>
          <w:sz w:val="32"/>
          <w:szCs w:val="32"/>
        </w:rPr>
      </w:pPr>
      <w:r>
        <w:rPr>
          <w:rFonts w:hint="eastAsia" w:ascii="楷体" w:hAnsi="楷体" w:eastAsia="楷体" w:cs="楷体"/>
          <w:b/>
          <w:bCs/>
          <w:sz w:val="32"/>
          <w:szCs w:val="32"/>
        </w:rPr>
        <w:t>需提交的具体材料</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1.申请报告;</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2.事业单位、社会团体、基金会、社会服务机构的组织章程或宗教活动场所、宗教院校的管理制度;</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3.非营利组织注册登记证件的复印件;</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4.上一年度的资金来源及使用情况、公益活动和非营利活动的明细情况;</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5.上一年度的工资薪金情况专项报告，包括薪酬制度、工作人员整体平均工资薪金水平、工资福利占总支出比例、重要人员工资薪金信息(至少包括工资薪金水平排名前10的人员);</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6.具有资质的中介机构鉴证的上一年度财务报表和审计报告;</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7.登记管理机关出具的事业单位、社会团体、基金会、社会服务机构、宗教活动场所、宗教院校上一年度符合相关法律法规和国家政策的事业发展情况或非营利活动的材料;</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8.财政、税务部门要求提供的其他材料。</w:t>
      </w:r>
    </w:p>
    <w:p>
      <w:pPr>
        <w:pStyle w:val="6"/>
        <w:spacing w:after="0" w:line="560" w:lineRule="exact"/>
        <w:ind w:firstLine="640"/>
        <w:rPr>
          <w:rFonts w:ascii="仿宋" w:hAnsi="仿宋" w:eastAsia="仿宋" w:cs="仿宋"/>
          <w:sz w:val="32"/>
          <w:szCs w:val="32"/>
        </w:rPr>
      </w:pPr>
      <w:r>
        <w:rPr>
          <w:rFonts w:hint="eastAsia" w:ascii="仿宋" w:hAnsi="仿宋" w:eastAsia="仿宋" w:cs="仿宋"/>
          <w:sz w:val="32"/>
          <w:szCs w:val="32"/>
        </w:rPr>
        <w:t>当年新设立或登记的非营利组织需提供本条第(一)项至第(三)项规定的材料及本条第(四)项、第(五)项规定的申请当年的材料，不需提供本条第(六)项、第(七)项规定的材料。</w:t>
      </w:r>
    </w:p>
    <w:p>
      <w:pPr>
        <w:pStyle w:val="6"/>
        <w:spacing w:after="0" w:line="560" w:lineRule="exact"/>
        <w:ind w:firstLine="640"/>
        <w:rPr>
          <w:rFonts w:ascii="黑体" w:hAnsi="黑体" w:eastAsia="黑体" w:cs="黑体"/>
          <w:sz w:val="32"/>
          <w:szCs w:val="32"/>
        </w:rPr>
      </w:pPr>
      <w:r>
        <w:rPr>
          <w:rFonts w:hint="eastAsia" w:ascii="黑体" w:hAnsi="黑体" w:eastAsia="黑体" w:cs="黑体"/>
          <w:sz w:val="32"/>
          <w:szCs w:val="32"/>
        </w:rPr>
        <w:t>六、事项办理流程图</w:t>
      </w:r>
    </w:p>
    <w:p>
      <w:pPr>
        <w:ind w:firstLine="420" w:firstLineChars="200"/>
        <w:rPr>
          <w:rFonts w:ascii="仿宋" w:hAnsi="仿宋" w:eastAsia="仿宋" w:cs="仿宋"/>
          <w:sz w:val="32"/>
          <w:szCs w:val="32"/>
        </w:rPr>
      </w:pPr>
      <w:r>
        <w:object>
          <v:shape id="_x0000_i1025" o:spt="75" type="#_x0000_t75" style="height:75.3pt;width:414.8pt;" o:ole="t" filled="f" o:preferrelative="t" stroked="f" coordsize="21600,21600">
            <v:path/>
            <v:fill on="f" focussize="0,0"/>
            <v:stroke on="f" joinstyle="miter"/>
            <v:imagedata r:id="rId6" o:title=""/>
            <o:lock v:ext="edit" aspectratio="t"/>
            <w10:wrap type="none"/>
            <w10:anchorlock/>
          </v:shape>
          <o:OLEObject Type="Embed" ProgID="Visio.Drawing.11" ShapeID="_x0000_i1025" DrawAspect="Content" ObjectID="_1468075725" r:id="rId5">
            <o:LockedField>false</o:LockedField>
          </o:OLEObject>
        </w:object>
      </w:r>
    </w:p>
    <w:p>
      <w:pPr>
        <w:rPr>
          <w:rFonts w:ascii="仿宋" w:hAnsi="仿宋" w:eastAsia="仿宋" w:cs="仿宋"/>
          <w:sz w:val="32"/>
          <w:szCs w:val="32"/>
        </w:rPr>
      </w:pPr>
      <w:r>
        <w:rPr>
          <w:rFonts w:hint="eastAsia" w:ascii="黑体" w:hAnsi="黑体" w:eastAsia="黑体" w:cs="黑体"/>
          <w:sz w:val="32"/>
          <w:szCs w:val="32"/>
        </w:rPr>
        <w:t xml:space="preserve">    七、办理时限：</w:t>
      </w:r>
      <w:r>
        <w:rPr>
          <w:rFonts w:hint="eastAsia" w:ascii="仿宋" w:hAnsi="仿宋" w:eastAsia="仿宋" w:cs="仿宋"/>
          <w:sz w:val="32"/>
          <w:szCs w:val="32"/>
        </w:rPr>
        <w:t>10个工作日</w:t>
      </w:r>
    </w:p>
    <w:p>
      <w:pPr>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rPr>
          <w:sz w:val="32"/>
          <w:szCs w:val="32"/>
        </w:rPr>
      </w:pPr>
      <w:r>
        <w:rPr>
          <w:rFonts w:hint="eastAsia"/>
          <w:sz w:val="32"/>
          <w:szCs w:val="32"/>
        </w:rPr>
        <w:t xml:space="preserve">    </w:t>
      </w:r>
      <w:r>
        <w:rPr>
          <w:rFonts w:hint="eastAsia" w:ascii="黑体" w:hAnsi="黑体" w:eastAsia="黑体" w:cs="黑体"/>
          <w:sz w:val="32"/>
          <w:szCs w:val="32"/>
        </w:rPr>
        <w:t>九、办公时间和地点</w:t>
      </w:r>
    </w:p>
    <w:p>
      <w:pPr>
        <w:ind w:firstLine="640"/>
        <w:rPr>
          <w:rFonts w:ascii="仿宋_GB2312" w:hAnsi="仿宋_GB2312" w:eastAsia="仿宋_GB2312" w:cs="仿宋_GB2312"/>
          <w:sz w:val="32"/>
          <w:szCs w:val="32"/>
        </w:rPr>
      </w:pPr>
      <w:r>
        <w:rPr>
          <w:rFonts w:hint="eastAsia" w:ascii="楷体_GB2312" w:hAnsi="楷体_GB2312" w:eastAsia="楷体_GB2312" w:cs="楷体_GB2312"/>
          <w:b/>
          <w:bCs/>
          <w:sz w:val="32"/>
          <w:szCs w:val="32"/>
        </w:rPr>
        <w:t>（一）办公时间：</w:t>
      </w:r>
      <w:r>
        <w:rPr>
          <w:rFonts w:hint="eastAsia" w:ascii="仿宋_GB2312" w:hAnsi="仿宋_GB2312" w:eastAsia="仿宋_GB2312" w:cs="仿宋_GB2312"/>
          <w:sz w:val="32"/>
          <w:szCs w:val="32"/>
        </w:rPr>
        <w:t>周一到周五：秋冬春季（9月1日至5月31日）上午8:30～12:00，下午13:30～17:30；夏季（6月1日至8月31日）上午8:30～12:00，下午14:30～17:30. 法定节假日除外。</w:t>
      </w:r>
    </w:p>
    <w:p>
      <w:pPr>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（二）办理地址</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线下办理地址：1. 中国（河北）自由贸易试验区曹妃甸片区政务服务中心、唐山市曹妃甸区临港政务服务中心综合受理窗口B01-B06（曹妃甸工业区兴业道 1 号二层）</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 唐山市曹妃甸区垦区政务服务中心综合受理窗口W1-W6（曹妃甸区唐海镇新城大街 259 号二层）</w:t>
      </w:r>
    </w:p>
    <w:p>
      <w:pPr>
        <w:ind w:firstLine="640" w:firstLineChars="200"/>
        <w:rPr>
          <w:rFonts w:ascii="仿宋" w:hAnsi="仿宋" w:eastAsia="仿宋" w:cs="仿宋"/>
          <w:sz w:val="32"/>
          <w:szCs w:val="32"/>
        </w:rPr>
      </w:pPr>
      <w:r>
        <w:rPr>
          <w:rFonts w:hint="eastAsia" w:ascii="仿宋" w:hAnsi="仿宋" w:eastAsia="仿宋" w:cs="仿宋"/>
          <w:sz w:val="32"/>
          <w:szCs w:val="32"/>
        </w:rPr>
        <w:t>3. 唐山市曹妃甸区曹妃甸新城政务服务中心综合受理窗口B02-B05（曹妃甸区新城通海路）</w:t>
      </w:r>
    </w:p>
    <w:p>
      <w:pPr>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唐山市曹妃甸工业区置业道1号置业大厦7003</w:t>
      </w:r>
    </w:p>
    <w:p>
      <w:pPr>
        <w:ind w:firstLine="643" w:firstLineChars="200"/>
        <w:rPr>
          <w:rFonts w:ascii="仿宋" w:hAnsi="仿宋" w:eastAsia="仿宋" w:cs="仿宋"/>
          <w:sz w:val="32"/>
          <w:szCs w:val="32"/>
        </w:rPr>
      </w:pPr>
      <w:r>
        <w:rPr>
          <w:rFonts w:hint="eastAsia" w:ascii="楷体_GB2312" w:hAnsi="楷体_GB2312" w:eastAsia="楷体_GB2312" w:cs="楷体_GB2312"/>
          <w:b/>
          <w:bCs/>
          <w:sz w:val="32"/>
          <w:szCs w:val="32"/>
        </w:rPr>
        <w:t>（三）交通指引：</w:t>
      </w:r>
      <w:r>
        <w:rPr>
          <w:rFonts w:hint="eastAsia" w:ascii="仿宋" w:hAnsi="仿宋" w:eastAsia="仿宋" w:cs="仿宋"/>
          <w:sz w:val="32"/>
          <w:szCs w:val="32"/>
        </w:rPr>
        <w:t>K1支线/K1专线，四大联检下车（曹妃甸工业区兴业道1号）；K2路，新城服务中心下车（曹妃甸新城未来大道1号）；101路/102路，行政审批大厅下车（曹妃甸新城大街与唐海路交叉口西行200米）；K1支线/K1专线，四大联检/置业大厦下车（曹妃甸工业区兴业道1号）；</w:t>
      </w:r>
    </w:p>
    <w:p>
      <w:pPr>
        <w:ind w:firstLine="640" w:firstLineChars="200"/>
        <w:rPr>
          <w:rFonts w:ascii="黑体" w:hAnsi="黑体" w:eastAsia="黑体" w:cs="黑体"/>
          <w:sz w:val="32"/>
          <w:szCs w:val="32"/>
        </w:rPr>
      </w:pPr>
      <w:r>
        <w:rPr>
          <w:rFonts w:hint="eastAsia" w:ascii="黑体" w:hAnsi="黑体" w:eastAsia="黑体" w:cs="黑体"/>
          <w:sz w:val="32"/>
          <w:szCs w:val="32"/>
        </w:rPr>
        <w:t>十、咨询预约方式</w:t>
      </w:r>
    </w:p>
    <w:p>
      <w:pPr>
        <w:ind w:firstLine="640" w:firstLineChars="200"/>
        <w:rPr>
          <w:rFonts w:ascii="仿宋" w:hAnsi="仿宋" w:eastAsia="仿宋" w:cs="仿宋"/>
          <w:sz w:val="32"/>
          <w:szCs w:val="32"/>
        </w:rPr>
      </w:pPr>
      <w:r>
        <w:rPr>
          <w:rFonts w:hint="eastAsia" w:ascii="仿宋" w:hAnsi="仿宋" w:eastAsia="仿宋" w:cs="仿宋"/>
          <w:sz w:val="32"/>
          <w:szCs w:val="32"/>
        </w:rPr>
        <w:t xml:space="preserve">咨询预约电话：审批大厅：0315-8851606；0315-8787050；0315-7721104；财政局：0315-8820788；税务局远程帮办中心：0315-8712366；  </w:t>
      </w:r>
    </w:p>
    <w:p>
      <w:pPr>
        <w:rPr>
          <w:rFonts w:ascii="黑体" w:hAnsi="黑体" w:eastAsia="黑体" w:cs="黑体"/>
          <w:sz w:val="32"/>
          <w:szCs w:val="32"/>
        </w:rPr>
      </w:pPr>
      <w:r>
        <w:rPr>
          <w:rFonts w:hint="eastAsia"/>
          <w:sz w:val="32"/>
          <w:szCs w:val="32"/>
        </w:rPr>
        <w:t xml:space="preserve">    </w:t>
      </w:r>
      <w:r>
        <w:rPr>
          <w:rFonts w:hint="eastAsia" w:ascii="黑体" w:hAnsi="黑体" w:eastAsia="黑体" w:cs="黑体"/>
          <w:sz w:val="32"/>
          <w:szCs w:val="32"/>
        </w:rPr>
        <w:t>十一、监督和投诉渠道</w:t>
      </w:r>
    </w:p>
    <w:p>
      <w:r>
        <w:rPr>
          <w:rFonts w:hint="eastAsia"/>
          <w:sz w:val="32"/>
          <w:szCs w:val="32"/>
        </w:rPr>
        <w:t xml:space="preserve">    </w:t>
      </w:r>
      <w:r>
        <w:rPr>
          <w:rFonts w:hint="eastAsia" w:ascii="仿宋" w:hAnsi="仿宋" w:eastAsia="仿宋" w:cs="仿宋"/>
          <w:sz w:val="32"/>
          <w:szCs w:val="32"/>
        </w:rPr>
        <w:t>监督投诉电话：0315-8787068</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ZjMyY2M2OGI1ZmFmMWRmNjliZWVlMWIyYTBhNGEifQ=="/>
  </w:docVars>
  <w:rsids>
    <w:rsidRoot w:val="00706326"/>
    <w:rsid w:val="00314D07"/>
    <w:rsid w:val="003821F7"/>
    <w:rsid w:val="00484033"/>
    <w:rsid w:val="00700027"/>
    <w:rsid w:val="00706326"/>
    <w:rsid w:val="009E144F"/>
    <w:rsid w:val="00BB64E7"/>
    <w:rsid w:val="00E06A5C"/>
    <w:rsid w:val="00F925D8"/>
    <w:rsid w:val="0369315B"/>
    <w:rsid w:val="0390788D"/>
    <w:rsid w:val="05990554"/>
    <w:rsid w:val="09FD4BD1"/>
    <w:rsid w:val="1E065719"/>
    <w:rsid w:val="37BD18A6"/>
    <w:rsid w:val="3FFF49D7"/>
    <w:rsid w:val="49EB4802"/>
    <w:rsid w:val="4C4347C3"/>
    <w:rsid w:val="53A71B52"/>
    <w:rsid w:val="5AF917EB"/>
    <w:rsid w:val="7F9115EB"/>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autoRedefine/>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290</Words>
  <Characters>1656</Characters>
  <Lines>13</Lines>
  <Paragraphs>3</Paragraphs>
  <TotalTime>32</TotalTime>
  <ScaleCrop>false</ScaleCrop>
  <LinksUpToDate>false</LinksUpToDate>
  <CharactersWithSpaces>1943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综合治税</cp:lastModifiedBy>
  <cp:lastPrinted>2023-06-16T14:00:00Z</cp:lastPrinted>
  <dcterms:modified xsi:type="dcterms:W3CDTF">2024-04-08T06:33:50Z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E547CA7315204ADEA6E1C9BB00908664</vt:lpwstr>
  </property>
</Properties>
</file>