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唐山市曹妃甸区医疗保障局</w:t>
      </w:r>
      <w:r>
        <w:rPr>
          <w:rFonts w:hint="eastAsia" w:ascii="黑体" w:hAnsi="黑体" w:eastAsia="黑体"/>
          <w:sz w:val="44"/>
          <w:szCs w:val="44"/>
        </w:rPr>
        <w:t>行政奖励权力运行流程图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（对举报人举报欺诈骗取医保基金行为进行奖励）</w:t>
      </w:r>
    </w:p>
    <w:p>
      <w:pPr>
        <w:rPr>
          <w:sz w:val="32"/>
          <w:szCs w:val="32"/>
        </w:rPr>
      </w:pPr>
    </w:p>
    <w:tbl>
      <w:tblPr>
        <w:tblStyle w:val="2"/>
        <w:tblW w:w="0" w:type="auto"/>
        <w:tblInd w:w="15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1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医疗保障局接到举报案件</w:t>
            </w:r>
          </w:p>
        </w:tc>
      </w:tr>
    </w:tbl>
    <w:p>
      <w:bookmarkStart w:id="0" w:name="_GoBack"/>
      <w:bookmarkEnd w:id="0"/>
      <w:r>
        <w:pict>
          <v:shape id="_x0000_s1026" o:spid="_x0000_s1026" o:spt="32" type="#_x0000_t32" style="position:absolute;left:0pt;margin-left:162.75pt;margin-top:-0.3pt;height:33.6pt;width:0.05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tbl>
      <w:tblPr>
        <w:tblStyle w:val="2"/>
        <w:tblpPr w:leftFromText="180" w:rightFromText="180" w:vertAnchor="text" w:horzAnchor="margin" w:tblpY="9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565" w:type="dxa"/>
          </w:tcPr>
          <w:p>
            <w:r>
              <w:rPr>
                <w:rFonts w:hint="eastAsia"/>
              </w:rPr>
              <w:t>符合受理范围的案件，</w:t>
            </w:r>
            <w:r>
              <w:rPr>
                <w:rFonts w:ascii="Arial" w:hAnsi="Arial" w:eastAsia="宋体" w:cs="Arial"/>
                <w:kern w:val="0"/>
                <w:szCs w:val="21"/>
              </w:rPr>
              <w:t>自接到举报后</w:t>
            </w:r>
            <w:r>
              <w:rPr>
                <w:rFonts w:hint="eastAsia"/>
              </w:rPr>
              <w:t>15个工作日内作出是否立案调查的意见。</w:t>
            </w:r>
          </w:p>
        </w:tc>
      </w:tr>
    </w:tbl>
    <w:tbl>
      <w:tblPr>
        <w:tblStyle w:val="2"/>
        <w:tblpPr w:leftFromText="180" w:rightFromText="180" w:vertAnchor="text" w:tblpX="3498" w:tblpY="8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3936" w:type="dxa"/>
          </w:tcPr>
          <w:p>
            <w:pPr>
              <w:widowControl/>
              <w:shd w:val="clear" w:color="auto" w:fill="FFFFFF"/>
              <w:spacing w:line="360" w:lineRule="atLeast"/>
              <w:jc w:val="left"/>
              <w:rPr>
                <w:rFonts w:ascii="Arial" w:hAnsi="Arial" w:eastAsia="宋体" w:cs="Arial"/>
                <w:kern w:val="0"/>
                <w:szCs w:val="21"/>
              </w:rPr>
            </w:pPr>
            <w:r>
              <w:rPr>
                <w:rFonts w:ascii="Arial" w:hAnsi="Arial" w:eastAsia="宋体" w:cs="Arial"/>
                <w:kern w:val="0"/>
                <w:szCs w:val="21"/>
              </w:rPr>
              <w:t>不属于受理范围的实名举报案件，自接到举报后15个工作日内告知举报人不予受理的意见，并说明原因。</w:t>
            </w:r>
          </w:p>
          <w:p/>
        </w:tc>
      </w:tr>
    </w:tbl>
    <w:tbl>
      <w:tblPr>
        <w:tblStyle w:val="2"/>
        <w:tblpPr w:leftFromText="180" w:rightFromText="180" w:vertAnchor="text" w:horzAnchor="margin" w:tblpY="34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2376" w:type="dxa"/>
          </w:tcPr>
          <w:p>
            <w:r>
              <w:rPr>
                <w:rFonts w:hint="eastAsia"/>
              </w:rPr>
              <w:t>属于受理范围内的一般案件，</w:t>
            </w:r>
            <w:r>
              <w:rPr>
                <w:rFonts w:ascii="Arial" w:hAnsi="Arial" w:eastAsia="宋体" w:cs="Arial"/>
                <w:kern w:val="0"/>
                <w:szCs w:val="21"/>
              </w:rPr>
              <w:t>自受理之日起30个工作日内办理完毕</w:t>
            </w:r>
            <w:r>
              <w:rPr>
                <w:rFonts w:hint="eastAsia" w:ascii="Arial" w:hAnsi="Arial" w:eastAsia="宋体" w:cs="Arial"/>
                <w:kern w:val="0"/>
                <w:szCs w:val="21"/>
              </w:rPr>
              <w:t>。</w:t>
            </w:r>
          </w:p>
        </w:tc>
      </w:tr>
    </w:tbl>
    <w:tbl>
      <w:tblPr>
        <w:tblStyle w:val="2"/>
        <w:tblpPr w:leftFromText="180" w:rightFromText="180" w:vertAnchor="text" w:horzAnchor="page" w:tblpX="7483" w:tblpY="346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2518" w:type="dxa"/>
          </w:tcPr>
          <w:p>
            <w:r>
              <w:rPr>
                <w:rFonts w:ascii="Arial" w:hAnsi="Arial" w:eastAsia="宋体" w:cs="Arial"/>
                <w:kern w:val="0"/>
                <w:szCs w:val="21"/>
              </w:rPr>
              <w:t>特别重大案件，经单位集体研究后，可以适当延长，但原则上不超过6个月。</w:t>
            </w:r>
          </w:p>
        </w:tc>
      </w:tr>
    </w:tbl>
    <w:tbl>
      <w:tblPr>
        <w:tblStyle w:val="2"/>
        <w:tblpPr w:leftFromText="180" w:rightFromText="180" w:vertAnchor="text" w:horzAnchor="page" w:tblpX="4628" w:tblpY="343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985" w:type="dxa"/>
          </w:tcPr>
          <w:p>
            <w:r>
              <w:rPr>
                <w:rFonts w:ascii="Arial" w:hAnsi="Arial" w:eastAsia="宋体" w:cs="Arial"/>
                <w:kern w:val="0"/>
                <w:szCs w:val="21"/>
              </w:rPr>
              <w:t>情况复杂的，经单位负责人批准后，可以延长至3个月内办结</w:t>
            </w:r>
            <w:r>
              <w:rPr>
                <w:rFonts w:hint="eastAsia" w:ascii="Arial" w:hAnsi="Arial" w:eastAsia="宋体" w:cs="Arial"/>
                <w:kern w:val="0"/>
                <w:szCs w:val="21"/>
              </w:rPr>
              <w:t>。</w:t>
            </w:r>
          </w:p>
        </w:tc>
      </w:tr>
    </w:tbl>
    <w:tbl>
      <w:tblPr>
        <w:tblStyle w:val="2"/>
        <w:tblpPr w:leftFromText="180" w:rightFromText="180" w:vertAnchor="text" w:tblpX="694" w:tblpY="64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6540" w:type="dxa"/>
          </w:tcPr>
          <w:p>
            <w:r>
              <w:rPr>
                <w:rFonts w:hint="eastAsia"/>
              </w:rPr>
              <w:t>案件办理完毕后，根据暂行办法规定，经单位集体研究，及时作出奖励与否的决定，对获得奖励的，及时通过非现金方式兑现给举报人。</w:t>
            </w:r>
          </w:p>
        </w:tc>
      </w:tr>
    </w:tbl>
    <w:p>
      <w:r>
        <w:pict>
          <v:shape id="_x0000_s1036" o:spid="_x0000_s1036" o:spt="32" type="#_x0000_t32" style="position:absolute;left:0pt;margin-left:47.25pt;margin-top:233.85pt;height:44.25pt;width:0pt;z-index:25166950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40" o:spid="_x0000_s1040" o:spt="32" type="#_x0000_t32" style="position:absolute;left:0pt;margin-left:181.45pt;margin-top:278.1pt;height:33pt;width:0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7" o:spid="_x0000_s1037" o:spt="32" type="#_x0000_t32" style="position:absolute;left:0pt;margin-left:47.25pt;margin-top:278.1pt;height:0pt;width:283.5pt;z-index:25167052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8" o:spid="_x0000_s1038" o:spt="32" type="#_x0000_t32" style="position:absolute;left:0pt;margin-left:330.75pt;margin-top:237.6pt;height:40.5pt;width:0pt;z-index:25167155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9" o:spid="_x0000_s1039" o:spt="32" type="#_x0000_t32" style="position:absolute;left:0pt;margin-left:181.45pt;margin-top:237.6pt;height:40.5pt;width:0pt;z-index:2516725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1" o:spid="_x0000_s1031" o:spt="32" type="#_x0000_t32" style="position:absolute;left:0pt;margin-left:85.5pt;margin-top:141.6pt;height:26.25pt;width:0pt;z-index:2516643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5" o:spid="_x0000_s1035" o:spt="32" type="#_x0000_t32" style="position:absolute;left:0pt;margin-left:334.5pt;margin-top:141.6pt;height:26.25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4" o:spid="_x0000_s1034" o:spt="32" type="#_x0000_t32" style="position:absolute;left:0pt;margin-left:181.45pt;margin-top:141.6pt;height:26.25pt;width:0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3" o:spid="_x0000_s1033" o:spt="32" type="#_x0000_t32" style="position:absolute;left:0pt;margin-left:85.5pt;margin-top:141.6pt;height:0pt;width:249pt;z-index:25166643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2" o:spid="_x0000_s1032" o:spt="32" type="#_x0000_t32" style="position:absolute;left:0pt;margin-left:85.5pt;margin-top:115.35pt;height:26.25pt;width:0pt;z-index:25166540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0" o:spid="_x0000_s1030" o:spt="32" type="#_x0000_t32" style="position:absolute;left:0pt;margin-left:69.8pt;margin-top:17.7pt;height:18pt;width:0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29" o:spid="_x0000_s1029" o:spt="32" type="#_x0000_t32" style="position:absolute;left:0pt;margin-left:272.25pt;margin-top:17.7pt;height:18pt;width:0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28" o:spid="_x0000_s1028" o:spt="32" type="#_x0000_t32" style="position:absolute;left:0pt;flip:x;margin-left:69.8pt;margin-top:17.7pt;height:0pt;width:92.95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27" o:spid="_x0000_s1027" o:spt="32" type="#_x0000_t32" style="position:absolute;left:0pt;margin-left:162.75pt;margin-top:17.7pt;height:0pt;width:109.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/>
        </w:rPr>
        <w:t xml:space="preserve">             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t>办理机构：</w:t>
      </w:r>
      <w:r>
        <w:rPr>
          <w:rFonts w:hint="eastAsia"/>
          <w:lang w:eastAsia="zh-CN"/>
        </w:rPr>
        <w:t>唐山市曹妃甸区</w:t>
      </w:r>
      <w:r>
        <w:rPr>
          <w:rFonts w:hint="eastAsia"/>
        </w:rPr>
        <w:t>医疗保障局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监督电话：0</w:t>
      </w:r>
      <w:r>
        <w:rPr>
          <w:rFonts w:hint="eastAsia"/>
          <w:lang w:val="en-US" w:eastAsia="zh-CN"/>
        </w:rPr>
        <w:t>315-8755110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55F5"/>
    <w:rsid w:val="002E55F5"/>
    <w:rsid w:val="00407463"/>
    <w:rsid w:val="0062139F"/>
    <w:rsid w:val="009B46E9"/>
    <w:rsid w:val="009C0306"/>
    <w:rsid w:val="00B22CB0"/>
    <w:rsid w:val="00B90849"/>
    <w:rsid w:val="0DF36A3B"/>
    <w:rsid w:val="25C5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  <o:r id="V:Rule14" type="connector" idref="#_x0000_s1039"/>
        <o:r id="V:Rule15" type="connector" idref="#_x0000_s104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40"/>
    <customShpInfo spid="_x0000_s1037"/>
    <customShpInfo spid="_x0000_s1038"/>
    <customShpInfo spid="_x0000_s1039"/>
    <customShpInfo spid="_x0000_s1031"/>
    <customShpInfo spid="_x0000_s1035"/>
    <customShpInfo spid="_x0000_s1034"/>
    <customShpInfo spid="_x0000_s1033"/>
    <customShpInfo spid="_x0000_s1032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354</Characters>
  <Lines>2</Lines>
  <Paragraphs>1</Paragraphs>
  <TotalTime>29</TotalTime>
  <ScaleCrop>false</ScaleCrop>
  <LinksUpToDate>false</LinksUpToDate>
  <CharactersWithSpaces>414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2019-07-27T02:44:00Z</dcterms:created>
  <dc:creator>Administrator</dc:creator>
  <cp:lastModifiedBy>李全坤</cp:lastModifiedBy>
  <dcterms:modified xsi:type="dcterms:W3CDTF">2021-07-02T07:13:36Z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839E54AE99A04F89AAC5BE873861033C</vt:lpwstr>
  </property>
</Properties>
</file>