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01104">
      <w:pPr>
        <w:adjustRightInd w:val="0"/>
        <w:snapToGrid w:val="0"/>
        <w:spacing w:beforeLines="700"/>
        <w:jc w:val="center"/>
        <w:outlineLvl w:val="0"/>
        <w:rPr>
          <w:bCs/>
          <w:sz w:val="72"/>
          <w:szCs w:val="72"/>
        </w:rPr>
      </w:pPr>
      <w:bookmarkStart w:id="45" w:name="_GoBack"/>
      <w:bookmarkEnd w:id="45"/>
      <w:r>
        <w:rPr>
          <w:rFonts w:hint="eastAsia" w:ascii="黑体" w:hAnsi="黑体" w:eastAsia="黑体" w:cs="黑体"/>
          <w:bCs/>
          <w:sz w:val="72"/>
          <w:szCs w:val="72"/>
        </w:rPr>
        <w:t>建设项目环境影响报告表</w:t>
      </w:r>
    </w:p>
    <w:p w14:paraId="19C8D7AB">
      <w:pPr>
        <w:adjustRightInd w:val="0"/>
        <w:snapToGrid w:val="0"/>
        <w:spacing w:beforeLines="100"/>
        <w:jc w:val="center"/>
        <w:rPr>
          <w:bCs/>
          <w:sz w:val="48"/>
          <w:szCs w:val="48"/>
        </w:rPr>
      </w:pPr>
      <w:r>
        <w:rPr>
          <w:rFonts w:hint="eastAsia" w:ascii="楷体" w:hAnsi="楷体" w:eastAsia="楷体" w:cs="楷体"/>
          <w:b/>
          <w:sz w:val="48"/>
          <w:szCs w:val="48"/>
        </w:rPr>
        <w:t>（生态影响类）</w:t>
      </w:r>
    </w:p>
    <w:p w14:paraId="79417B42">
      <w:pPr>
        <w:widowControl/>
        <w:adjustRightInd w:val="0"/>
        <w:snapToGrid w:val="0"/>
        <w:spacing w:beforeLines="1700" w:line="360" w:lineRule="auto"/>
        <w:ind w:left="1600" w:hanging="1600" w:hangingChars="500"/>
        <w:jc w:val="left"/>
        <w:rPr>
          <w:sz w:val="32"/>
          <w:szCs w:val="32"/>
        </w:rPr>
      </w:pPr>
      <w:r>
        <w:rPr>
          <w:sz w:val="32"/>
          <w:szCs w:val="32"/>
        </w:rPr>
        <w:t>项目名称：</w:t>
      </w:r>
      <w:r>
        <w:rPr>
          <w:rFonts w:hint="eastAsia"/>
          <w:spacing w:val="-17"/>
          <w:sz w:val="32"/>
          <w:szCs w:val="32"/>
          <w:u w:val="single"/>
        </w:rPr>
        <w:t>大金重工曹妃甸区70万千瓦陆上风力发电项目（市场化）</w:t>
      </w:r>
    </w:p>
    <w:p w14:paraId="6C45D7D3">
      <w:pPr>
        <w:widowControl/>
        <w:adjustRightInd w:val="0"/>
        <w:snapToGrid w:val="0"/>
        <w:spacing w:line="360" w:lineRule="auto"/>
        <w:jc w:val="left"/>
        <w:rPr>
          <w:sz w:val="32"/>
          <w:szCs w:val="32"/>
        </w:rPr>
      </w:pPr>
      <w:r>
        <w:rPr>
          <w:sz w:val="32"/>
          <w:szCs w:val="32"/>
        </w:rPr>
        <w:t>建设单位（盖章）：</w:t>
      </w:r>
      <w:r>
        <w:rPr>
          <w:rFonts w:hint="eastAsia"/>
          <w:sz w:val="32"/>
          <w:szCs w:val="32"/>
          <w:u w:val="single"/>
        </w:rPr>
        <w:t xml:space="preserve">    唐山曹妃甸区祥凌能源有限公司     </w:t>
      </w:r>
    </w:p>
    <w:p w14:paraId="71933F7C">
      <w:pPr>
        <w:adjustRightInd w:val="0"/>
        <w:snapToGrid w:val="0"/>
        <w:spacing w:line="360" w:lineRule="auto"/>
        <w:jc w:val="left"/>
        <w:rPr>
          <w:spacing w:val="51"/>
          <w:sz w:val="36"/>
          <w:szCs w:val="36"/>
          <w:u w:val="single"/>
        </w:rPr>
      </w:pPr>
      <w:r>
        <w:rPr>
          <w:sz w:val="32"/>
          <w:szCs w:val="32"/>
        </w:rPr>
        <w:t>编制日期：</w:t>
      </w:r>
      <w:r>
        <w:rPr>
          <w:rFonts w:hint="eastAsia"/>
          <w:sz w:val="32"/>
          <w:szCs w:val="32"/>
          <w:u w:val="single"/>
        </w:rPr>
        <w:t xml:space="preserve">                 2025</w:t>
      </w:r>
      <w:r>
        <w:rPr>
          <w:sz w:val="32"/>
          <w:szCs w:val="32"/>
          <w:u w:val="single"/>
        </w:rPr>
        <w:t>年</w:t>
      </w:r>
      <w:r>
        <w:rPr>
          <w:rFonts w:hint="eastAsia"/>
          <w:sz w:val="32"/>
          <w:szCs w:val="32"/>
          <w:u w:val="single"/>
        </w:rPr>
        <w:t>3</w:t>
      </w:r>
      <w:r>
        <w:rPr>
          <w:sz w:val="32"/>
          <w:szCs w:val="32"/>
          <w:u w:val="single"/>
        </w:rPr>
        <w:t>月</w:t>
      </w:r>
      <w:r>
        <w:rPr>
          <w:rFonts w:hint="eastAsia"/>
          <w:sz w:val="32"/>
          <w:szCs w:val="32"/>
          <w:u w:val="single"/>
        </w:rPr>
        <w:t xml:space="preserve">                  </w:t>
      </w:r>
    </w:p>
    <w:p w14:paraId="4EC99056">
      <w:pPr>
        <w:adjustRightInd w:val="0"/>
        <w:snapToGrid w:val="0"/>
        <w:spacing w:beforeLines="600"/>
        <w:jc w:val="center"/>
        <w:rPr>
          <w:sz w:val="36"/>
          <w:szCs w:val="36"/>
        </w:rPr>
      </w:pPr>
      <w:r>
        <w:rPr>
          <w:rFonts w:hint="eastAsia" w:ascii="宋体" w:hAnsi="宋体" w:cs="宋体"/>
          <w:b/>
          <w:bCs/>
          <w:sz w:val="36"/>
          <w:szCs w:val="36"/>
        </w:rPr>
        <w:t>中华人民共和国生态环境部制</w:t>
      </w:r>
    </w:p>
    <w:p w14:paraId="4B647581">
      <w:pPr>
        <w:adjustRightInd w:val="0"/>
        <w:snapToGrid w:val="0"/>
        <w:spacing w:line="288" w:lineRule="auto"/>
        <w:ind w:firstLine="1040"/>
        <w:rPr>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0DA72A8E">
      <w:pPr>
        <w:adjustRightInd w:val="0"/>
        <w:snapToGrid w:val="0"/>
        <w:spacing w:line="288" w:lineRule="auto"/>
        <w:ind w:firstLine="1040"/>
        <w:rPr>
          <w:sz w:val="36"/>
          <w:szCs w:val="36"/>
        </w:rPr>
        <w:sectPr>
          <w:pgSz w:w="11906" w:h="16838"/>
          <w:pgMar w:top="1701" w:right="1531" w:bottom="1701" w:left="1531" w:header="851" w:footer="1077" w:gutter="0"/>
          <w:pgNumType w:start="1"/>
          <w:cols w:space="720" w:num="1"/>
          <w:docGrid w:linePitch="312" w:charSpace="0"/>
        </w:sectPr>
      </w:pPr>
    </w:p>
    <w:p w14:paraId="44E8DEB8">
      <w:pPr>
        <w:pStyle w:val="2"/>
        <w:spacing w:before="0" w:after="0" w:line="480" w:lineRule="exact"/>
        <w:ind w:left="0"/>
        <w:jc w:val="center"/>
        <w:rPr>
          <w:b w:val="0"/>
          <w:color w:val="auto"/>
          <w:sz w:val="24"/>
          <w:szCs w:val="24"/>
        </w:rPr>
      </w:pPr>
      <w:r>
        <w:rPr>
          <w:b w:val="0"/>
          <w:color w:val="auto"/>
          <w:sz w:val="24"/>
          <w:szCs w:val="24"/>
        </w:rPr>
        <w:t>目录</w:t>
      </w:r>
    </w:p>
    <w:p w14:paraId="33F05020">
      <w:pPr>
        <w:pStyle w:val="24"/>
        <w:tabs>
          <w:tab w:val="right" w:leader="dot" w:pos="8844"/>
        </w:tabs>
        <w:spacing w:line="480" w:lineRule="exact"/>
        <w:rPr>
          <w:sz w:val="24"/>
        </w:rPr>
      </w:pPr>
      <w:r>
        <w:rPr>
          <w:rFonts w:hint="eastAsia"/>
          <w:b/>
          <w:sz w:val="24"/>
        </w:rPr>
        <w:t>一</w:t>
      </w:r>
      <w:r>
        <w:rPr>
          <w:b/>
          <w:sz w:val="24"/>
        </w:rPr>
        <w:t>、建设项目基本情况</w:t>
      </w:r>
      <w:r>
        <w:rPr>
          <w:b/>
          <w:sz w:val="24"/>
          <w:lang w:val="zh-CN"/>
        </w:rPr>
        <w:tab/>
      </w:r>
      <w:r>
        <w:rPr>
          <w:b/>
          <w:sz w:val="24"/>
          <w:lang w:val="zh-CN"/>
        </w:rPr>
        <w:t>1</w:t>
      </w:r>
    </w:p>
    <w:p w14:paraId="1C75E66A">
      <w:pPr>
        <w:pStyle w:val="24"/>
        <w:tabs>
          <w:tab w:val="right" w:leader="dot" w:pos="8844"/>
        </w:tabs>
        <w:spacing w:line="480" w:lineRule="exact"/>
        <w:rPr>
          <w:sz w:val="24"/>
        </w:rPr>
      </w:pPr>
      <w:r>
        <w:rPr>
          <w:rFonts w:hint="eastAsia"/>
          <w:b/>
          <w:sz w:val="24"/>
        </w:rPr>
        <w:t>二</w:t>
      </w:r>
      <w:r>
        <w:rPr>
          <w:b/>
          <w:sz w:val="24"/>
        </w:rPr>
        <w:t>、建设内容</w:t>
      </w:r>
      <w:r>
        <w:rPr>
          <w:rFonts w:hint="eastAsia"/>
          <w:b/>
          <w:sz w:val="24"/>
          <w:lang w:val="zh-CN"/>
        </w:rPr>
        <w:tab/>
      </w:r>
      <w:r>
        <w:rPr>
          <w:rFonts w:hint="eastAsia"/>
          <w:b/>
          <w:sz w:val="24"/>
          <w:lang w:val="zh-CN"/>
        </w:rPr>
        <w:t>12</w:t>
      </w:r>
    </w:p>
    <w:p w14:paraId="161E5448">
      <w:pPr>
        <w:pStyle w:val="24"/>
        <w:tabs>
          <w:tab w:val="right" w:leader="dot" w:pos="8844"/>
        </w:tabs>
        <w:spacing w:line="480" w:lineRule="exact"/>
        <w:rPr>
          <w:sz w:val="24"/>
        </w:rPr>
      </w:pPr>
      <w:r>
        <w:rPr>
          <w:rFonts w:hint="eastAsia"/>
          <w:b/>
          <w:sz w:val="24"/>
          <w:lang w:val="zh-CN"/>
        </w:rPr>
        <w:t>三</w:t>
      </w:r>
      <w:r>
        <w:rPr>
          <w:b/>
          <w:sz w:val="24"/>
          <w:lang w:val="zh-CN"/>
        </w:rPr>
        <w:t>、生态环境现状、保护目标及评价标准</w:t>
      </w:r>
      <w:r>
        <w:rPr>
          <w:b/>
          <w:sz w:val="24"/>
          <w:lang w:val="zh-CN"/>
        </w:rPr>
        <w:tab/>
      </w:r>
      <w:r>
        <w:rPr>
          <w:rFonts w:hint="eastAsia"/>
          <w:b/>
          <w:sz w:val="24"/>
          <w:lang w:val="zh-CN"/>
        </w:rPr>
        <w:t>35</w:t>
      </w:r>
    </w:p>
    <w:p w14:paraId="523287E2">
      <w:pPr>
        <w:pStyle w:val="24"/>
        <w:tabs>
          <w:tab w:val="right" w:leader="dot" w:pos="8844"/>
        </w:tabs>
        <w:spacing w:line="480" w:lineRule="exact"/>
        <w:rPr>
          <w:sz w:val="24"/>
        </w:rPr>
      </w:pPr>
      <w:r>
        <w:rPr>
          <w:rFonts w:hint="eastAsia"/>
          <w:b/>
          <w:sz w:val="24"/>
          <w:lang w:val="zh-CN"/>
        </w:rPr>
        <w:t>四</w:t>
      </w:r>
      <w:r>
        <w:rPr>
          <w:b/>
          <w:sz w:val="24"/>
          <w:lang w:val="zh-CN"/>
        </w:rPr>
        <w:t>、生态环境影响分析</w:t>
      </w:r>
      <w:r>
        <w:rPr>
          <w:b/>
          <w:sz w:val="24"/>
          <w:lang w:val="zh-CN"/>
        </w:rPr>
        <w:tab/>
      </w:r>
      <w:r>
        <w:rPr>
          <w:rFonts w:hint="eastAsia"/>
          <w:b/>
          <w:sz w:val="24"/>
          <w:lang w:val="zh-CN"/>
        </w:rPr>
        <w:t>51</w:t>
      </w:r>
    </w:p>
    <w:p w14:paraId="71D2AA16">
      <w:pPr>
        <w:pStyle w:val="24"/>
        <w:tabs>
          <w:tab w:val="right" w:leader="dot" w:pos="8844"/>
        </w:tabs>
        <w:spacing w:line="480" w:lineRule="exact"/>
        <w:rPr>
          <w:sz w:val="24"/>
        </w:rPr>
      </w:pPr>
      <w:r>
        <w:rPr>
          <w:rFonts w:hint="eastAsia"/>
          <w:b/>
          <w:sz w:val="24"/>
          <w:lang w:val="zh-CN"/>
        </w:rPr>
        <w:t>五</w:t>
      </w:r>
      <w:r>
        <w:rPr>
          <w:b/>
          <w:sz w:val="24"/>
          <w:lang w:val="zh-CN"/>
        </w:rPr>
        <w:t>、主要生态环境保护措施</w:t>
      </w:r>
      <w:r>
        <w:rPr>
          <w:b/>
          <w:sz w:val="24"/>
          <w:lang w:val="zh-CN"/>
        </w:rPr>
        <w:tab/>
      </w:r>
      <w:r>
        <w:rPr>
          <w:rFonts w:hint="eastAsia"/>
          <w:b/>
          <w:sz w:val="24"/>
          <w:lang w:val="zh-CN"/>
        </w:rPr>
        <w:t>77</w:t>
      </w:r>
    </w:p>
    <w:p w14:paraId="5D4A47F0">
      <w:pPr>
        <w:pStyle w:val="24"/>
        <w:tabs>
          <w:tab w:val="right" w:leader="dot" w:pos="8844"/>
        </w:tabs>
        <w:spacing w:line="480" w:lineRule="exact"/>
        <w:rPr>
          <w:sz w:val="24"/>
        </w:rPr>
      </w:pPr>
      <w:r>
        <w:rPr>
          <w:rFonts w:hint="eastAsia"/>
          <w:b/>
          <w:sz w:val="24"/>
          <w:lang w:val="zh-CN"/>
        </w:rPr>
        <w:t>六</w:t>
      </w:r>
      <w:r>
        <w:rPr>
          <w:b/>
          <w:sz w:val="24"/>
          <w:lang w:val="zh-CN"/>
        </w:rPr>
        <w:t>、生态环境保护措施监督检查清单</w:t>
      </w:r>
      <w:r>
        <w:rPr>
          <w:b/>
          <w:sz w:val="24"/>
          <w:lang w:val="zh-CN"/>
        </w:rPr>
        <w:tab/>
      </w:r>
      <w:r>
        <w:rPr>
          <w:rFonts w:hint="eastAsia"/>
          <w:b/>
          <w:sz w:val="24"/>
          <w:lang w:val="zh-CN"/>
        </w:rPr>
        <w:t>103</w:t>
      </w:r>
    </w:p>
    <w:p w14:paraId="02BD4571">
      <w:pPr>
        <w:pStyle w:val="24"/>
        <w:tabs>
          <w:tab w:val="right" w:leader="dot" w:pos="8844"/>
        </w:tabs>
        <w:spacing w:line="480" w:lineRule="exact"/>
        <w:rPr>
          <w:b/>
          <w:sz w:val="24"/>
          <w:lang w:val="zh-CN"/>
        </w:rPr>
      </w:pPr>
      <w:r>
        <w:rPr>
          <w:rFonts w:hint="eastAsia"/>
          <w:b/>
          <w:sz w:val="24"/>
          <w:lang w:val="zh-CN"/>
        </w:rPr>
        <w:t>七</w:t>
      </w:r>
      <w:r>
        <w:rPr>
          <w:b/>
          <w:sz w:val="24"/>
          <w:lang w:val="zh-CN"/>
        </w:rPr>
        <w:t>、结论</w:t>
      </w:r>
      <w:r>
        <w:rPr>
          <w:b/>
          <w:sz w:val="24"/>
          <w:lang w:val="zh-CN"/>
        </w:rPr>
        <w:tab/>
      </w:r>
      <w:r>
        <w:rPr>
          <w:rFonts w:hint="eastAsia"/>
          <w:b/>
          <w:sz w:val="24"/>
          <w:lang w:val="zh-CN"/>
        </w:rPr>
        <w:t>108</w:t>
      </w:r>
    </w:p>
    <w:p w14:paraId="5FA1FA6B">
      <w:pPr>
        <w:pStyle w:val="24"/>
        <w:tabs>
          <w:tab w:val="right" w:leader="dot" w:pos="8844"/>
        </w:tabs>
        <w:spacing w:line="480" w:lineRule="exact"/>
        <w:ind w:firstLine="482" w:firstLineChars="200"/>
        <w:rPr>
          <w:b/>
          <w:sz w:val="24"/>
          <w:lang w:val="zh-CN"/>
        </w:rPr>
      </w:pPr>
    </w:p>
    <w:p w14:paraId="115F82DE">
      <w:pPr>
        <w:pStyle w:val="24"/>
        <w:tabs>
          <w:tab w:val="right" w:leader="dot" w:pos="8844"/>
        </w:tabs>
        <w:spacing w:line="480" w:lineRule="exact"/>
        <w:ind w:firstLine="482" w:firstLineChars="200"/>
        <w:rPr>
          <w:b/>
          <w:sz w:val="24"/>
          <w:lang w:val="zh-CN"/>
        </w:rPr>
      </w:pPr>
    </w:p>
    <w:p w14:paraId="67383D89">
      <w:pPr>
        <w:pStyle w:val="24"/>
        <w:tabs>
          <w:tab w:val="right" w:leader="dot" w:pos="8844"/>
        </w:tabs>
        <w:spacing w:line="480" w:lineRule="exact"/>
        <w:ind w:firstLine="482" w:firstLineChars="200"/>
        <w:rPr>
          <w:b/>
          <w:sz w:val="24"/>
          <w:lang w:val="zh-CN"/>
        </w:rPr>
      </w:pPr>
      <w:r>
        <w:rPr>
          <w:b/>
          <w:sz w:val="24"/>
          <w:lang w:val="zh-CN"/>
        </w:rPr>
        <w:t>附图：</w:t>
      </w:r>
    </w:p>
    <w:p w14:paraId="5BD2EE34">
      <w:pPr>
        <w:pStyle w:val="24"/>
        <w:tabs>
          <w:tab w:val="right" w:leader="dot" w:pos="8844"/>
        </w:tabs>
        <w:spacing w:line="480" w:lineRule="exact"/>
        <w:ind w:firstLine="480" w:firstLineChars="200"/>
        <w:rPr>
          <w:sz w:val="24"/>
          <w:lang w:val="zh-CN"/>
        </w:rPr>
      </w:pPr>
      <w:r>
        <w:rPr>
          <w:sz w:val="24"/>
          <w:lang w:val="zh-CN"/>
        </w:rPr>
        <w:t>附图1 项目地理位置图</w:t>
      </w:r>
    </w:p>
    <w:p w14:paraId="30D7299F">
      <w:pPr>
        <w:pStyle w:val="24"/>
        <w:tabs>
          <w:tab w:val="right" w:leader="dot" w:pos="8844"/>
        </w:tabs>
        <w:spacing w:line="480" w:lineRule="exact"/>
        <w:ind w:firstLine="480" w:firstLineChars="200"/>
        <w:rPr>
          <w:sz w:val="24"/>
          <w:lang w:val="zh-CN"/>
        </w:rPr>
      </w:pPr>
      <w:r>
        <w:rPr>
          <w:sz w:val="24"/>
          <w:lang w:val="zh-CN"/>
        </w:rPr>
        <w:t>附图2项目</w:t>
      </w:r>
      <w:r>
        <w:rPr>
          <w:sz w:val="24"/>
        </w:rPr>
        <w:t>总平面布置</w:t>
      </w:r>
      <w:r>
        <w:rPr>
          <w:sz w:val="24"/>
          <w:lang w:val="zh-CN"/>
        </w:rPr>
        <w:t>图</w:t>
      </w:r>
    </w:p>
    <w:p w14:paraId="09E3CA90">
      <w:pPr>
        <w:pStyle w:val="24"/>
        <w:tabs>
          <w:tab w:val="right" w:leader="dot" w:pos="8844"/>
        </w:tabs>
        <w:spacing w:line="480" w:lineRule="exact"/>
        <w:ind w:firstLine="480" w:firstLineChars="200"/>
        <w:rPr>
          <w:sz w:val="24"/>
          <w:lang w:val="zh-CN"/>
        </w:rPr>
      </w:pPr>
      <w:r>
        <w:rPr>
          <w:sz w:val="24"/>
          <w:lang w:val="zh-CN"/>
        </w:rPr>
        <w:t xml:space="preserve">附图3-1项目周边关系图（风机J01-J08） </w:t>
      </w:r>
    </w:p>
    <w:p w14:paraId="2D9263B5">
      <w:pPr>
        <w:pStyle w:val="24"/>
        <w:tabs>
          <w:tab w:val="right" w:leader="dot" w:pos="8844"/>
        </w:tabs>
        <w:spacing w:line="480" w:lineRule="exact"/>
        <w:ind w:firstLine="480" w:firstLineChars="200"/>
        <w:rPr>
          <w:sz w:val="24"/>
          <w:lang w:val="zh-CN"/>
        </w:rPr>
      </w:pPr>
      <w:r>
        <w:rPr>
          <w:sz w:val="24"/>
          <w:lang w:val="zh-CN"/>
        </w:rPr>
        <w:t xml:space="preserve">附图3-2项目周边关系图（风机J09-J22） </w:t>
      </w:r>
    </w:p>
    <w:p w14:paraId="27BF5445">
      <w:pPr>
        <w:pStyle w:val="24"/>
        <w:tabs>
          <w:tab w:val="right" w:leader="dot" w:pos="8844"/>
        </w:tabs>
        <w:spacing w:line="480" w:lineRule="exact"/>
        <w:ind w:firstLine="480" w:firstLineChars="200"/>
        <w:rPr>
          <w:sz w:val="24"/>
          <w:lang w:val="zh-CN"/>
        </w:rPr>
      </w:pPr>
      <w:r>
        <w:rPr>
          <w:sz w:val="24"/>
          <w:lang w:val="zh-CN"/>
        </w:rPr>
        <w:t xml:space="preserve">附图3-3项目周边关系图（风机J23-J25、J29-J30、B01-B03） </w:t>
      </w:r>
    </w:p>
    <w:p w14:paraId="54B9DC64">
      <w:pPr>
        <w:pStyle w:val="24"/>
        <w:tabs>
          <w:tab w:val="right" w:leader="dot" w:pos="8844"/>
        </w:tabs>
        <w:spacing w:line="480" w:lineRule="exact"/>
        <w:ind w:firstLine="480" w:firstLineChars="200"/>
        <w:rPr>
          <w:sz w:val="24"/>
          <w:lang w:val="zh-CN"/>
        </w:rPr>
      </w:pPr>
      <w:r>
        <w:rPr>
          <w:sz w:val="24"/>
          <w:lang w:val="zh-CN"/>
        </w:rPr>
        <w:t xml:space="preserve">附图3-4项目周边关系图（风机J26-J28、B04） </w:t>
      </w:r>
    </w:p>
    <w:p w14:paraId="60A65672">
      <w:pPr>
        <w:pStyle w:val="24"/>
        <w:tabs>
          <w:tab w:val="right" w:leader="dot" w:pos="8844"/>
        </w:tabs>
        <w:spacing w:line="480" w:lineRule="exact"/>
        <w:ind w:firstLine="480" w:firstLineChars="200"/>
        <w:rPr>
          <w:sz w:val="24"/>
          <w:lang w:val="zh-CN"/>
        </w:rPr>
      </w:pPr>
      <w:r>
        <w:rPr>
          <w:sz w:val="24"/>
          <w:lang w:val="zh-CN"/>
        </w:rPr>
        <w:t xml:space="preserve">附图3-5项目周边关系图（风机J31-J42） </w:t>
      </w:r>
    </w:p>
    <w:p w14:paraId="74C046E5">
      <w:pPr>
        <w:pStyle w:val="24"/>
        <w:tabs>
          <w:tab w:val="right" w:leader="dot" w:pos="8844"/>
        </w:tabs>
        <w:spacing w:line="480" w:lineRule="exact"/>
        <w:ind w:firstLine="480" w:firstLineChars="200"/>
        <w:rPr>
          <w:sz w:val="24"/>
          <w:lang w:val="zh-CN"/>
        </w:rPr>
      </w:pPr>
      <w:r>
        <w:rPr>
          <w:sz w:val="24"/>
          <w:lang w:val="zh-CN"/>
        </w:rPr>
        <w:t>附图3-6升压站周边关系图</w:t>
      </w:r>
    </w:p>
    <w:p w14:paraId="65E32662">
      <w:pPr>
        <w:pStyle w:val="24"/>
        <w:tabs>
          <w:tab w:val="right" w:leader="dot" w:pos="8844"/>
        </w:tabs>
        <w:spacing w:line="480" w:lineRule="exact"/>
        <w:ind w:firstLine="480" w:firstLineChars="200"/>
        <w:rPr>
          <w:sz w:val="24"/>
          <w:lang w:val="zh-CN"/>
        </w:rPr>
      </w:pPr>
      <w:r>
        <w:rPr>
          <w:sz w:val="24"/>
          <w:lang w:val="zh-CN"/>
        </w:rPr>
        <w:t>附图</w:t>
      </w:r>
      <w:r>
        <w:rPr>
          <w:sz w:val="24"/>
        </w:rPr>
        <w:t>4</w:t>
      </w:r>
      <w:r>
        <w:rPr>
          <w:sz w:val="24"/>
          <w:lang w:val="zh-CN"/>
        </w:rPr>
        <w:t>项目集电线路路由图</w:t>
      </w:r>
    </w:p>
    <w:p w14:paraId="1E07ED61">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5</w:t>
      </w:r>
      <w:r>
        <w:rPr>
          <w:sz w:val="24"/>
          <w:lang w:val="zh-CN"/>
        </w:rPr>
        <w:t>升压站平面布置图</w:t>
      </w:r>
    </w:p>
    <w:p w14:paraId="32C0EC64">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6</w:t>
      </w:r>
      <w:r>
        <w:rPr>
          <w:sz w:val="24"/>
          <w:lang w:val="zh-CN"/>
        </w:rPr>
        <w:t>升压站防渗分区图</w:t>
      </w:r>
    </w:p>
    <w:p w14:paraId="4A6BC3EE">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7</w:t>
      </w:r>
      <w:r>
        <w:rPr>
          <w:sz w:val="24"/>
          <w:lang w:val="zh-CN"/>
        </w:rPr>
        <w:t>升压站声环境</w:t>
      </w:r>
      <w:r>
        <w:rPr>
          <w:rFonts w:hint="eastAsia"/>
          <w:sz w:val="24"/>
        </w:rPr>
        <w:t>质量</w:t>
      </w:r>
      <w:r>
        <w:rPr>
          <w:sz w:val="24"/>
          <w:lang w:val="zh-CN"/>
        </w:rPr>
        <w:t>现状监测点位图</w:t>
      </w:r>
    </w:p>
    <w:p w14:paraId="235DBFFA">
      <w:pPr>
        <w:pStyle w:val="24"/>
        <w:tabs>
          <w:tab w:val="right" w:leader="dot" w:pos="8844"/>
        </w:tabs>
        <w:spacing w:line="480" w:lineRule="exact"/>
        <w:ind w:firstLine="480" w:firstLineChars="200"/>
        <w:rPr>
          <w:sz w:val="24"/>
        </w:rPr>
      </w:pPr>
      <w:r>
        <w:rPr>
          <w:sz w:val="24"/>
          <w:lang w:val="zh-CN"/>
        </w:rPr>
        <w:t>附图</w:t>
      </w:r>
      <w:r>
        <w:rPr>
          <w:rFonts w:hint="eastAsia"/>
          <w:sz w:val="24"/>
        </w:rPr>
        <w:t>8 鸟类现状调查样线分布图</w:t>
      </w:r>
    </w:p>
    <w:p w14:paraId="7898208A">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9</w:t>
      </w:r>
      <w:r>
        <w:rPr>
          <w:sz w:val="24"/>
          <w:lang w:val="zh-CN"/>
        </w:rPr>
        <w:t>项目与曹妃甸湿地和鸟类省级自然保护区的位置关系图</w:t>
      </w:r>
    </w:p>
    <w:p w14:paraId="25543286">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10</w:t>
      </w:r>
      <w:r>
        <w:rPr>
          <w:sz w:val="24"/>
          <w:lang w:val="zh-CN"/>
        </w:rPr>
        <w:t>项目与</w:t>
      </w:r>
      <w:r>
        <w:rPr>
          <w:sz w:val="24"/>
        </w:rPr>
        <w:t>唐山</w:t>
      </w:r>
      <w:r>
        <w:rPr>
          <w:sz w:val="24"/>
          <w:lang w:val="zh-CN"/>
        </w:rPr>
        <w:t>市生态保护红线的位置关系图</w:t>
      </w:r>
    </w:p>
    <w:p w14:paraId="5690E3B0">
      <w:pPr>
        <w:pStyle w:val="24"/>
        <w:tabs>
          <w:tab w:val="right" w:leader="dot" w:pos="8844"/>
        </w:tabs>
        <w:spacing w:line="480" w:lineRule="exact"/>
        <w:ind w:firstLine="480" w:firstLineChars="200"/>
        <w:rPr>
          <w:sz w:val="24"/>
          <w:lang w:val="zh-CN"/>
        </w:rPr>
      </w:pPr>
      <w:r>
        <w:rPr>
          <w:sz w:val="24"/>
          <w:lang w:val="zh-CN"/>
        </w:rPr>
        <w:t>附图</w:t>
      </w:r>
      <w:r>
        <w:rPr>
          <w:rFonts w:hint="eastAsia"/>
          <w:sz w:val="24"/>
        </w:rPr>
        <w:t>11</w:t>
      </w:r>
      <w:r>
        <w:rPr>
          <w:sz w:val="24"/>
          <w:lang w:val="zh-CN"/>
        </w:rPr>
        <w:t>项目与唐山市环境管控单元分布位置关系图</w:t>
      </w:r>
    </w:p>
    <w:p w14:paraId="41DA25B8">
      <w:pPr>
        <w:pStyle w:val="24"/>
        <w:tabs>
          <w:tab w:val="right" w:leader="dot" w:pos="8844"/>
        </w:tabs>
        <w:spacing w:line="480" w:lineRule="exact"/>
        <w:ind w:firstLine="482" w:firstLineChars="200"/>
        <w:rPr>
          <w:b/>
          <w:sz w:val="24"/>
          <w:lang w:val="zh-CN"/>
        </w:rPr>
      </w:pPr>
    </w:p>
    <w:p w14:paraId="3E64BD66">
      <w:pPr>
        <w:pStyle w:val="24"/>
        <w:tabs>
          <w:tab w:val="right" w:leader="dot" w:pos="8844"/>
        </w:tabs>
        <w:spacing w:line="480" w:lineRule="exact"/>
        <w:ind w:firstLine="482" w:firstLineChars="200"/>
        <w:rPr>
          <w:b/>
          <w:sz w:val="24"/>
          <w:lang w:val="zh-CN"/>
        </w:rPr>
      </w:pPr>
      <w:r>
        <w:rPr>
          <w:b/>
          <w:sz w:val="24"/>
          <w:lang w:val="zh-CN"/>
        </w:rPr>
        <w:t>附件：</w:t>
      </w:r>
    </w:p>
    <w:p w14:paraId="14D99C71">
      <w:pPr>
        <w:tabs>
          <w:tab w:val="right" w:leader="dot" w:pos="9185"/>
        </w:tabs>
        <w:spacing w:line="480" w:lineRule="exact"/>
        <w:ind w:firstLine="480" w:firstLineChars="200"/>
        <w:outlineLvl w:val="0"/>
        <w:rPr>
          <w:sz w:val="24"/>
        </w:rPr>
      </w:pPr>
      <w:bookmarkStart w:id="0" w:name="_Toc30422_WPSOffice_Level1"/>
      <w:bookmarkStart w:id="1" w:name="_Toc25741_WPSOffice_Level1"/>
      <w:bookmarkStart w:id="2" w:name="_Toc9352_WPSOffice_Level1"/>
      <w:bookmarkStart w:id="3" w:name="_Toc9052"/>
      <w:bookmarkStart w:id="4" w:name="_Toc18444"/>
      <w:r>
        <w:rPr>
          <w:sz w:val="24"/>
        </w:rPr>
        <w:t xml:space="preserve">附件1 </w:t>
      </w:r>
      <w:bookmarkEnd w:id="0"/>
      <w:bookmarkEnd w:id="1"/>
      <w:bookmarkEnd w:id="2"/>
      <w:r>
        <w:rPr>
          <w:sz w:val="24"/>
        </w:rPr>
        <w:t>关于大金重工曹妃甸区70万千瓦陆上风力发电项目（市场化）核准的批复</w:t>
      </w:r>
      <w:bookmarkEnd w:id="3"/>
      <w:bookmarkEnd w:id="4"/>
    </w:p>
    <w:p w14:paraId="7B4C0BEF">
      <w:pPr>
        <w:tabs>
          <w:tab w:val="right" w:leader="dot" w:pos="9185"/>
        </w:tabs>
        <w:spacing w:line="480" w:lineRule="exact"/>
        <w:ind w:firstLine="480" w:firstLineChars="200"/>
        <w:outlineLvl w:val="0"/>
        <w:rPr>
          <w:sz w:val="24"/>
        </w:rPr>
      </w:pPr>
      <w:bookmarkStart w:id="5" w:name="_Toc5420"/>
      <w:r>
        <w:rPr>
          <w:sz w:val="24"/>
        </w:rPr>
        <w:t>附件2 营业执照</w:t>
      </w:r>
      <w:bookmarkEnd w:id="5"/>
    </w:p>
    <w:p w14:paraId="1AA58F6E">
      <w:pPr>
        <w:tabs>
          <w:tab w:val="right" w:leader="dot" w:pos="9185"/>
        </w:tabs>
        <w:spacing w:line="480" w:lineRule="exact"/>
        <w:ind w:firstLine="480" w:firstLineChars="200"/>
        <w:outlineLvl w:val="0"/>
        <w:rPr>
          <w:sz w:val="24"/>
        </w:rPr>
      </w:pPr>
      <w:bookmarkStart w:id="6" w:name="_Toc2866"/>
      <w:r>
        <w:rPr>
          <w:sz w:val="24"/>
        </w:rPr>
        <w:t>附件3 建设项目用地预审与选址意见书</w:t>
      </w:r>
      <w:bookmarkEnd w:id="6"/>
    </w:p>
    <w:p w14:paraId="125484FA">
      <w:pPr>
        <w:tabs>
          <w:tab w:val="right" w:leader="dot" w:pos="9185"/>
        </w:tabs>
        <w:spacing w:line="480" w:lineRule="exact"/>
        <w:ind w:firstLine="480" w:firstLineChars="200"/>
        <w:outlineLvl w:val="0"/>
        <w:rPr>
          <w:sz w:val="24"/>
        </w:rPr>
      </w:pPr>
      <w:bookmarkStart w:id="7" w:name="_Toc19246"/>
      <w:r>
        <w:rPr>
          <w:sz w:val="24"/>
        </w:rPr>
        <w:t xml:space="preserve">附件4 </w:t>
      </w:r>
      <w:bookmarkEnd w:id="7"/>
      <w:r>
        <w:rPr>
          <w:sz w:val="24"/>
        </w:rPr>
        <w:t>唐山市生态环境局曹妃甸区分局关于《关于商洽出具大金重工曹妃甸区70万千瓦陆上风力发电项目（保障性）选址意见的请示》的复函</w:t>
      </w:r>
    </w:p>
    <w:p w14:paraId="1FF3721B">
      <w:pPr>
        <w:tabs>
          <w:tab w:val="right" w:leader="dot" w:pos="9185"/>
        </w:tabs>
        <w:spacing w:line="480" w:lineRule="exact"/>
        <w:ind w:firstLine="480" w:firstLineChars="200"/>
        <w:outlineLvl w:val="0"/>
        <w:rPr>
          <w:sz w:val="24"/>
        </w:rPr>
      </w:pPr>
      <w:bookmarkStart w:id="8" w:name="_Toc22465"/>
      <w:r>
        <w:rPr>
          <w:sz w:val="24"/>
        </w:rPr>
        <w:t xml:space="preserve">附件5 </w:t>
      </w:r>
      <w:bookmarkEnd w:id="8"/>
      <w:r>
        <w:rPr>
          <w:sz w:val="24"/>
        </w:rPr>
        <w:t>河北省发展和改革委员会关于下达河北省2024年风电、光伏发电年度开发建设方案第三批项目的通知</w:t>
      </w:r>
    </w:p>
    <w:p w14:paraId="14CCEAC0">
      <w:pPr>
        <w:pStyle w:val="14"/>
        <w:spacing w:line="480" w:lineRule="exact"/>
        <w:ind w:left="0" w:leftChars="0" w:right="0" w:rightChars="0" w:firstLine="480" w:firstLineChars="200"/>
        <w:rPr>
          <w:sz w:val="24"/>
          <w:lang w:val="zh-CN"/>
        </w:rPr>
      </w:pPr>
      <w:r>
        <w:rPr>
          <w:sz w:val="24"/>
        </w:rPr>
        <w:t>附件6 储能租赁协议</w:t>
      </w:r>
    </w:p>
    <w:p w14:paraId="13B14088">
      <w:pPr>
        <w:pStyle w:val="14"/>
        <w:spacing w:line="480" w:lineRule="exact"/>
        <w:ind w:left="0" w:leftChars="0" w:right="0" w:rightChars="0" w:firstLine="480" w:firstLineChars="200"/>
        <w:rPr>
          <w:sz w:val="24"/>
          <w:lang w:val="zh-CN"/>
        </w:rPr>
      </w:pPr>
      <w:bookmarkStart w:id="9" w:name="_Toc29789"/>
      <w:r>
        <w:rPr>
          <w:sz w:val="24"/>
        </w:rPr>
        <w:t xml:space="preserve">附件7 </w:t>
      </w:r>
      <w:bookmarkEnd w:id="9"/>
      <w:r>
        <w:rPr>
          <w:sz w:val="24"/>
        </w:rPr>
        <w:t>声环境质量现状监测报告</w:t>
      </w:r>
    </w:p>
    <w:p w14:paraId="07DCC7EA">
      <w:pPr>
        <w:pStyle w:val="14"/>
        <w:spacing w:line="480" w:lineRule="exact"/>
        <w:ind w:left="0" w:leftChars="0" w:right="0" w:rightChars="0" w:firstLine="480" w:firstLineChars="200"/>
        <w:rPr>
          <w:sz w:val="24"/>
          <w:lang w:val="zh-CN"/>
        </w:rPr>
      </w:pPr>
      <w:r>
        <w:rPr>
          <w:sz w:val="24"/>
          <w:lang w:val="zh-CN"/>
        </w:rPr>
        <w:t>附件</w:t>
      </w:r>
      <w:r>
        <w:rPr>
          <w:rFonts w:hint="eastAsia"/>
          <w:sz w:val="24"/>
        </w:rPr>
        <w:t>8</w:t>
      </w:r>
      <w:r>
        <w:rPr>
          <w:sz w:val="24"/>
          <w:lang w:val="zh-CN"/>
        </w:rPr>
        <w:t xml:space="preserve"> </w:t>
      </w:r>
      <w:r>
        <w:rPr>
          <w:rFonts w:hint="eastAsia"/>
          <w:sz w:val="24"/>
          <w:lang w:val="zh-CN"/>
        </w:rPr>
        <w:t>风电机组噪声测试报告</w:t>
      </w:r>
    </w:p>
    <w:p w14:paraId="100BCD9E">
      <w:pPr>
        <w:pStyle w:val="14"/>
        <w:spacing w:line="480" w:lineRule="exact"/>
        <w:ind w:left="0" w:leftChars="0" w:right="0" w:rightChars="0" w:firstLine="480" w:firstLineChars="200"/>
        <w:rPr>
          <w:sz w:val="24"/>
          <w:lang w:val="zh-CN"/>
        </w:rPr>
      </w:pPr>
      <w:r>
        <w:rPr>
          <w:rFonts w:hint="eastAsia"/>
          <w:sz w:val="24"/>
          <w:lang w:val="zh-CN"/>
        </w:rPr>
        <w:t>附件</w:t>
      </w:r>
      <w:r>
        <w:rPr>
          <w:rFonts w:hint="eastAsia"/>
          <w:sz w:val="24"/>
        </w:rPr>
        <w:t>9 专家评审意见</w:t>
      </w:r>
    </w:p>
    <w:p w14:paraId="18FF8C9B">
      <w:pPr>
        <w:pStyle w:val="14"/>
        <w:spacing w:line="480" w:lineRule="exact"/>
        <w:ind w:left="0" w:leftChars="0" w:right="0" w:rightChars="0" w:firstLine="480" w:firstLineChars="200"/>
        <w:rPr>
          <w:sz w:val="24"/>
          <w:lang w:val="zh-CN"/>
        </w:rPr>
      </w:pPr>
      <w:r>
        <w:rPr>
          <w:sz w:val="24"/>
          <w:lang w:val="zh-CN"/>
        </w:rPr>
        <w:t>附件</w:t>
      </w:r>
      <w:r>
        <w:rPr>
          <w:rFonts w:hint="eastAsia"/>
          <w:sz w:val="24"/>
        </w:rPr>
        <w:t>10</w:t>
      </w:r>
      <w:r>
        <w:rPr>
          <w:sz w:val="24"/>
          <w:lang w:val="zh-CN"/>
        </w:rPr>
        <w:t xml:space="preserve"> </w:t>
      </w:r>
      <w:r>
        <w:rPr>
          <w:rFonts w:hint="eastAsia"/>
          <w:sz w:val="24"/>
          <w:lang w:val="zh-CN"/>
        </w:rPr>
        <w:t>修改说明</w:t>
      </w:r>
    </w:p>
    <w:p w14:paraId="3F95548E">
      <w:pPr>
        <w:pStyle w:val="14"/>
        <w:spacing w:line="480" w:lineRule="exact"/>
        <w:ind w:left="0" w:leftChars="0" w:right="0" w:rightChars="0" w:firstLine="480" w:firstLineChars="200"/>
        <w:rPr>
          <w:sz w:val="24"/>
          <w:lang w:val="zh-CN"/>
        </w:rPr>
      </w:pPr>
      <w:r>
        <w:rPr>
          <w:sz w:val="24"/>
          <w:lang w:val="zh-CN"/>
        </w:rPr>
        <w:t>附件</w:t>
      </w:r>
      <w:r>
        <w:rPr>
          <w:rFonts w:hint="eastAsia"/>
          <w:sz w:val="24"/>
        </w:rPr>
        <w:t>11 修改确认函</w:t>
      </w:r>
    </w:p>
    <w:p w14:paraId="2429ECCF">
      <w:pPr>
        <w:pStyle w:val="14"/>
        <w:spacing w:line="480" w:lineRule="exact"/>
        <w:ind w:left="0" w:leftChars="0" w:right="0" w:rightChars="0" w:firstLine="480" w:firstLineChars="200"/>
        <w:rPr>
          <w:sz w:val="24"/>
          <w:lang w:val="zh-CN"/>
        </w:rPr>
      </w:pPr>
      <w:r>
        <w:rPr>
          <w:rFonts w:hint="eastAsia"/>
          <w:sz w:val="24"/>
          <w:lang w:val="zh-CN"/>
        </w:rPr>
        <w:t>附件</w:t>
      </w:r>
      <w:r>
        <w:rPr>
          <w:rFonts w:hint="eastAsia"/>
          <w:sz w:val="24"/>
        </w:rPr>
        <w:t xml:space="preserve">12 </w:t>
      </w:r>
      <w:r>
        <w:rPr>
          <w:sz w:val="24"/>
          <w:lang w:val="zh-CN"/>
        </w:rPr>
        <w:t>委托书</w:t>
      </w:r>
    </w:p>
    <w:p w14:paraId="576CCF08">
      <w:pPr>
        <w:pStyle w:val="14"/>
        <w:spacing w:line="480" w:lineRule="exact"/>
        <w:ind w:left="0" w:leftChars="0" w:right="0" w:rightChars="0" w:firstLine="480" w:firstLineChars="200"/>
        <w:rPr>
          <w:sz w:val="24"/>
          <w:lang w:val="zh-CN"/>
        </w:rPr>
      </w:pPr>
      <w:r>
        <w:rPr>
          <w:sz w:val="24"/>
          <w:lang w:val="zh-CN"/>
        </w:rPr>
        <w:t>附件</w:t>
      </w:r>
      <w:r>
        <w:rPr>
          <w:rFonts w:hint="eastAsia"/>
          <w:sz w:val="24"/>
        </w:rPr>
        <w:t>13</w:t>
      </w:r>
      <w:r>
        <w:rPr>
          <w:sz w:val="24"/>
          <w:lang w:val="zh-CN"/>
        </w:rPr>
        <w:t xml:space="preserve"> 建设单位承诺书</w:t>
      </w:r>
    </w:p>
    <w:p w14:paraId="074ECD5C">
      <w:pPr>
        <w:pStyle w:val="14"/>
        <w:spacing w:line="480" w:lineRule="exact"/>
        <w:ind w:left="0" w:leftChars="0" w:right="0" w:rightChars="0" w:firstLine="480" w:firstLineChars="200"/>
        <w:rPr>
          <w:sz w:val="24"/>
          <w:lang w:val="zh-CN"/>
        </w:rPr>
      </w:pPr>
      <w:r>
        <w:rPr>
          <w:sz w:val="24"/>
          <w:lang w:val="zh-CN"/>
        </w:rPr>
        <w:t>附件</w:t>
      </w:r>
      <w:r>
        <w:rPr>
          <w:rFonts w:hint="eastAsia"/>
          <w:sz w:val="24"/>
        </w:rPr>
        <w:t xml:space="preserve">14 </w:t>
      </w:r>
      <w:r>
        <w:rPr>
          <w:sz w:val="24"/>
          <w:lang w:val="zh-CN"/>
        </w:rPr>
        <w:t>环评单位承诺书</w:t>
      </w:r>
    </w:p>
    <w:p w14:paraId="667F4E25">
      <w:pPr>
        <w:pStyle w:val="42"/>
        <w:ind w:left="-25" w:firstLine="480"/>
        <w:rPr>
          <w:lang w:val="zh-CN"/>
        </w:rPr>
        <w:sectPr>
          <w:pgSz w:w="11906" w:h="16838"/>
          <w:pgMar w:top="1701" w:right="1531" w:bottom="1701" w:left="1531" w:header="851" w:footer="1077" w:gutter="0"/>
          <w:pgNumType w:start="1"/>
          <w:cols w:space="720" w:num="1"/>
          <w:docGrid w:linePitch="312" w:charSpace="0"/>
        </w:sectPr>
      </w:pPr>
    </w:p>
    <w:p w14:paraId="4B402AAC">
      <w:pPr>
        <w:pStyle w:val="24"/>
        <w:tabs>
          <w:tab w:val="right" w:leader="dot" w:pos="8844"/>
        </w:tabs>
        <w:rPr>
          <w:sz w:val="24"/>
        </w:rPr>
      </w:pPr>
    </w:p>
    <w:p w14:paraId="2DC1D3EA">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一、建设项目基本情况</w:t>
      </w:r>
    </w:p>
    <w:tbl>
      <w:tblPr>
        <w:tblStyle w:val="32"/>
        <w:tblW w:w="9039"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28"/>
        <w:gridCol w:w="2950"/>
        <w:gridCol w:w="1979"/>
        <w:gridCol w:w="10"/>
        <w:gridCol w:w="2272"/>
      </w:tblGrid>
      <w:tr w14:paraId="598A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035FA6B0">
            <w:pPr>
              <w:adjustRightInd w:val="0"/>
              <w:snapToGrid w:val="0"/>
              <w:jc w:val="center"/>
              <w:rPr>
                <w:sz w:val="24"/>
              </w:rPr>
            </w:pPr>
            <w:r>
              <w:rPr>
                <w:sz w:val="24"/>
              </w:rPr>
              <w:t>建设项目名称</w:t>
            </w:r>
          </w:p>
        </w:tc>
        <w:tc>
          <w:tcPr>
            <w:tcW w:w="7211" w:type="dxa"/>
            <w:gridSpan w:val="4"/>
            <w:vAlign w:val="center"/>
          </w:tcPr>
          <w:p w14:paraId="453A658E">
            <w:pPr>
              <w:adjustRightInd w:val="0"/>
              <w:snapToGrid w:val="0"/>
              <w:jc w:val="center"/>
              <w:rPr>
                <w:sz w:val="24"/>
              </w:rPr>
            </w:pPr>
            <w:r>
              <w:rPr>
                <w:rFonts w:hint="eastAsia"/>
                <w:sz w:val="24"/>
              </w:rPr>
              <w:t>大金重工曹妃甸区70万千瓦陆上风力发电项目（市场化）</w:t>
            </w:r>
          </w:p>
        </w:tc>
      </w:tr>
      <w:tr w14:paraId="2783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828" w:type="dxa"/>
            <w:tcMar>
              <w:top w:w="16" w:type="dxa"/>
              <w:left w:w="16" w:type="dxa"/>
              <w:right w:w="16" w:type="dxa"/>
            </w:tcMar>
            <w:vAlign w:val="center"/>
          </w:tcPr>
          <w:p w14:paraId="6B96E04A">
            <w:pPr>
              <w:adjustRightInd w:val="0"/>
              <w:snapToGrid w:val="0"/>
              <w:jc w:val="center"/>
              <w:rPr>
                <w:sz w:val="24"/>
              </w:rPr>
            </w:pPr>
            <w:r>
              <w:rPr>
                <w:sz w:val="24"/>
              </w:rPr>
              <w:t>项目代码</w:t>
            </w:r>
          </w:p>
        </w:tc>
        <w:tc>
          <w:tcPr>
            <w:tcW w:w="7211" w:type="dxa"/>
            <w:gridSpan w:val="4"/>
            <w:vAlign w:val="center"/>
          </w:tcPr>
          <w:p w14:paraId="779FFDDF">
            <w:pPr>
              <w:adjustRightInd w:val="0"/>
              <w:snapToGrid w:val="0"/>
              <w:jc w:val="center"/>
              <w:rPr>
                <w:sz w:val="24"/>
              </w:rPr>
            </w:pPr>
            <w:r>
              <w:rPr>
                <w:rFonts w:hint="eastAsia"/>
                <w:sz w:val="24"/>
              </w:rPr>
              <w:t>2412-130209-89-01-918295</w:t>
            </w:r>
          </w:p>
        </w:tc>
      </w:tr>
      <w:tr w14:paraId="020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0187C6B6">
            <w:pPr>
              <w:adjustRightInd w:val="0"/>
              <w:snapToGrid w:val="0"/>
              <w:jc w:val="center"/>
              <w:rPr>
                <w:sz w:val="24"/>
              </w:rPr>
            </w:pPr>
            <w:r>
              <w:rPr>
                <w:sz w:val="24"/>
              </w:rPr>
              <w:t>建设单位联系人</w:t>
            </w:r>
          </w:p>
        </w:tc>
        <w:tc>
          <w:tcPr>
            <w:tcW w:w="2950" w:type="dxa"/>
            <w:vAlign w:val="center"/>
          </w:tcPr>
          <w:p w14:paraId="5948ECC4">
            <w:pPr>
              <w:adjustRightInd w:val="0"/>
              <w:snapToGrid w:val="0"/>
              <w:jc w:val="center"/>
              <w:rPr>
                <w:sz w:val="24"/>
              </w:rPr>
            </w:pPr>
            <w:r>
              <w:rPr>
                <w:rFonts w:hint="eastAsia"/>
                <w:sz w:val="24"/>
              </w:rPr>
              <w:t>王振</w:t>
            </w:r>
          </w:p>
        </w:tc>
        <w:tc>
          <w:tcPr>
            <w:tcW w:w="1989" w:type="dxa"/>
            <w:gridSpan w:val="2"/>
            <w:vAlign w:val="center"/>
          </w:tcPr>
          <w:p w14:paraId="2BF46710">
            <w:pPr>
              <w:adjustRightInd w:val="0"/>
              <w:snapToGrid w:val="0"/>
              <w:jc w:val="center"/>
              <w:rPr>
                <w:sz w:val="24"/>
              </w:rPr>
            </w:pPr>
            <w:r>
              <w:rPr>
                <w:sz w:val="24"/>
              </w:rPr>
              <w:t>联系方式</w:t>
            </w:r>
          </w:p>
        </w:tc>
        <w:tc>
          <w:tcPr>
            <w:tcW w:w="2272" w:type="dxa"/>
            <w:vAlign w:val="center"/>
          </w:tcPr>
          <w:p w14:paraId="548E38DD">
            <w:pPr>
              <w:adjustRightInd w:val="0"/>
              <w:snapToGrid w:val="0"/>
              <w:jc w:val="center"/>
              <w:rPr>
                <w:sz w:val="24"/>
              </w:rPr>
            </w:pPr>
            <w:r>
              <w:rPr>
                <w:rFonts w:hint="eastAsia"/>
                <w:sz w:val="24"/>
              </w:rPr>
              <w:t>13613401725</w:t>
            </w:r>
          </w:p>
        </w:tc>
      </w:tr>
      <w:tr w14:paraId="4707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828" w:type="dxa"/>
            <w:tcMar>
              <w:top w:w="16" w:type="dxa"/>
              <w:left w:w="16" w:type="dxa"/>
              <w:right w:w="16" w:type="dxa"/>
            </w:tcMar>
            <w:vAlign w:val="center"/>
          </w:tcPr>
          <w:p w14:paraId="0CFEBE11">
            <w:pPr>
              <w:adjustRightInd w:val="0"/>
              <w:snapToGrid w:val="0"/>
              <w:jc w:val="center"/>
              <w:rPr>
                <w:sz w:val="24"/>
              </w:rPr>
            </w:pPr>
            <w:r>
              <w:rPr>
                <w:sz w:val="24"/>
              </w:rPr>
              <w:t>建设地点</w:t>
            </w:r>
          </w:p>
        </w:tc>
        <w:tc>
          <w:tcPr>
            <w:tcW w:w="7211" w:type="dxa"/>
            <w:gridSpan w:val="4"/>
            <w:vAlign w:val="center"/>
          </w:tcPr>
          <w:p w14:paraId="5413E530">
            <w:pPr>
              <w:adjustRightInd w:val="0"/>
              <w:snapToGrid w:val="0"/>
              <w:jc w:val="center"/>
              <w:rPr>
                <w:sz w:val="24"/>
              </w:rPr>
            </w:pPr>
            <w:r>
              <w:rPr>
                <w:rFonts w:hint="eastAsia"/>
                <w:sz w:val="24"/>
              </w:rPr>
              <w:t>唐山市曹妃甸区</w:t>
            </w:r>
            <w:r>
              <w:rPr>
                <w:sz w:val="24"/>
              </w:rPr>
              <w:t>孙塘庄镇、双井镇、柳赞镇和唐海镇</w:t>
            </w:r>
          </w:p>
        </w:tc>
      </w:tr>
      <w:tr w14:paraId="274B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828" w:type="dxa"/>
            <w:tcMar>
              <w:top w:w="16" w:type="dxa"/>
              <w:left w:w="16" w:type="dxa"/>
              <w:right w:w="16" w:type="dxa"/>
            </w:tcMar>
            <w:vAlign w:val="center"/>
          </w:tcPr>
          <w:p w14:paraId="3EB2B092">
            <w:pPr>
              <w:adjustRightInd w:val="0"/>
              <w:snapToGrid w:val="0"/>
              <w:jc w:val="center"/>
              <w:rPr>
                <w:sz w:val="24"/>
              </w:rPr>
            </w:pPr>
            <w:r>
              <w:rPr>
                <w:sz w:val="24"/>
              </w:rPr>
              <w:t>地理坐标</w:t>
            </w:r>
          </w:p>
        </w:tc>
        <w:tc>
          <w:tcPr>
            <w:tcW w:w="7211" w:type="dxa"/>
            <w:gridSpan w:val="4"/>
            <w:vAlign w:val="center"/>
          </w:tcPr>
          <w:tbl>
            <w:tblPr>
              <w:tblStyle w:val="32"/>
              <w:tblW w:w="6236" w:type="dxa"/>
              <w:jc w:val="center"/>
              <w:tblLayout w:type="fixed"/>
              <w:tblCellMar>
                <w:top w:w="0" w:type="dxa"/>
                <w:left w:w="108" w:type="dxa"/>
                <w:bottom w:w="0" w:type="dxa"/>
                <w:right w:w="108" w:type="dxa"/>
              </w:tblCellMar>
            </w:tblPr>
            <w:tblGrid>
              <w:gridCol w:w="1921"/>
              <w:gridCol w:w="2316"/>
              <w:gridCol w:w="1999"/>
            </w:tblGrid>
            <w:tr w14:paraId="72CC7CED">
              <w:tblPrEx>
                <w:tblCellMar>
                  <w:top w:w="0" w:type="dxa"/>
                  <w:left w:w="108" w:type="dxa"/>
                  <w:bottom w:w="0" w:type="dxa"/>
                  <w:right w:w="108" w:type="dxa"/>
                </w:tblCellMar>
              </w:tblPrEx>
              <w:trPr>
                <w:trHeight w:val="315" w:hRule="atLeast"/>
                <w:jc w:val="center"/>
              </w:trPr>
              <w:tc>
                <w:tcPr>
                  <w:tcW w:w="1921" w:type="dxa"/>
                  <w:tcBorders>
                    <w:tl2br w:val="nil"/>
                    <w:tr2bl w:val="nil"/>
                  </w:tcBorders>
                  <w:shd w:val="clear" w:color="auto" w:fill="auto"/>
                  <w:vAlign w:val="center"/>
                </w:tcPr>
                <w:p w14:paraId="680E91E7">
                  <w:pPr>
                    <w:widowControl/>
                    <w:jc w:val="center"/>
                    <w:textAlignment w:val="center"/>
                    <w:rPr>
                      <w:sz w:val="24"/>
                    </w:rPr>
                  </w:pPr>
                  <w:r>
                    <w:rPr>
                      <w:kern w:val="0"/>
                      <w:sz w:val="24"/>
                    </w:rPr>
                    <w:t>升压站</w:t>
                  </w:r>
                  <w:r>
                    <w:rPr>
                      <w:rFonts w:hint="eastAsia"/>
                      <w:kern w:val="0"/>
                      <w:sz w:val="24"/>
                    </w:rPr>
                    <w:t>中心坐标</w:t>
                  </w:r>
                </w:p>
              </w:tc>
              <w:tc>
                <w:tcPr>
                  <w:tcW w:w="2316" w:type="dxa"/>
                  <w:tcBorders>
                    <w:tl2br w:val="nil"/>
                    <w:tr2bl w:val="nil"/>
                  </w:tcBorders>
                  <w:shd w:val="clear" w:color="auto" w:fill="auto"/>
                  <w:noWrap/>
                  <w:vAlign w:val="center"/>
                </w:tcPr>
                <w:p w14:paraId="445F8853">
                  <w:pPr>
                    <w:widowControl/>
                    <w:jc w:val="center"/>
                    <w:textAlignment w:val="center"/>
                    <w:rPr>
                      <w:sz w:val="24"/>
                    </w:rPr>
                  </w:pPr>
                  <w:r>
                    <w:rPr>
                      <w:rFonts w:hint="eastAsia"/>
                      <w:kern w:val="0"/>
                      <w:sz w:val="24"/>
                    </w:rPr>
                    <w:t>E</w:t>
                  </w:r>
                  <w:r>
                    <w:rPr>
                      <w:kern w:val="0"/>
                      <w:sz w:val="24"/>
                    </w:rPr>
                    <w:t>118°21′55.534″</w:t>
                  </w:r>
                </w:p>
              </w:tc>
              <w:tc>
                <w:tcPr>
                  <w:tcW w:w="1999" w:type="dxa"/>
                  <w:tcBorders>
                    <w:tl2br w:val="nil"/>
                    <w:tr2bl w:val="nil"/>
                  </w:tcBorders>
                  <w:shd w:val="clear" w:color="auto" w:fill="auto"/>
                  <w:noWrap/>
                  <w:vAlign w:val="center"/>
                </w:tcPr>
                <w:p w14:paraId="76AF937F">
                  <w:pPr>
                    <w:widowControl/>
                    <w:jc w:val="center"/>
                    <w:textAlignment w:val="center"/>
                    <w:rPr>
                      <w:sz w:val="24"/>
                    </w:rPr>
                  </w:pPr>
                  <w:r>
                    <w:rPr>
                      <w:rFonts w:hint="eastAsia"/>
                      <w:kern w:val="0"/>
                      <w:sz w:val="24"/>
                    </w:rPr>
                    <w:t>N</w:t>
                  </w:r>
                  <w:r>
                    <w:rPr>
                      <w:kern w:val="0"/>
                      <w:sz w:val="24"/>
                    </w:rPr>
                    <w:t>39°17′30.044″</w:t>
                  </w:r>
                </w:p>
              </w:tc>
            </w:tr>
            <w:tr w14:paraId="224ECD49">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494B0C1">
                  <w:pPr>
                    <w:widowControl/>
                    <w:jc w:val="center"/>
                    <w:textAlignment w:val="center"/>
                    <w:rPr>
                      <w:sz w:val="24"/>
                    </w:rPr>
                  </w:pPr>
                  <w:r>
                    <w:rPr>
                      <w:rFonts w:hint="eastAsia"/>
                      <w:kern w:val="0"/>
                      <w:sz w:val="24"/>
                    </w:rPr>
                    <w:t>风机</w:t>
                  </w:r>
                  <w:r>
                    <w:rPr>
                      <w:kern w:val="0"/>
                      <w:sz w:val="24"/>
                    </w:rPr>
                    <w:t>J01</w:t>
                  </w:r>
                </w:p>
              </w:tc>
              <w:tc>
                <w:tcPr>
                  <w:tcW w:w="2316" w:type="dxa"/>
                  <w:tcBorders>
                    <w:tl2br w:val="nil"/>
                    <w:tr2bl w:val="nil"/>
                  </w:tcBorders>
                  <w:shd w:val="clear" w:color="auto" w:fill="auto"/>
                  <w:noWrap/>
                  <w:vAlign w:val="center"/>
                </w:tcPr>
                <w:p w14:paraId="277B669C">
                  <w:pPr>
                    <w:widowControl/>
                    <w:jc w:val="center"/>
                    <w:textAlignment w:val="center"/>
                    <w:rPr>
                      <w:sz w:val="24"/>
                    </w:rPr>
                  </w:pPr>
                  <w:r>
                    <w:rPr>
                      <w:rFonts w:hint="eastAsia"/>
                      <w:kern w:val="0"/>
                      <w:sz w:val="24"/>
                    </w:rPr>
                    <w:t>E</w:t>
                  </w:r>
                  <w:r>
                    <w:rPr>
                      <w:kern w:val="0"/>
                      <w:sz w:val="24"/>
                    </w:rPr>
                    <w:t>118°12′28.368″</w:t>
                  </w:r>
                </w:p>
              </w:tc>
              <w:tc>
                <w:tcPr>
                  <w:tcW w:w="1999" w:type="dxa"/>
                  <w:tcBorders>
                    <w:tl2br w:val="nil"/>
                    <w:tr2bl w:val="nil"/>
                  </w:tcBorders>
                  <w:shd w:val="clear" w:color="auto" w:fill="auto"/>
                  <w:noWrap/>
                  <w:vAlign w:val="center"/>
                </w:tcPr>
                <w:p w14:paraId="0D180F5B">
                  <w:pPr>
                    <w:widowControl/>
                    <w:jc w:val="center"/>
                    <w:textAlignment w:val="center"/>
                    <w:rPr>
                      <w:sz w:val="24"/>
                    </w:rPr>
                  </w:pPr>
                  <w:r>
                    <w:rPr>
                      <w:rFonts w:hint="eastAsia"/>
                      <w:kern w:val="0"/>
                      <w:sz w:val="24"/>
                    </w:rPr>
                    <w:t>N</w:t>
                  </w:r>
                  <w:r>
                    <w:rPr>
                      <w:kern w:val="0"/>
                      <w:sz w:val="24"/>
                    </w:rPr>
                    <w:t>39°25′13.591″</w:t>
                  </w:r>
                </w:p>
              </w:tc>
            </w:tr>
            <w:tr w14:paraId="72480C7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A3D80F1">
                  <w:pPr>
                    <w:widowControl/>
                    <w:jc w:val="center"/>
                    <w:textAlignment w:val="center"/>
                    <w:rPr>
                      <w:sz w:val="24"/>
                    </w:rPr>
                  </w:pPr>
                  <w:r>
                    <w:rPr>
                      <w:rFonts w:hint="eastAsia"/>
                      <w:kern w:val="0"/>
                      <w:sz w:val="24"/>
                    </w:rPr>
                    <w:t>风机</w:t>
                  </w:r>
                  <w:r>
                    <w:rPr>
                      <w:kern w:val="0"/>
                      <w:sz w:val="24"/>
                    </w:rPr>
                    <w:t>J02</w:t>
                  </w:r>
                </w:p>
              </w:tc>
              <w:tc>
                <w:tcPr>
                  <w:tcW w:w="2316" w:type="dxa"/>
                  <w:tcBorders>
                    <w:tl2br w:val="nil"/>
                    <w:tr2bl w:val="nil"/>
                  </w:tcBorders>
                  <w:shd w:val="clear" w:color="auto" w:fill="auto"/>
                  <w:noWrap/>
                  <w:vAlign w:val="center"/>
                </w:tcPr>
                <w:p w14:paraId="477887FB">
                  <w:pPr>
                    <w:widowControl/>
                    <w:jc w:val="center"/>
                    <w:textAlignment w:val="center"/>
                    <w:rPr>
                      <w:sz w:val="24"/>
                    </w:rPr>
                  </w:pPr>
                  <w:r>
                    <w:rPr>
                      <w:rFonts w:hint="eastAsia"/>
                      <w:kern w:val="0"/>
                      <w:sz w:val="24"/>
                    </w:rPr>
                    <w:t>E</w:t>
                  </w:r>
                  <w:r>
                    <w:rPr>
                      <w:kern w:val="0"/>
                      <w:sz w:val="24"/>
                    </w:rPr>
                    <w:t>118°18′21.582″</w:t>
                  </w:r>
                </w:p>
              </w:tc>
              <w:tc>
                <w:tcPr>
                  <w:tcW w:w="1999" w:type="dxa"/>
                  <w:tcBorders>
                    <w:tl2br w:val="nil"/>
                    <w:tr2bl w:val="nil"/>
                  </w:tcBorders>
                  <w:shd w:val="clear" w:color="auto" w:fill="auto"/>
                  <w:noWrap/>
                  <w:vAlign w:val="center"/>
                </w:tcPr>
                <w:p w14:paraId="540F7130">
                  <w:pPr>
                    <w:widowControl/>
                    <w:jc w:val="center"/>
                    <w:textAlignment w:val="center"/>
                    <w:rPr>
                      <w:sz w:val="24"/>
                    </w:rPr>
                  </w:pPr>
                  <w:r>
                    <w:rPr>
                      <w:rFonts w:hint="eastAsia"/>
                      <w:kern w:val="0"/>
                      <w:sz w:val="24"/>
                    </w:rPr>
                    <w:t>N</w:t>
                  </w:r>
                  <w:r>
                    <w:rPr>
                      <w:kern w:val="0"/>
                      <w:sz w:val="24"/>
                    </w:rPr>
                    <w:t>39°24′02.927″</w:t>
                  </w:r>
                </w:p>
              </w:tc>
            </w:tr>
            <w:tr w14:paraId="51A95E4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8E921FD">
                  <w:pPr>
                    <w:widowControl/>
                    <w:jc w:val="center"/>
                    <w:textAlignment w:val="center"/>
                    <w:rPr>
                      <w:sz w:val="24"/>
                    </w:rPr>
                  </w:pPr>
                  <w:r>
                    <w:rPr>
                      <w:rFonts w:hint="eastAsia"/>
                      <w:kern w:val="0"/>
                      <w:sz w:val="24"/>
                    </w:rPr>
                    <w:t>风机</w:t>
                  </w:r>
                  <w:r>
                    <w:rPr>
                      <w:kern w:val="0"/>
                      <w:sz w:val="24"/>
                    </w:rPr>
                    <w:t>J03</w:t>
                  </w:r>
                </w:p>
              </w:tc>
              <w:tc>
                <w:tcPr>
                  <w:tcW w:w="2316" w:type="dxa"/>
                  <w:tcBorders>
                    <w:tl2br w:val="nil"/>
                    <w:tr2bl w:val="nil"/>
                  </w:tcBorders>
                  <w:shd w:val="clear" w:color="auto" w:fill="auto"/>
                  <w:noWrap/>
                  <w:vAlign w:val="center"/>
                </w:tcPr>
                <w:p w14:paraId="7A760027">
                  <w:pPr>
                    <w:widowControl/>
                    <w:jc w:val="center"/>
                    <w:textAlignment w:val="center"/>
                    <w:rPr>
                      <w:sz w:val="24"/>
                    </w:rPr>
                  </w:pPr>
                  <w:r>
                    <w:rPr>
                      <w:rFonts w:hint="eastAsia"/>
                      <w:kern w:val="0"/>
                      <w:sz w:val="24"/>
                    </w:rPr>
                    <w:t>E</w:t>
                  </w:r>
                  <w:r>
                    <w:rPr>
                      <w:kern w:val="0"/>
                      <w:sz w:val="24"/>
                    </w:rPr>
                    <w:t>118°15′56.981″</w:t>
                  </w:r>
                </w:p>
              </w:tc>
              <w:tc>
                <w:tcPr>
                  <w:tcW w:w="1999" w:type="dxa"/>
                  <w:tcBorders>
                    <w:tl2br w:val="nil"/>
                    <w:tr2bl w:val="nil"/>
                  </w:tcBorders>
                  <w:shd w:val="clear" w:color="auto" w:fill="auto"/>
                  <w:noWrap/>
                  <w:vAlign w:val="center"/>
                </w:tcPr>
                <w:p w14:paraId="5A344537">
                  <w:pPr>
                    <w:widowControl/>
                    <w:jc w:val="center"/>
                    <w:textAlignment w:val="center"/>
                    <w:rPr>
                      <w:sz w:val="24"/>
                    </w:rPr>
                  </w:pPr>
                  <w:r>
                    <w:rPr>
                      <w:rFonts w:hint="eastAsia"/>
                      <w:kern w:val="0"/>
                      <w:sz w:val="24"/>
                    </w:rPr>
                    <w:t>N</w:t>
                  </w:r>
                  <w:r>
                    <w:rPr>
                      <w:kern w:val="0"/>
                      <w:sz w:val="24"/>
                    </w:rPr>
                    <w:t>39°23′40.585″</w:t>
                  </w:r>
                </w:p>
              </w:tc>
            </w:tr>
            <w:tr w14:paraId="134E0C5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4A9B773">
                  <w:pPr>
                    <w:widowControl/>
                    <w:jc w:val="center"/>
                    <w:textAlignment w:val="center"/>
                    <w:rPr>
                      <w:sz w:val="24"/>
                    </w:rPr>
                  </w:pPr>
                  <w:r>
                    <w:rPr>
                      <w:rFonts w:hint="eastAsia"/>
                      <w:kern w:val="0"/>
                      <w:sz w:val="24"/>
                    </w:rPr>
                    <w:t>风机</w:t>
                  </w:r>
                  <w:r>
                    <w:rPr>
                      <w:kern w:val="0"/>
                      <w:sz w:val="24"/>
                    </w:rPr>
                    <w:t>J04</w:t>
                  </w:r>
                </w:p>
              </w:tc>
              <w:tc>
                <w:tcPr>
                  <w:tcW w:w="2316" w:type="dxa"/>
                  <w:tcBorders>
                    <w:tl2br w:val="nil"/>
                    <w:tr2bl w:val="nil"/>
                  </w:tcBorders>
                  <w:shd w:val="clear" w:color="auto" w:fill="auto"/>
                  <w:noWrap/>
                  <w:vAlign w:val="center"/>
                </w:tcPr>
                <w:p w14:paraId="03D3F291">
                  <w:pPr>
                    <w:widowControl/>
                    <w:jc w:val="center"/>
                    <w:textAlignment w:val="center"/>
                    <w:rPr>
                      <w:sz w:val="24"/>
                    </w:rPr>
                  </w:pPr>
                  <w:r>
                    <w:rPr>
                      <w:rFonts w:hint="eastAsia"/>
                      <w:kern w:val="0"/>
                      <w:sz w:val="24"/>
                    </w:rPr>
                    <w:t>E</w:t>
                  </w:r>
                  <w:r>
                    <w:rPr>
                      <w:kern w:val="0"/>
                      <w:sz w:val="24"/>
                    </w:rPr>
                    <w:t>118°12′50.807″</w:t>
                  </w:r>
                </w:p>
              </w:tc>
              <w:tc>
                <w:tcPr>
                  <w:tcW w:w="1999" w:type="dxa"/>
                  <w:tcBorders>
                    <w:tl2br w:val="nil"/>
                    <w:tr2bl w:val="nil"/>
                  </w:tcBorders>
                  <w:shd w:val="clear" w:color="auto" w:fill="auto"/>
                  <w:noWrap/>
                  <w:vAlign w:val="center"/>
                </w:tcPr>
                <w:p w14:paraId="6ECA5DA5">
                  <w:pPr>
                    <w:widowControl/>
                    <w:jc w:val="center"/>
                    <w:textAlignment w:val="center"/>
                    <w:rPr>
                      <w:sz w:val="24"/>
                    </w:rPr>
                  </w:pPr>
                  <w:r>
                    <w:rPr>
                      <w:rFonts w:hint="eastAsia"/>
                      <w:kern w:val="0"/>
                      <w:sz w:val="24"/>
                    </w:rPr>
                    <w:t>N</w:t>
                  </w:r>
                  <w:r>
                    <w:rPr>
                      <w:kern w:val="0"/>
                      <w:sz w:val="24"/>
                    </w:rPr>
                    <w:t>39°23′29.893″</w:t>
                  </w:r>
                </w:p>
              </w:tc>
            </w:tr>
            <w:tr w14:paraId="0DF81A8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2BB2CD4">
                  <w:pPr>
                    <w:widowControl/>
                    <w:jc w:val="center"/>
                    <w:textAlignment w:val="center"/>
                    <w:rPr>
                      <w:sz w:val="24"/>
                    </w:rPr>
                  </w:pPr>
                  <w:r>
                    <w:rPr>
                      <w:rFonts w:hint="eastAsia"/>
                      <w:kern w:val="0"/>
                      <w:sz w:val="24"/>
                    </w:rPr>
                    <w:t>风机</w:t>
                  </w:r>
                  <w:r>
                    <w:rPr>
                      <w:kern w:val="0"/>
                      <w:sz w:val="24"/>
                    </w:rPr>
                    <w:t>J05</w:t>
                  </w:r>
                </w:p>
              </w:tc>
              <w:tc>
                <w:tcPr>
                  <w:tcW w:w="2316" w:type="dxa"/>
                  <w:tcBorders>
                    <w:tl2br w:val="nil"/>
                    <w:tr2bl w:val="nil"/>
                  </w:tcBorders>
                  <w:shd w:val="clear" w:color="auto" w:fill="auto"/>
                  <w:noWrap/>
                  <w:vAlign w:val="center"/>
                </w:tcPr>
                <w:p w14:paraId="59EC668B">
                  <w:pPr>
                    <w:widowControl/>
                    <w:jc w:val="center"/>
                    <w:textAlignment w:val="center"/>
                    <w:rPr>
                      <w:sz w:val="24"/>
                    </w:rPr>
                  </w:pPr>
                  <w:r>
                    <w:rPr>
                      <w:rFonts w:hint="eastAsia"/>
                      <w:kern w:val="0"/>
                      <w:sz w:val="24"/>
                    </w:rPr>
                    <w:t>E</w:t>
                  </w:r>
                  <w:r>
                    <w:rPr>
                      <w:kern w:val="0"/>
                      <w:sz w:val="24"/>
                    </w:rPr>
                    <w:t>118°14′42.626″</w:t>
                  </w:r>
                </w:p>
              </w:tc>
              <w:tc>
                <w:tcPr>
                  <w:tcW w:w="1999" w:type="dxa"/>
                  <w:tcBorders>
                    <w:tl2br w:val="nil"/>
                    <w:tr2bl w:val="nil"/>
                  </w:tcBorders>
                  <w:shd w:val="clear" w:color="auto" w:fill="auto"/>
                  <w:noWrap/>
                  <w:vAlign w:val="center"/>
                </w:tcPr>
                <w:p w14:paraId="29D0EA56">
                  <w:pPr>
                    <w:widowControl/>
                    <w:jc w:val="center"/>
                    <w:textAlignment w:val="center"/>
                    <w:rPr>
                      <w:sz w:val="24"/>
                    </w:rPr>
                  </w:pPr>
                  <w:r>
                    <w:rPr>
                      <w:rFonts w:hint="eastAsia"/>
                      <w:kern w:val="0"/>
                      <w:sz w:val="24"/>
                    </w:rPr>
                    <w:t>N</w:t>
                  </w:r>
                  <w:r>
                    <w:rPr>
                      <w:kern w:val="0"/>
                      <w:sz w:val="24"/>
                    </w:rPr>
                    <w:t>39°23′23.539″</w:t>
                  </w:r>
                </w:p>
              </w:tc>
            </w:tr>
            <w:tr w14:paraId="5A502C5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93E2E76">
                  <w:pPr>
                    <w:widowControl/>
                    <w:jc w:val="center"/>
                    <w:textAlignment w:val="center"/>
                    <w:rPr>
                      <w:sz w:val="24"/>
                    </w:rPr>
                  </w:pPr>
                  <w:r>
                    <w:rPr>
                      <w:rFonts w:hint="eastAsia"/>
                      <w:kern w:val="0"/>
                      <w:sz w:val="24"/>
                    </w:rPr>
                    <w:t>风机</w:t>
                  </w:r>
                  <w:r>
                    <w:rPr>
                      <w:kern w:val="0"/>
                      <w:sz w:val="24"/>
                    </w:rPr>
                    <w:t>J06</w:t>
                  </w:r>
                </w:p>
              </w:tc>
              <w:tc>
                <w:tcPr>
                  <w:tcW w:w="2316" w:type="dxa"/>
                  <w:tcBorders>
                    <w:tl2br w:val="nil"/>
                    <w:tr2bl w:val="nil"/>
                  </w:tcBorders>
                  <w:shd w:val="clear" w:color="auto" w:fill="auto"/>
                  <w:noWrap/>
                  <w:vAlign w:val="center"/>
                </w:tcPr>
                <w:p w14:paraId="5081346B">
                  <w:pPr>
                    <w:widowControl/>
                    <w:jc w:val="center"/>
                    <w:textAlignment w:val="center"/>
                    <w:rPr>
                      <w:sz w:val="24"/>
                    </w:rPr>
                  </w:pPr>
                  <w:r>
                    <w:rPr>
                      <w:rFonts w:hint="eastAsia"/>
                      <w:kern w:val="0"/>
                      <w:sz w:val="24"/>
                    </w:rPr>
                    <w:t>E</w:t>
                  </w:r>
                  <w:r>
                    <w:rPr>
                      <w:kern w:val="0"/>
                      <w:sz w:val="24"/>
                    </w:rPr>
                    <w:t>118°15′57.744″</w:t>
                  </w:r>
                </w:p>
              </w:tc>
              <w:tc>
                <w:tcPr>
                  <w:tcW w:w="1999" w:type="dxa"/>
                  <w:tcBorders>
                    <w:tl2br w:val="nil"/>
                    <w:tr2bl w:val="nil"/>
                  </w:tcBorders>
                  <w:shd w:val="clear" w:color="auto" w:fill="auto"/>
                  <w:noWrap/>
                  <w:vAlign w:val="center"/>
                </w:tcPr>
                <w:p w14:paraId="26B58EE4">
                  <w:pPr>
                    <w:widowControl/>
                    <w:jc w:val="center"/>
                    <w:textAlignment w:val="center"/>
                    <w:rPr>
                      <w:sz w:val="24"/>
                    </w:rPr>
                  </w:pPr>
                  <w:r>
                    <w:rPr>
                      <w:rFonts w:hint="eastAsia"/>
                      <w:kern w:val="0"/>
                      <w:sz w:val="24"/>
                    </w:rPr>
                    <w:t>N</w:t>
                  </w:r>
                  <w:r>
                    <w:rPr>
                      <w:kern w:val="0"/>
                      <w:sz w:val="24"/>
                    </w:rPr>
                    <w:t>39°23′20.389″</w:t>
                  </w:r>
                </w:p>
              </w:tc>
            </w:tr>
            <w:tr w14:paraId="5C6C31B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48AB9AC">
                  <w:pPr>
                    <w:widowControl/>
                    <w:jc w:val="center"/>
                    <w:textAlignment w:val="center"/>
                    <w:rPr>
                      <w:sz w:val="24"/>
                    </w:rPr>
                  </w:pPr>
                  <w:r>
                    <w:rPr>
                      <w:rFonts w:hint="eastAsia"/>
                      <w:kern w:val="0"/>
                      <w:sz w:val="24"/>
                    </w:rPr>
                    <w:t>风机</w:t>
                  </w:r>
                  <w:r>
                    <w:rPr>
                      <w:kern w:val="0"/>
                      <w:sz w:val="24"/>
                    </w:rPr>
                    <w:t>J07</w:t>
                  </w:r>
                </w:p>
              </w:tc>
              <w:tc>
                <w:tcPr>
                  <w:tcW w:w="2316" w:type="dxa"/>
                  <w:tcBorders>
                    <w:tl2br w:val="nil"/>
                    <w:tr2bl w:val="nil"/>
                  </w:tcBorders>
                  <w:shd w:val="clear" w:color="auto" w:fill="auto"/>
                  <w:noWrap/>
                  <w:vAlign w:val="center"/>
                </w:tcPr>
                <w:p w14:paraId="7897D537">
                  <w:pPr>
                    <w:widowControl/>
                    <w:jc w:val="center"/>
                    <w:textAlignment w:val="center"/>
                    <w:rPr>
                      <w:sz w:val="24"/>
                    </w:rPr>
                  </w:pPr>
                  <w:r>
                    <w:rPr>
                      <w:rFonts w:hint="eastAsia"/>
                      <w:kern w:val="0"/>
                      <w:sz w:val="24"/>
                    </w:rPr>
                    <w:t>E</w:t>
                  </w:r>
                  <w:r>
                    <w:rPr>
                      <w:kern w:val="0"/>
                      <w:sz w:val="24"/>
                    </w:rPr>
                    <w:t>118°13′43.169″</w:t>
                  </w:r>
                </w:p>
              </w:tc>
              <w:tc>
                <w:tcPr>
                  <w:tcW w:w="1999" w:type="dxa"/>
                  <w:tcBorders>
                    <w:tl2br w:val="nil"/>
                    <w:tr2bl w:val="nil"/>
                  </w:tcBorders>
                  <w:shd w:val="clear" w:color="auto" w:fill="auto"/>
                  <w:noWrap/>
                  <w:vAlign w:val="center"/>
                </w:tcPr>
                <w:p w14:paraId="3B77955E">
                  <w:pPr>
                    <w:widowControl/>
                    <w:jc w:val="center"/>
                    <w:textAlignment w:val="center"/>
                    <w:rPr>
                      <w:sz w:val="24"/>
                    </w:rPr>
                  </w:pPr>
                  <w:r>
                    <w:rPr>
                      <w:rFonts w:hint="eastAsia"/>
                      <w:kern w:val="0"/>
                      <w:sz w:val="24"/>
                    </w:rPr>
                    <w:t>N</w:t>
                  </w:r>
                  <w:r>
                    <w:rPr>
                      <w:kern w:val="0"/>
                      <w:sz w:val="24"/>
                    </w:rPr>
                    <w:t>39°23′20.594″</w:t>
                  </w:r>
                </w:p>
              </w:tc>
            </w:tr>
            <w:tr w14:paraId="3FFDCCC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92CF224">
                  <w:pPr>
                    <w:widowControl/>
                    <w:jc w:val="center"/>
                    <w:textAlignment w:val="center"/>
                    <w:rPr>
                      <w:sz w:val="24"/>
                    </w:rPr>
                  </w:pPr>
                  <w:r>
                    <w:rPr>
                      <w:rFonts w:hint="eastAsia"/>
                      <w:kern w:val="0"/>
                      <w:sz w:val="24"/>
                    </w:rPr>
                    <w:t>风机</w:t>
                  </w:r>
                  <w:r>
                    <w:rPr>
                      <w:kern w:val="0"/>
                      <w:sz w:val="24"/>
                    </w:rPr>
                    <w:t>J08</w:t>
                  </w:r>
                </w:p>
              </w:tc>
              <w:tc>
                <w:tcPr>
                  <w:tcW w:w="2316" w:type="dxa"/>
                  <w:tcBorders>
                    <w:tl2br w:val="nil"/>
                    <w:tr2bl w:val="nil"/>
                  </w:tcBorders>
                  <w:shd w:val="clear" w:color="auto" w:fill="auto"/>
                  <w:noWrap/>
                  <w:vAlign w:val="center"/>
                </w:tcPr>
                <w:p w14:paraId="7D431A74">
                  <w:pPr>
                    <w:widowControl/>
                    <w:jc w:val="center"/>
                    <w:textAlignment w:val="center"/>
                    <w:rPr>
                      <w:sz w:val="24"/>
                    </w:rPr>
                  </w:pPr>
                  <w:r>
                    <w:rPr>
                      <w:rFonts w:hint="eastAsia"/>
                      <w:kern w:val="0"/>
                      <w:sz w:val="24"/>
                    </w:rPr>
                    <w:t>E</w:t>
                  </w:r>
                  <w:r>
                    <w:rPr>
                      <w:kern w:val="0"/>
                      <w:sz w:val="24"/>
                    </w:rPr>
                    <w:t>118°14′06.058″</w:t>
                  </w:r>
                </w:p>
              </w:tc>
              <w:tc>
                <w:tcPr>
                  <w:tcW w:w="1999" w:type="dxa"/>
                  <w:tcBorders>
                    <w:tl2br w:val="nil"/>
                    <w:tr2bl w:val="nil"/>
                  </w:tcBorders>
                  <w:shd w:val="clear" w:color="auto" w:fill="auto"/>
                  <w:noWrap/>
                  <w:vAlign w:val="center"/>
                </w:tcPr>
                <w:p w14:paraId="33136D5E">
                  <w:pPr>
                    <w:widowControl/>
                    <w:jc w:val="center"/>
                    <w:textAlignment w:val="center"/>
                    <w:rPr>
                      <w:sz w:val="24"/>
                    </w:rPr>
                  </w:pPr>
                  <w:r>
                    <w:rPr>
                      <w:rFonts w:hint="eastAsia"/>
                      <w:kern w:val="0"/>
                      <w:sz w:val="24"/>
                    </w:rPr>
                    <w:t>N</w:t>
                  </w:r>
                  <w:r>
                    <w:rPr>
                      <w:kern w:val="0"/>
                      <w:sz w:val="24"/>
                    </w:rPr>
                    <w:t>39°23′17.542″</w:t>
                  </w:r>
                </w:p>
              </w:tc>
            </w:tr>
            <w:tr w14:paraId="4FC1631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CA64050">
                  <w:pPr>
                    <w:widowControl/>
                    <w:jc w:val="center"/>
                    <w:textAlignment w:val="center"/>
                    <w:rPr>
                      <w:sz w:val="24"/>
                    </w:rPr>
                  </w:pPr>
                  <w:r>
                    <w:rPr>
                      <w:rFonts w:hint="eastAsia"/>
                      <w:kern w:val="0"/>
                      <w:sz w:val="24"/>
                    </w:rPr>
                    <w:t>风机</w:t>
                  </w:r>
                  <w:r>
                    <w:rPr>
                      <w:kern w:val="0"/>
                      <w:sz w:val="24"/>
                    </w:rPr>
                    <w:t>J09</w:t>
                  </w:r>
                </w:p>
              </w:tc>
              <w:tc>
                <w:tcPr>
                  <w:tcW w:w="2316" w:type="dxa"/>
                  <w:tcBorders>
                    <w:tl2br w:val="nil"/>
                    <w:tr2bl w:val="nil"/>
                  </w:tcBorders>
                  <w:shd w:val="clear" w:color="auto" w:fill="auto"/>
                  <w:noWrap/>
                  <w:vAlign w:val="center"/>
                </w:tcPr>
                <w:p w14:paraId="0AADA877">
                  <w:pPr>
                    <w:widowControl/>
                    <w:jc w:val="center"/>
                    <w:textAlignment w:val="center"/>
                    <w:rPr>
                      <w:sz w:val="24"/>
                    </w:rPr>
                  </w:pPr>
                  <w:r>
                    <w:rPr>
                      <w:rFonts w:hint="eastAsia"/>
                      <w:kern w:val="0"/>
                      <w:sz w:val="24"/>
                    </w:rPr>
                    <w:t>E</w:t>
                  </w:r>
                  <w:r>
                    <w:rPr>
                      <w:kern w:val="0"/>
                      <w:sz w:val="24"/>
                    </w:rPr>
                    <w:t>118°19′08.054″</w:t>
                  </w:r>
                </w:p>
              </w:tc>
              <w:tc>
                <w:tcPr>
                  <w:tcW w:w="1999" w:type="dxa"/>
                  <w:tcBorders>
                    <w:tl2br w:val="nil"/>
                    <w:tr2bl w:val="nil"/>
                  </w:tcBorders>
                  <w:shd w:val="clear" w:color="auto" w:fill="auto"/>
                  <w:noWrap/>
                  <w:vAlign w:val="center"/>
                </w:tcPr>
                <w:p w14:paraId="19EBDCB5">
                  <w:pPr>
                    <w:widowControl/>
                    <w:jc w:val="center"/>
                    <w:textAlignment w:val="center"/>
                    <w:rPr>
                      <w:sz w:val="24"/>
                    </w:rPr>
                  </w:pPr>
                  <w:r>
                    <w:rPr>
                      <w:rFonts w:hint="eastAsia"/>
                      <w:kern w:val="0"/>
                      <w:sz w:val="24"/>
                    </w:rPr>
                    <w:t>N</w:t>
                  </w:r>
                  <w:r>
                    <w:rPr>
                      <w:kern w:val="0"/>
                      <w:sz w:val="24"/>
                    </w:rPr>
                    <w:t>39°21′00.792″</w:t>
                  </w:r>
                </w:p>
              </w:tc>
            </w:tr>
            <w:tr w14:paraId="5DD86BF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553A3A7">
                  <w:pPr>
                    <w:widowControl/>
                    <w:jc w:val="center"/>
                    <w:textAlignment w:val="center"/>
                    <w:rPr>
                      <w:sz w:val="24"/>
                    </w:rPr>
                  </w:pPr>
                  <w:r>
                    <w:rPr>
                      <w:rFonts w:hint="eastAsia"/>
                      <w:kern w:val="0"/>
                      <w:sz w:val="24"/>
                    </w:rPr>
                    <w:t>风机</w:t>
                  </w:r>
                  <w:r>
                    <w:rPr>
                      <w:kern w:val="0"/>
                      <w:sz w:val="24"/>
                    </w:rPr>
                    <w:t>J10</w:t>
                  </w:r>
                </w:p>
              </w:tc>
              <w:tc>
                <w:tcPr>
                  <w:tcW w:w="2316" w:type="dxa"/>
                  <w:tcBorders>
                    <w:tl2br w:val="nil"/>
                    <w:tr2bl w:val="nil"/>
                  </w:tcBorders>
                  <w:shd w:val="clear" w:color="auto" w:fill="auto"/>
                  <w:noWrap/>
                  <w:vAlign w:val="center"/>
                </w:tcPr>
                <w:p w14:paraId="75EA5FA6">
                  <w:pPr>
                    <w:widowControl/>
                    <w:jc w:val="center"/>
                    <w:textAlignment w:val="center"/>
                    <w:rPr>
                      <w:sz w:val="24"/>
                    </w:rPr>
                  </w:pPr>
                  <w:r>
                    <w:rPr>
                      <w:rFonts w:hint="eastAsia"/>
                      <w:kern w:val="0"/>
                      <w:sz w:val="24"/>
                    </w:rPr>
                    <w:t>E</w:t>
                  </w:r>
                  <w:r>
                    <w:rPr>
                      <w:kern w:val="0"/>
                      <w:sz w:val="24"/>
                    </w:rPr>
                    <w:t>118°19′32.912″</w:t>
                  </w:r>
                </w:p>
              </w:tc>
              <w:tc>
                <w:tcPr>
                  <w:tcW w:w="1999" w:type="dxa"/>
                  <w:tcBorders>
                    <w:tl2br w:val="nil"/>
                    <w:tr2bl w:val="nil"/>
                  </w:tcBorders>
                  <w:shd w:val="clear" w:color="auto" w:fill="auto"/>
                  <w:noWrap/>
                  <w:vAlign w:val="center"/>
                </w:tcPr>
                <w:p w14:paraId="0C869429">
                  <w:pPr>
                    <w:widowControl/>
                    <w:jc w:val="center"/>
                    <w:textAlignment w:val="center"/>
                    <w:rPr>
                      <w:sz w:val="24"/>
                    </w:rPr>
                  </w:pPr>
                  <w:r>
                    <w:rPr>
                      <w:rFonts w:hint="eastAsia"/>
                      <w:kern w:val="0"/>
                      <w:sz w:val="24"/>
                    </w:rPr>
                    <w:t>N</w:t>
                  </w:r>
                  <w:r>
                    <w:rPr>
                      <w:kern w:val="0"/>
                      <w:sz w:val="24"/>
                    </w:rPr>
                    <w:t>39°20′41.017″</w:t>
                  </w:r>
                </w:p>
              </w:tc>
            </w:tr>
            <w:tr w14:paraId="48EF7BFF">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FFBBAF4">
                  <w:pPr>
                    <w:widowControl/>
                    <w:jc w:val="center"/>
                    <w:textAlignment w:val="center"/>
                    <w:rPr>
                      <w:sz w:val="24"/>
                    </w:rPr>
                  </w:pPr>
                  <w:r>
                    <w:rPr>
                      <w:rFonts w:hint="eastAsia"/>
                      <w:kern w:val="0"/>
                      <w:sz w:val="24"/>
                    </w:rPr>
                    <w:t>风机</w:t>
                  </w:r>
                  <w:r>
                    <w:rPr>
                      <w:kern w:val="0"/>
                      <w:sz w:val="24"/>
                    </w:rPr>
                    <w:t>J11</w:t>
                  </w:r>
                </w:p>
              </w:tc>
              <w:tc>
                <w:tcPr>
                  <w:tcW w:w="2316" w:type="dxa"/>
                  <w:tcBorders>
                    <w:tl2br w:val="nil"/>
                    <w:tr2bl w:val="nil"/>
                  </w:tcBorders>
                  <w:shd w:val="clear" w:color="auto" w:fill="auto"/>
                  <w:noWrap/>
                  <w:vAlign w:val="center"/>
                </w:tcPr>
                <w:p w14:paraId="717D85D2">
                  <w:pPr>
                    <w:widowControl/>
                    <w:jc w:val="center"/>
                    <w:textAlignment w:val="center"/>
                    <w:rPr>
                      <w:sz w:val="24"/>
                    </w:rPr>
                  </w:pPr>
                  <w:r>
                    <w:rPr>
                      <w:rFonts w:hint="eastAsia"/>
                      <w:kern w:val="0"/>
                      <w:sz w:val="24"/>
                    </w:rPr>
                    <w:t>E</w:t>
                  </w:r>
                  <w:r>
                    <w:rPr>
                      <w:kern w:val="0"/>
                      <w:sz w:val="24"/>
                    </w:rPr>
                    <w:t>118°19′22.469″</w:t>
                  </w:r>
                </w:p>
              </w:tc>
              <w:tc>
                <w:tcPr>
                  <w:tcW w:w="1999" w:type="dxa"/>
                  <w:tcBorders>
                    <w:tl2br w:val="nil"/>
                    <w:tr2bl w:val="nil"/>
                  </w:tcBorders>
                  <w:shd w:val="clear" w:color="auto" w:fill="auto"/>
                  <w:noWrap/>
                  <w:vAlign w:val="center"/>
                </w:tcPr>
                <w:p w14:paraId="13C049D8">
                  <w:pPr>
                    <w:widowControl/>
                    <w:jc w:val="center"/>
                    <w:textAlignment w:val="center"/>
                    <w:rPr>
                      <w:sz w:val="24"/>
                    </w:rPr>
                  </w:pPr>
                  <w:r>
                    <w:rPr>
                      <w:rFonts w:hint="eastAsia"/>
                      <w:kern w:val="0"/>
                      <w:sz w:val="24"/>
                    </w:rPr>
                    <w:t>N</w:t>
                  </w:r>
                  <w:r>
                    <w:rPr>
                      <w:kern w:val="0"/>
                      <w:sz w:val="24"/>
                    </w:rPr>
                    <w:t>39°19′49.382″</w:t>
                  </w:r>
                </w:p>
              </w:tc>
            </w:tr>
            <w:tr w14:paraId="4B6070F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E1EAA0B">
                  <w:pPr>
                    <w:widowControl/>
                    <w:jc w:val="center"/>
                    <w:textAlignment w:val="center"/>
                    <w:rPr>
                      <w:sz w:val="24"/>
                    </w:rPr>
                  </w:pPr>
                  <w:r>
                    <w:rPr>
                      <w:rFonts w:hint="eastAsia"/>
                      <w:kern w:val="0"/>
                      <w:sz w:val="24"/>
                    </w:rPr>
                    <w:t>风机</w:t>
                  </w:r>
                  <w:r>
                    <w:rPr>
                      <w:kern w:val="0"/>
                      <w:sz w:val="24"/>
                    </w:rPr>
                    <w:t>J12</w:t>
                  </w:r>
                </w:p>
              </w:tc>
              <w:tc>
                <w:tcPr>
                  <w:tcW w:w="2316" w:type="dxa"/>
                  <w:tcBorders>
                    <w:tl2br w:val="nil"/>
                    <w:tr2bl w:val="nil"/>
                  </w:tcBorders>
                  <w:shd w:val="clear" w:color="auto" w:fill="auto"/>
                  <w:noWrap/>
                  <w:vAlign w:val="center"/>
                </w:tcPr>
                <w:p w14:paraId="1BA6E6E6">
                  <w:pPr>
                    <w:widowControl/>
                    <w:jc w:val="center"/>
                    <w:textAlignment w:val="center"/>
                    <w:rPr>
                      <w:sz w:val="24"/>
                    </w:rPr>
                  </w:pPr>
                  <w:r>
                    <w:rPr>
                      <w:rFonts w:hint="eastAsia"/>
                      <w:kern w:val="0"/>
                      <w:sz w:val="24"/>
                    </w:rPr>
                    <w:t>E</w:t>
                  </w:r>
                  <w:r>
                    <w:rPr>
                      <w:kern w:val="0"/>
                      <w:sz w:val="24"/>
                    </w:rPr>
                    <w:t>118°22′31.724″</w:t>
                  </w:r>
                </w:p>
              </w:tc>
              <w:tc>
                <w:tcPr>
                  <w:tcW w:w="1999" w:type="dxa"/>
                  <w:tcBorders>
                    <w:tl2br w:val="nil"/>
                    <w:tr2bl w:val="nil"/>
                  </w:tcBorders>
                  <w:shd w:val="clear" w:color="auto" w:fill="auto"/>
                  <w:noWrap/>
                  <w:vAlign w:val="center"/>
                </w:tcPr>
                <w:p w14:paraId="3AEDC30B">
                  <w:pPr>
                    <w:widowControl/>
                    <w:jc w:val="center"/>
                    <w:textAlignment w:val="center"/>
                    <w:rPr>
                      <w:sz w:val="24"/>
                    </w:rPr>
                  </w:pPr>
                  <w:r>
                    <w:rPr>
                      <w:rFonts w:hint="eastAsia"/>
                      <w:kern w:val="0"/>
                      <w:sz w:val="24"/>
                    </w:rPr>
                    <w:t>N</w:t>
                  </w:r>
                  <w:r>
                    <w:rPr>
                      <w:kern w:val="0"/>
                      <w:sz w:val="24"/>
                    </w:rPr>
                    <w:t>39°19′19.801″</w:t>
                  </w:r>
                </w:p>
              </w:tc>
            </w:tr>
            <w:tr w14:paraId="53881F3E">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252D3FD">
                  <w:pPr>
                    <w:widowControl/>
                    <w:jc w:val="center"/>
                    <w:textAlignment w:val="center"/>
                    <w:rPr>
                      <w:sz w:val="24"/>
                    </w:rPr>
                  </w:pPr>
                  <w:r>
                    <w:rPr>
                      <w:rFonts w:hint="eastAsia"/>
                      <w:kern w:val="0"/>
                      <w:sz w:val="24"/>
                    </w:rPr>
                    <w:t>风机</w:t>
                  </w:r>
                  <w:r>
                    <w:rPr>
                      <w:kern w:val="0"/>
                      <w:sz w:val="24"/>
                    </w:rPr>
                    <w:t>J13</w:t>
                  </w:r>
                </w:p>
              </w:tc>
              <w:tc>
                <w:tcPr>
                  <w:tcW w:w="2316" w:type="dxa"/>
                  <w:tcBorders>
                    <w:tl2br w:val="nil"/>
                    <w:tr2bl w:val="nil"/>
                  </w:tcBorders>
                  <w:shd w:val="clear" w:color="auto" w:fill="auto"/>
                  <w:noWrap/>
                  <w:vAlign w:val="center"/>
                </w:tcPr>
                <w:p w14:paraId="0800E020">
                  <w:pPr>
                    <w:widowControl/>
                    <w:jc w:val="center"/>
                    <w:textAlignment w:val="center"/>
                    <w:rPr>
                      <w:sz w:val="24"/>
                    </w:rPr>
                  </w:pPr>
                  <w:r>
                    <w:rPr>
                      <w:rFonts w:hint="eastAsia"/>
                      <w:kern w:val="0"/>
                      <w:sz w:val="24"/>
                    </w:rPr>
                    <w:t>E</w:t>
                  </w:r>
                  <w:r>
                    <w:rPr>
                      <w:kern w:val="0"/>
                      <w:sz w:val="24"/>
                    </w:rPr>
                    <w:t>118°22′32.340″</w:t>
                  </w:r>
                </w:p>
              </w:tc>
              <w:tc>
                <w:tcPr>
                  <w:tcW w:w="1999" w:type="dxa"/>
                  <w:tcBorders>
                    <w:tl2br w:val="nil"/>
                    <w:tr2bl w:val="nil"/>
                  </w:tcBorders>
                  <w:shd w:val="clear" w:color="auto" w:fill="auto"/>
                  <w:noWrap/>
                  <w:vAlign w:val="center"/>
                </w:tcPr>
                <w:p w14:paraId="28C97301">
                  <w:pPr>
                    <w:widowControl/>
                    <w:jc w:val="center"/>
                    <w:textAlignment w:val="center"/>
                    <w:rPr>
                      <w:sz w:val="24"/>
                    </w:rPr>
                  </w:pPr>
                  <w:r>
                    <w:rPr>
                      <w:rFonts w:hint="eastAsia"/>
                      <w:kern w:val="0"/>
                      <w:sz w:val="24"/>
                    </w:rPr>
                    <w:t>N</w:t>
                  </w:r>
                  <w:r>
                    <w:rPr>
                      <w:kern w:val="0"/>
                      <w:sz w:val="24"/>
                    </w:rPr>
                    <w:t>39°19′01.985″</w:t>
                  </w:r>
                </w:p>
              </w:tc>
            </w:tr>
            <w:tr w14:paraId="7FCF302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9952572">
                  <w:pPr>
                    <w:widowControl/>
                    <w:jc w:val="center"/>
                    <w:textAlignment w:val="center"/>
                    <w:rPr>
                      <w:sz w:val="24"/>
                    </w:rPr>
                  </w:pPr>
                  <w:r>
                    <w:rPr>
                      <w:rFonts w:hint="eastAsia"/>
                      <w:kern w:val="0"/>
                      <w:sz w:val="24"/>
                    </w:rPr>
                    <w:t>风机</w:t>
                  </w:r>
                  <w:r>
                    <w:rPr>
                      <w:kern w:val="0"/>
                      <w:sz w:val="24"/>
                    </w:rPr>
                    <w:t>J14</w:t>
                  </w:r>
                </w:p>
              </w:tc>
              <w:tc>
                <w:tcPr>
                  <w:tcW w:w="2316" w:type="dxa"/>
                  <w:tcBorders>
                    <w:tl2br w:val="nil"/>
                    <w:tr2bl w:val="nil"/>
                  </w:tcBorders>
                  <w:shd w:val="clear" w:color="auto" w:fill="auto"/>
                  <w:noWrap/>
                  <w:vAlign w:val="center"/>
                </w:tcPr>
                <w:p w14:paraId="0518F0F4">
                  <w:pPr>
                    <w:widowControl/>
                    <w:jc w:val="center"/>
                    <w:textAlignment w:val="center"/>
                    <w:rPr>
                      <w:sz w:val="24"/>
                    </w:rPr>
                  </w:pPr>
                  <w:r>
                    <w:rPr>
                      <w:rFonts w:hint="eastAsia"/>
                      <w:kern w:val="0"/>
                      <w:sz w:val="24"/>
                    </w:rPr>
                    <w:t>E</w:t>
                  </w:r>
                  <w:r>
                    <w:rPr>
                      <w:kern w:val="0"/>
                      <w:sz w:val="24"/>
                    </w:rPr>
                    <w:t>118°22′33.341″</w:t>
                  </w:r>
                </w:p>
              </w:tc>
              <w:tc>
                <w:tcPr>
                  <w:tcW w:w="1999" w:type="dxa"/>
                  <w:tcBorders>
                    <w:tl2br w:val="nil"/>
                    <w:tr2bl w:val="nil"/>
                  </w:tcBorders>
                  <w:shd w:val="clear" w:color="auto" w:fill="auto"/>
                  <w:noWrap/>
                  <w:vAlign w:val="center"/>
                </w:tcPr>
                <w:p w14:paraId="6C765B39">
                  <w:pPr>
                    <w:widowControl/>
                    <w:jc w:val="center"/>
                    <w:textAlignment w:val="center"/>
                    <w:rPr>
                      <w:sz w:val="24"/>
                    </w:rPr>
                  </w:pPr>
                  <w:r>
                    <w:rPr>
                      <w:rFonts w:hint="eastAsia"/>
                      <w:kern w:val="0"/>
                      <w:sz w:val="24"/>
                    </w:rPr>
                    <w:t>N</w:t>
                  </w:r>
                  <w:r>
                    <w:rPr>
                      <w:kern w:val="0"/>
                      <w:sz w:val="24"/>
                    </w:rPr>
                    <w:t>39°18′44.600″</w:t>
                  </w:r>
                </w:p>
              </w:tc>
            </w:tr>
            <w:tr w14:paraId="536C98D9">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ABA491B">
                  <w:pPr>
                    <w:widowControl/>
                    <w:jc w:val="center"/>
                    <w:textAlignment w:val="center"/>
                    <w:rPr>
                      <w:sz w:val="24"/>
                    </w:rPr>
                  </w:pPr>
                  <w:r>
                    <w:rPr>
                      <w:rFonts w:hint="eastAsia"/>
                      <w:kern w:val="0"/>
                      <w:sz w:val="24"/>
                    </w:rPr>
                    <w:t>风机</w:t>
                  </w:r>
                  <w:r>
                    <w:rPr>
                      <w:kern w:val="0"/>
                      <w:sz w:val="24"/>
                    </w:rPr>
                    <w:t>J15</w:t>
                  </w:r>
                </w:p>
              </w:tc>
              <w:tc>
                <w:tcPr>
                  <w:tcW w:w="2316" w:type="dxa"/>
                  <w:tcBorders>
                    <w:tl2br w:val="nil"/>
                    <w:tr2bl w:val="nil"/>
                  </w:tcBorders>
                  <w:shd w:val="clear" w:color="auto" w:fill="auto"/>
                  <w:noWrap/>
                  <w:vAlign w:val="center"/>
                </w:tcPr>
                <w:p w14:paraId="6B6F9E93">
                  <w:pPr>
                    <w:widowControl/>
                    <w:jc w:val="center"/>
                    <w:textAlignment w:val="center"/>
                    <w:rPr>
                      <w:sz w:val="24"/>
                    </w:rPr>
                  </w:pPr>
                  <w:r>
                    <w:rPr>
                      <w:rFonts w:hint="eastAsia"/>
                      <w:kern w:val="0"/>
                      <w:sz w:val="24"/>
                    </w:rPr>
                    <w:t>E</w:t>
                  </w:r>
                  <w:r>
                    <w:rPr>
                      <w:kern w:val="0"/>
                      <w:sz w:val="24"/>
                    </w:rPr>
                    <w:t>118°16′30.468″</w:t>
                  </w:r>
                </w:p>
              </w:tc>
              <w:tc>
                <w:tcPr>
                  <w:tcW w:w="1999" w:type="dxa"/>
                  <w:tcBorders>
                    <w:tl2br w:val="nil"/>
                    <w:tr2bl w:val="nil"/>
                  </w:tcBorders>
                  <w:shd w:val="clear" w:color="auto" w:fill="auto"/>
                  <w:noWrap/>
                  <w:vAlign w:val="center"/>
                </w:tcPr>
                <w:p w14:paraId="73445052">
                  <w:pPr>
                    <w:widowControl/>
                    <w:jc w:val="center"/>
                    <w:textAlignment w:val="center"/>
                    <w:rPr>
                      <w:sz w:val="24"/>
                    </w:rPr>
                  </w:pPr>
                  <w:r>
                    <w:rPr>
                      <w:rFonts w:hint="eastAsia"/>
                      <w:kern w:val="0"/>
                      <w:sz w:val="24"/>
                    </w:rPr>
                    <w:t>N</w:t>
                  </w:r>
                  <w:r>
                    <w:rPr>
                      <w:kern w:val="0"/>
                      <w:sz w:val="24"/>
                    </w:rPr>
                    <w:t>39°18′36.997″</w:t>
                  </w:r>
                </w:p>
              </w:tc>
            </w:tr>
            <w:tr w14:paraId="4658113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D385D3A">
                  <w:pPr>
                    <w:widowControl/>
                    <w:jc w:val="center"/>
                    <w:textAlignment w:val="center"/>
                    <w:rPr>
                      <w:sz w:val="24"/>
                    </w:rPr>
                  </w:pPr>
                  <w:r>
                    <w:rPr>
                      <w:rFonts w:hint="eastAsia"/>
                      <w:kern w:val="0"/>
                      <w:sz w:val="24"/>
                    </w:rPr>
                    <w:t>风机</w:t>
                  </w:r>
                  <w:r>
                    <w:rPr>
                      <w:kern w:val="0"/>
                      <w:sz w:val="24"/>
                    </w:rPr>
                    <w:t>J16</w:t>
                  </w:r>
                </w:p>
              </w:tc>
              <w:tc>
                <w:tcPr>
                  <w:tcW w:w="2316" w:type="dxa"/>
                  <w:tcBorders>
                    <w:tl2br w:val="nil"/>
                    <w:tr2bl w:val="nil"/>
                  </w:tcBorders>
                  <w:shd w:val="clear" w:color="auto" w:fill="auto"/>
                  <w:noWrap/>
                  <w:vAlign w:val="center"/>
                </w:tcPr>
                <w:p w14:paraId="1781585B">
                  <w:pPr>
                    <w:widowControl/>
                    <w:jc w:val="center"/>
                    <w:textAlignment w:val="center"/>
                    <w:rPr>
                      <w:sz w:val="24"/>
                    </w:rPr>
                  </w:pPr>
                  <w:r>
                    <w:rPr>
                      <w:rFonts w:hint="eastAsia"/>
                      <w:kern w:val="0"/>
                      <w:sz w:val="24"/>
                    </w:rPr>
                    <w:t>E</w:t>
                  </w:r>
                  <w:r>
                    <w:rPr>
                      <w:kern w:val="0"/>
                      <w:sz w:val="24"/>
                    </w:rPr>
                    <w:t>118°16′06.467″</w:t>
                  </w:r>
                </w:p>
              </w:tc>
              <w:tc>
                <w:tcPr>
                  <w:tcW w:w="1999" w:type="dxa"/>
                  <w:tcBorders>
                    <w:tl2br w:val="nil"/>
                    <w:tr2bl w:val="nil"/>
                  </w:tcBorders>
                  <w:shd w:val="clear" w:color="auto" w:fill="auto"/>
                  <w:noWrap/>
                  <w:vAlign w:val="center"/>
                </w:tcPr>
                <w:p w14:paraId="2FB65C16">
                  <w:pPr>
                    <w:widowControl/>
                    <w:jc w:val="center"/>
                    <w:textAlignment w:val="center"/>
                    <w:rPr>
                      <w:sz w:val="24"/>
                    </w:rPr>
                  </w:pPr>
                  <w:r>
                    <w:rPr>
                      <w:rFonts w:hint="eastAsia"/>
                      <w:kern w:val="0"/>
                      <w:sz w:val="24"/>
                    </w:rPr>
                    <w:t>N</w:t>
                  </w:r>
                  <w:r>
                    <w:rPr>
                      <w:kern w:val="0"/>
                      <w:sz w:val="24"/>
                    </w:rPr>
                    <w:t>39°18′37.098″</w:t>
                  </w:r>
                </w:p>
              </w:tc>
            </w:tr>
            <w:tr w14:paraId="36A997E6">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2846700">
                  <w:pPr>
                    <w:widowControl/>
                    <w:jc w:val="center"/>
                    <w:textAlignment w:val="center"/>
                    <w:rPr>
                      <w:sz w:val="24"/>
                    </w:rPr>
                  </w:pPr>
                  <w:r>
                    <w:rPr>
                      <w:rFonts w:hint="eastAsia"/>
                      <w:kern w:val="0"/>
                      <w:sz w:val="24"/>
                    </w:rPr>
                    <w:t>风机</w:t>
                  </w:r>
                  <w:r>
                    <w:rPr>
                      <w:kern w:val="0"/>
                      <w:sz w:val="24"/>
                    </w:rPr>
                    <w:t>J17</w:t>
                  </w:r>
                </w:p>
              </w:tc>
              <w:tc>
                <w:tcPr>
                  <w:tcW w:w="2316" w:type="dxa"/>
                  <w:tcBorders>
                    <w:tl2br w:val="nil"/>
                    <w:tr2bl w:val="nil"/>
                  </w:tcBorders>
                  <w:shd w:val="clear" w:color="auto" w:fill="auto"/>
                  <w:noWrap/>
                  <w:vAlign w:val="center"/>
                </w:tcPr>
                <w:p w14:paraId="7C324D1A">
                  <w:pPr>
                    <w:widowControl/>
                    <w:jc w:val="center"/>
                    <w:textAlignment w:val="center"/>
                    <w:rPr>
                      <w:sz w:val="24"/>
                    </w:rPr>
                  </w:pPr>
                  <w:r>
                    <w:rPr>
                      <w:rFonts w:hint="eastAsia"/>
                      <w:kern w:val="0"/>
                      <w:sz w:val="24"/>
                    </w:rPr>
                    <w:t>E</w:t>
                  </w:r>
                  <w:r>
                    <w:rPr>
                      <w:kern w:val="0"/>
                      <w:sz w:val="24"/>
                    </w:rPr>
                    <w:t>118°22′34.687″</w:t>
                  </w:r>
                </w:p>
              </w:tc>
              <w:tc>
                <w:tcPr>
                  <w:tcW w:w="1999" w:type="dxa"/>
                  <w:tcBorders>
                    <w:tl2br w:val="nil"/>
                    <w:tr2bl w:val="nil"/>
                  </w:tcBorders>
                  <w:shd w:val="clear" w:color="auto" w:fill="auto"/>
                  <w:noWrap/>
                  <w:vAlign w:val="center"/>
                </w:tcPr>
                <w:p w14:paraId="48C87DA5">
                  <w:pPr>
                    <w:widowControl/>
                    <w:jc w:val="center"/>
                    <w:textAlignment w:val="center"/>
                    <w:rPr>
                      <w:sz w:val="24"/>
                    </w:rPr>
                  </w:pPr>
                  <w:r>
                    <w:rPr>
                      <w:rFonts w:hint="eastAsia"/>
                      <w:kern w:val="0"/>
                      <w:sz w:val="24"/>
                    </w:rPr>
                    <w:t>N</w:t>
                  </w:r>
                  <w:r>
                    <w:rPr>
                      <w:kern w:val="0"/>
                      <w:sz w:val="24"/>
                    </w:rPr>
                    <w:t>39°18′27.490″</w:t>
                  </w:r>
                </w:p>
              </w:tc>
            </w:tr>
            <w:tr w14:paraId="7EF6F47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2EC7245">
                  <w:pPr>
                    <w:widowControl/>
                    <w:jc w:val="center"/>
                    <w:textAlignment w:val="center"/>
                    <w:rPr>
                      <w:sz w:val="24"/>
                    </w:rPr>
                  </w:pPr>
                  <w:r>
                    <w:rPr>
                      <w:rFonts w:hint="eastAsia"/>
                      <w:kern w:val="0"/>
                      <w:sz w:val="24"/>
                    </w:rPr>
                    <w:t>风机</w:t>
                  </w:r>
                  <w:r>
                    <w:rPr>
                      <w:kern w:val="0"/>
                      <w:sz w:val="24"/>
                    </w:rPr>
                    <w:t>J18</w:t>
                  </w:r>
                </w:p>
              </w:tc>
              <w:tc>
                <w:tcPr>
                  <w:tcW w:w="2316" w:type="dxa"/>
                  <w:tcBorders>
                    <w:tl2br w:val="nil"/>
                    <w:tr2bl w:val="nil"/>
                  </w:tcBorders>
                  <w:shd w:val="clear" w:color="auto" w:fill="auto"/>
                  <w:noWrap/>
                  <w:vAlign w:val="center"/>
                </w:tcPr>
                <w:p w14:paraId="0AA0F947">
                  <w:pPr>
                    <w:widowControl/>
                    <w:jc w:val="center"/>
                    <w:textAlignment w:val="center"/>
                    <w:rPr>
                      <w:sz w:val="24"/>
                    </w:rPr>
                  </w:pPr>
                  <w:r>
                    <w:rPr>
                      <w:rFonts w:hint="eastAsia"/>
                      <w:kern w:val="0"/>
                      <w:sz w:val="24"/>
                    </w:rPr>
                    <w:t>E</w:t>
                  </w:r>
                  <w:r>
                    <w:rPr>
                      <w:kern w:val="0"/>
                      <w:sz w:val="24"/>
                    </w:rPr>
                    <w:t>118°22′35.861″</w:t>
                  </w:r>
                </w:p>
              </w:tc>
              <w:tc>
                <w:tcPr>
                  <w:tcW w:w="1999" w:type="dxa"/>
                  <w:tcBorders>
                    <w:tl2br w:val="nil"/>
                    <w:tr2bl w:val="nil"/>
                  </w:tcBorders>
                  <w:shd w:val="clear" w:color="auto" w:fill="auto"/>
                  <w:noWrap/>
                  <w:vAlign w:val="center"/>
                </w:tcPr>
                <w:p w14:paraId="045DFEA3">
                  <w:pPr>
                    <w:widowControl/>
                    <w:jc w:val="center"/>
                    <w:textAlignment w:val="center"/>
                    <w:rPr>
                      <w:sz w:val="24"/>
                    </w:rPr>
                  </w:pPr>
                  <w:r>
                    <w:rPr>
                      <w:rFonts w:hint="eastAsia"/>
                      <w:kern w:val="0"/>
                      <w:sz w:val="24"/>
                    </w:rPr>
                    <w:t>N</w:t>
                  </w:r>
                  <w:r>
                    <w:rPr>
                      <w:kern w:val="0"/>
                      <w:sz w:val="24"/>
                    </w:rPr>
                    <w:t>39°18′09.799″</w:t>
                  </w:r>
                </w:p>
              </w:tc>
            </w:tr>
            <w:tr w14:paraId="28D7BF0E">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5E49C5A4">
                  <w:pPr>
                    <w:widowControl/>
                    <w:jc w:val="center"/>
                    <w:textAlignment w:val="center"/>
                    <w:rPr>
                      <w:sz w:val="24"/>
                    </w:rPr>
                  </w:pPr>
                  <w:r>
                    <w:rPr>
                      <w:rFonts w:hint="eastAsia"/>
                      <w:kern w:val="0"/>
                      <w:sz w:val="24"/>
                    </w:rPr>
                    <w:t>风机</w:t>
                  </w:r>
                  <w:r>
                    <w:rPr>
                      <w:kern w:val="0"/>
                      <w:sz w:val="24"/>
                    </w:rPr>
                    <w:t>J19</w:t>
                  </w:r>
                </w:p>
              </w:tc>
              <w:tc>
                <w:tcPr>
                  <w:tcW w:w="2316" w:type="dxa"/>
                  <w:tcBorders>
                    <w:tl2br w:val="nil"/>
                    <w:tr2bl w:val="nil"/>
                  </w:tcBorders>
                  <w:shd w:val="clear" w:color="auto" w:fill="auto"/>
                  <w:noWrap/>
                  <w:vAlign w:val="center"/>
                </w:tcPr>
                <w:p w14:paraId="74094541">
                  <w:pPr>
                    <w:widowControl/>
                    <w:jc w:val="center"/>
                    <w:textAlignment w:val="center"/>
                    <w:rPr>
                      <w:sz w:val="24"/>
                    </w:rPr>
                  </w:pPr>
                  <w:r>
                    <w:rPr>
                      <w:rFonts w:hint="eastAsia"/>
                      <w:kern w:val="0"/>
                      <w:sz w:val="24"/>
                    </w:rPr>
                    <w:t>E</w:t>
                  </w:r>
                  <w:r>
                    <w:rPr>
                      <w:kern w:val="0"/>
                      <w:sz w:val="24"/>
                    </w:rPr>
                    <w:t>118°21′55.732″</w:t>
                  </w:r>
                </w:p>
              </w:tc>
              <w:tc>
                <w:tcPr>
                  <w:tcW w:w="1999" w:type="dxa"/>
                  <w:tcBorders>
                    <w:tl2br w:val="nil"/>
                    <w:tr2bl w:val="nil"/>
                  </w:tcBorders>
                  <w:shd w:val="clear" w:color="auto" w:fill="auto"/>
                  <w:noWrap/>
                  <w:vAlign w:val="center"/>
                </w:tcPr>
                <w:p w14:paraId="0EE1CD0E">
                  <w:pPr>
                    <w:widowControl/>
                    <w:jc w:val="center"/>
                    <w:textAlignment w:val="center"/>
                    <w:rPr>
                      <w:sz w:val="24"/>
                    </w:rPr>
                  </w:pPr>
                  <w:r>
                    <w:rPr>
                      <w:rFonts w:hint="eastAsia"/>
                      <w:kern w:val="0"/>
                      <w:sz w:val="24"/>
                    </w:rPr>
                    <w:t>N</w:t>
                  </w:r>
                  <w:r>
                    <w:rPr>
                      <w:kern w:val="0"/>
                      <w:sz w:val="24"/>
                    </w:rPr>
                    <w:t>39°18′10.102″</w:t>
                  </w:r>
                </w:p>
              </w:tc>
            </w:tr>
            <w:tr w14:paraId="07DFD7A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0FD59FE">
                  <w:pPr>
                    <w:widowControl/>
                    <w:jc w:val="center"/>
                    <w:textAlignment w:val="center"/>
                    <w:rPr>
                      <w:sz w:val="24"/>
                    </w:rPr>
                  </w:pPr>
                  <w:r>
                    <w:rPr>
                      <w:rFonts w:hint="eastAsia"/>
                      <w:kern w:val="0"/>
                      <w:sz w:val="24"/>
                    </w:rPr>
                    <w:t>风机</w:t>
                  </w:r>
                  <w:r>
                    <w:rPr>
                      <w:kern w:val="0"/>
                      <w:sz w:val="24"/>
                    </w:rPr>
                    <w:t>J20</w:t>
                  </w:r>
                </w:p>
              </w:tc>
              <w:tc>
                <w:tcPr>
                  <w:tcW w:w="2316" w:type="dxa"/>
                  <w:tcBorders>
                    <w:tl2br w:val="nil"/>
                    <w:tr2bl w:val="nil"/>
                  </w:tcBorders>
                  <w:shd w:val="clear" w:color="auto" w:fill="auto"/>
                  <w:noWrap/>
                  <w:vAlign w:val="center"/>
                </w:tcPr>
                <w:p w14:paraId="0238C30E">
                  <w:pPr>
                    <w:widowControl/>
                    <w:jc w:val="center"/>
                    <w:textAlignment w:val="center"/>
                    <w:rPr>
                      <w:sz w:val="24"/>
                    </w:rPr>
                  </w:pPr>
                  <w:r>
                    <w:rPr>
                      <w:rFonts w:hint="eastAsia"/>
                      <w:kern w:val="0"/>
                      <w:sz w:val="24"/>
                    </w:rPr>
                    <w:t>E</w:t>
                  </w:r>
                  <w:r>
                    <w:rPr>
                      <w:kern w:val="0"/>
                      <w:sz w:val="24"/>
                    </w:rPr>
                    <w:t>118°22′37.931″</w:t>
                  </w:r>
                </w:p>
              </w:tc>
              <w:tc>
                <w:tcPr>
                  <w:tcW w:w="1999" w:type="dxa"/>
                  <w:tcBorders>
                    <w:tl2br w:val="nil"/>
                    <w:tr2bl w:val="nil"/>
                  </w:tcBorders>
                  <w:shd w:val="clear" w:color="auto" w:fill="auto"/>
                  <w:noWrap/>
                  <w:vAlign w:val="center"/>
                </w:tcPr>
                <w:p w14:paraId="66B75EC1">
                  <w:pPr>
                    <w:widowControl/>
                    <w:jc w:val="center"/>
                    <w:textAlignment w:val="center"/>
                    <w:rPr>
                      <w:sz w:val="24"/>
                    </w:rPr>
                  </w:pPr>
                  <w:r>
                    <w:rPr>
                      <w:rFonts w:hint="eastAsia"/>
                      <w:kern w:val="0"/>
                      <w:sz w:val="24"/>
                    </w:rPr>
                    <w:t>N</w:t>
                  </w:r>
                  <w:r>
                    <w:rPr>
                      <w:kern w:val="0"/>
                      <w:sz w:val="24"/>
                    </w:rPr>
                    <w:t>39°17′38.573″</w:t>
                  </w:r>
                </w:p>
              </w:tc>
            </w:tr>
            <w:tr w14:paraId="40B52CF5">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C57DB89">
                  <w:pPr>
                    <w:widowControl/>
                    <w:jc w:val="center"/>
                    <w:textAlignment w:val="center"/>
                    <w:rPr>
                      <w:sz w:val="24"/>
                    </w:rPr>
                  </w:pPr>
                  <w:r>
                    <w:rPr>
                      <w:rFonts w:hint="eastAsia"/>
                      <w:kern w:val="0"/>
                      <w:sz w:val="24"/>
                    </w:rPr>
                    <w:t>风机</w:t>
                  </w:r>
                  <w:r>
                    <w:rPr>
                      <w:kern w:val="0"/>
                      <w:sz w:val="24"/>
                    </w:rPr>
                    <w:t>J21</w:t>
                  </w:r>
                </w:p>
              </w:tc>
              <w:tc>
                <w:tcPr>
                  <w:tcW w:w="2316" w:type="dxa"/>
                  <w:tcBorders>
                    <w:tl2br w:val="nil"/>
                    <w:tr2bl w:val="nil"/>
                  </w:tcBorders>
                  <w:shd w:val="clear" w:color="auto" w:fill="auto"/>
                  <w:noWrap/>
                  <w:vAlign w:val="center"/>
                </w:tcPr>
                <w:p w14:paraId="745D4FA0">
                  <w:pPr>
                    <w:widowControl/>
                    <w:jc w:val="center"/>
                    <w:textAlignment w:val="center"/>
                    <w:rPr>
                      <w:sz w:val="24"/>
                    </w:rPr>
                  </w:pPr>
                  <w:r>
                    <w:rPr>
                      <w:rFonts w:hint="eastAsia"/>
                      <w:kern w:val="0"/>
                      <w:sz w:val="24"/>
                    </w:rPr>
                    <w:t>E</w:t>
                  </w:r>
                  <w:r>
                    <w:rPr>
                      <w:kern w:val="0"/>
                      <w:sz w:val="24"/>
                    </w:rPr>
                    <w:t>118°22′09.660″</w:t>
                  </w:r>
                </w:p>
              </w:tc>
              <w:tc>
                <w:tcPr>
                  <w:tcW w:w="1999" w:type="dxa"/>
                  <w:tcBorders>
                    <w:tl2br w:val="nil"/>
                    <w:tr2bl w:val="nil"/>
                  </w:tcBorders>
                  <w:shd w:val="clear" w:color="auto" w:fill="auto"/>
                  <w:noWrap/>
                  <w:vAlign w:val="center"/>
                </w:tcPr>
                <w:p w14:paraId="5EAD208D">
                  <w:pPr>
                    <w:widowControl/>
                    <w:jc w:val="center"/>
                    <w:textAlignment w:val="center"/>
                    <w:rPr>
                      <w:sz w:val="24"/>
                    </w:rPr>
                  </w:pPr>
                  <w:r>
                    <w:rPr>
                      <w:rFonts w:hint="eastAsia"/>
                      <w:kern w:val="0"/>
                      <w:sz w:val="24"/>
                    </w:rPr>
                    <w:t>N</w:t>
                  </w:r>
                  <w:r>
                    <w:rPr>
                      <w:kern w:val="0"/>
                      <w:sz w:val="24"/>
                    </w:rPr>
                    <w:t>39°17′30.649″</w:t>
                  </w:r>
                </w:p>
              </w:tc>
            </w:tr>
            <w:tr w14:paraId="73FA024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1B0C137">
                  <w:pPr>
                    <w:widowControl/>
                    <w:jc w:val="center"/>
                    <w:textAlignment w:val="center"/>
                    <w:rPr>
                      <w:sz w:val="24"/>
                    </w:rPr>
                  </w:pPr>
                  <w:r>
                    <w:rPr>
                      <w:rFonts w:hint="eastAsia"/>
                      <w:kern w:val="0"/>
                      <w:sz w:val="24"/>
                    </w:rPr>
                    <w:t>风机</w:t>
                  </w:r>
                  <w:r>
                    <w:rPr>
                      <w:kern w:val="0"/>
                      <w:sz w:val="24"/>
                    </w:rPr>
                    <w:t>J22</w:t>
                  </w:r>
                </w:p>
              </w:tc>
              <w:tc>
                <w:tcPr>
                  <w:tcW w:w="2316" w:type="dxa"/>
                  <w:tcBorders>
                    <w:tl2br w:val="nil"/>
                    <w:tr2bl w:val="nil"/>
                  </w:tcBorders>
                  <w:shd w:val="clear" w:color="auto" w:fill="auto"/>
                  <w:noWrap/>
                  <w:vAlign w:val="center"/>
                </w:tcPr>
                <w:p w14:paraId="2179E8A1">
                  <w:pPr>
                    <w:widowControl/>
                    <w:jc w:val="center"/>
                    <w:textAlignment w:val="center"/>
                    <w:rPr>
                      <w:sz w:val="24"/>
                    </w:rPr>
                  </w:pPr>
                  <w:r>
                    <w:rPr>
                      <w:rFonts w:hint="eastAsia"/>
                      <w:kern w:val="0"/>
                      <w:sz w:val="24"/>
                    </w:rPr>
                    <w:t>E</w:t>
                  </w:r>
                  <w:r>
                    <w:rPr>
                      <w:kern w:val="0"/>
                      <w:sz w:val="24"/>
                    </w:rPr>
                    <w:t>118°21′59.062″</w:t>
                  </w:r>
                </w:p>
              </w:tc>
              <w:tc>
                <w:tcPr>
                  <w:tcW w:w="1999" w:type="dxa"/>
                  <w:tcBorders>
                    <w:tl2br w:val="nil"/>
                    <w:tr2bl w:val="nil"/>
                  </w:tcBorders>
                  <w:shd w:val="clear" w:color="auto" w:fill="auto"/>
                  <w:noWrap/>
                  <w:vAlign w:val="center"/>
                </w:tcPr>
                <w:p w14:paraId="06C50DA1">
                  <w:pPr>
                    <w:widowControl/>
                    <w:jc w:val="center"/>
                    <w:textAlignment w:val="center"/>
                    <w:rPr>
                      <w:sz w:val="24"/>
                    </w:rPr>
                  </w:pPr>
                  <w:r>
                    <w:rPr>
                      <w:rFonts w:hint="eastAsia"/>
                      <w:kern w:val="0"/>
                      <w:sz w:val="24"/>
                    </w:rPr>
                    <w:t>N</w:t>
                  </w:r>
                  <w:r>
                    <w:rPr>
                      <w:kern w:val="0"/>
                      <w:sz w:val="24"/>
                    </w:rPr>
                    <w:t>39°17′15.583″</w:t>
                  </w:r>
                </w:p>
              </w:tc>
            </w:tr>
            <w:tr w14:paraId="6991281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6F6AF72">
                  <w:pPr>
                    <w:widowControl/>
                    <w:jc w:val="center"/>
                    <w:textAlignment w:val="center"/>
                    <w:rPr>
                      <w:sz w:val="24"/>
                    </w:rPr>
                  </w:pPr>
                  <w:r>
                    <w:rPr>
                      <w:rFonts w:hint="eastAsia"/>
                      <w:kern w:val="0"/>
                      <w:sz w:val="24"/>
                    </w:rPr>
                    <w:t>风机</w:t>
                  </w:r>
                  <w:r>
                    <w:rPr>
                      <w:kern w:val="0"/>
                      <w:sz w:val="24"/>
                    </w:rPr>
                    <w:t>J23</w:t>
                  </w:r>
                </w:p>
              </w:tc>
              <w:tc>
                <w:tcPr>
                  <w:tcW w:w="2316" w:type="dxa"/>
                  <w:tcBorders>
                    <w:tl2br w:val="nil"/>
                    <w:tr2bl w:val="nil"/>
                  </w:tcBorders>
                  <w:shd w:val="clear" w:color="auto" w:fill="auto"/>
                  <w:noWrap/>
                  <w:vAlign w:val="center"/>
                </w:tcPr>
                <w:p w14:paraId="2E01071C">
                  <w:pPr>
                    <w:widowControl/>
                    <w:jc w:val="center"/>
                    <w:textAlignment w:val="center"/>
                    <w:rPr>
                      <w:sz w:val="24"/>
                    </w:rPr>
                  </w:pPr>
                  <w:r>
                    <w:rPr>
                      <w:rFonts w:hint="eastAsia"/>
                      <w:kern w:val="0"/>
                      <w:sz w:val="24"/>
                    </w:rPr>
                    <w:t>E</w:t>
                  </w:r>
                  <w:r>
                    <w:rPr>
                      <w:kern w:val="0"/>
                      <w:sz w:val="24"/>
                    </w:rPr>
                    <w:t>118°27′35.881″</w:t>
                  </w:r>
                </w:p>
              </w:tc>
              <w:tc>
                <w:tcPr>
                  <w:tcW w:w="1999" w:type="dxa"/>
                  <w:tcBorders>
                    <w:tl2br w:val="nil"/>
                    <w:tr2bl w:val="nil"/>
                  </w:tcBorders>
                  <w:shd w:val="clear" w:color="auto" w:fill="auto"/>
                  <w:noWrap/>
                  <w:vAlign w:val="center"/>
                </w:tcPr>
                <w:p w14:paraId="5BD32263">
                  <w:pPr>
                    <w:widowControl/>
                    <w:jc w:val="center"/>
                    <w:textAlignment w:val="center"/>
                    <w:rPr>
                      <w:sz w:val="24"/>
                    </w:rPr>
                  </w:pPr>
                  <w:r>
                    <w:rPr>
                      <w:rFonts w:hint="eastAsia"/>
                      <w:kern w:val="0"/>
                      <w:sz w:val="24"/>
                    </w:rPr>
                    <w:t>N</w:t>
                  </w:r>
                  <w:r>
                    <w:rPr>
                      <w:kern w:val="0"/>
                      <w:sz w:val="24"/>
                    </w:rPr>
                    <w:t>39°14′55.853″</w:t>
                  </w:r>
                </w:p>
              </w:tc>
            </w:tr>
            <w:tr w14:paraId="323D6FAC">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D613E83">
                  <w:pPr>
                    <w:widowControl/>
                    <w:jc w:val="center"/>
                    <w:textAlignment w:val="center"/>
                    <w:rPr>
                      <w:sz w:val="24"/>
                    </w:rPr>
                  </w:pPr>
                  <w:r>
                    <w:rPr>
                      <w:rFonts w:hint="eastAsia"/>
                      <w:kern w:val="0"/>
                      <w:sz w:val="24"/>
                    </w:rPr>
                    <w:t>风机</w:t>
                  </w:r>
                  <w:r>
                    <w:rPr>
                      <w:kern w:val="0"/>
                      <w:sz w:val="24"/>
                    </w:rPr>
                    <w:t>J24</w:t>
                  </w:r>
                </w:p>
              </w:tc>
              <w:tc>
                <w:tcPr>
                  <w:tcW w:w="2316" w:type="dxa"/>
                  <w:tcBorders>
                    <w:tl2br w:val="nil"/>
                    <w:tr2bl w:val="nil"/>
                  </w:tcBorders>
                  <w:shd w:val="clear" w:color="auto" w:fill="auto"/>
                  <w:noWrap/>
                  <w:vAlign w:val="center"/>
                </w:tcPr>
                <w:p w14:paraId="7E490026">
                  <w:pPr>
                    <w:widowControl/>
                    <w:jc w:val="center"/>
                    <w:textAlignment w:val="center"/>
                    <w:rPr>
                      <w:sz w:val="24"/>
                    </w:rPr>
                  </w:pPr>
                  <w:r>
                    <w:rPr>
                      <w:rFonts w:hint="eastAsia"/>
                      <w:kern w:val="0"/>
                      <w:sz w:val="24"/>
                    </w:rPr>
                    <w:t>E</w:t>
                  </w:r>
                  <w:r>
                    <w:rPr>
                      <w:kern w:val="0"/>
                      <w:sz w:val="24"/>
                    </w:rPr>
                    <w:t>118°26′00.290″</w:t>
                  </w:r>
                </w:p>
              </w:tc>
              <w:tc>
                <w:tcPr>
                  <w:tcW w:w="1999" w:type="dxa"/>
                  <w:tcBorders>
                    <w:tl2br w:val="nil"/>
                    <w:tr2bl w:val="nil"/>
                  </w:tcBorders>
                  <w:shd w:val="clear" w:color="auto" w:fill="auto"/>
                  <w:noWrap/>
                  <w:vAlign w:val="center"/>
                </w:tcPr>
                <w:p w14:paraId="28C196EC">
                  <w:pPr>
                    <w:widowControl/>
                    <w:jc w:val="center"/>
                    <w:textAlignment w:val="center"/>
                    <w:rPr>
                      <w:sz w:val="24"/>
                    </w:rPr>
                  </w:pPr>
                  <w:r>
                    <w:rPr>
                      <w:rFonts w:hint="eastAsia"/>
                      <w:kern w:val="0"/>
                      <w:sz w:val="24"/>
                    </w:rPr>
                    <w:t>N</w:t>
                  </w:r>
                  <w:r>
                    <w:rPr>
                      <w:kern w:val="0"/>
                      <w:sz w:val="24"/>
                    </w:rPr>
                    <w:t>39°14′49.718″</w:t>
                  </w:r>
                </w:p>
              </w:tc>
            </w:tr>
            <w:tr w14:paraId="7881E85F">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9820DDB">
                  <w:pPr>
                    <w:widowControl/>
                    <w:jc w:val="center"/>
                    <w:textAlignment w:val="center"/>
                    <w:rPr>
                      <w:sz w:val="24"/>
                    </w:rPr>
                  </w:pPr>
                  <w:r>
                    <w:rPr>
                      <w:rFonts w:hint="eastAsia"/>
                      <w:kern w:val="0"/>
                      <w:sz w:val="24"/>
                    </w:rPr>
                    <w:t>风机</w:t>
                  </w:r>
                  <w:r>
                    <w:rPr>
                      <w:kern w:val="0"/>
                      <w:sz w:val="24"/>
                    </w:rPr>
                    <w:t>J25</w:t>
                  </w:r>
                </w:p>
              </w:tc>
              <w:tc>
                <w:tcPr>
                  <w:tcW w:w="2316" w:type="dxa"/>
                  <w:tcBorders>
                    <w:tl2br w:val="nil"/>
                    <w:tr2bl w:val="nil"/>
                  </w:tcBorders>
                  <w:shd w:val="clear" w:color="auto" w:fill="auto"/>
                  <w:noWrap/>
                  <w:vAlign w:val="center"/>
                </w:tcPr>
                <w:p w14:paraId="5027E745">
                  <w:pPr>
                    <w:widowControl/>
                    <w:jc w:val="center"/>
                    <w:textAlignment w:val="center"/>
                    <w:rPr>
                      <w:sz w:val="24"/>
                    </w:rPr>
                  </w:pPr>
                  <w:r>
                    <w:rPr>
                      <w:rFonts w:hint="eastAsia"/>
                      <w:kern w:val="0"/>
                      <w:sz w:val="24"/>
                    </w:rPr>
                    <w:t>E</w:t>
                  </w:r>
                  <w:r>
                    <w:rPr>
                      <w:kern w:val="0"/>
                      <w:sz w:val="24"/>
                    </w:rPr>
                    <w:t>118°25′29.294″</w:t>
                  </w:r>
                </w:p>
              </w:tc>
              <w:tc>
                <w:tcPr>
                  <w:tcW w:w="1999" w:type="dxa"/>
                  <w:tcBorders>
                    <w:tl2br w:val="nil"/>
                    <w:tr2bl w:val="nil"/>
                  </w:tcBorders>
                  <w:shd w:val="clear" w:color="auto" w:fill="auto"/>
                  <w:noWrap/>
                  <w:vAlign w:val="center"/>
                </w:tcPr>
                <w:p w14:paraId="0D0C32BD">
                  <w:pPr>
                    <w:widowControl/>
                    <w:jc w:val="center"/>
                    <w:textAlignment w:val="center"/>
                    <w:rPr>
                      <w:sz w:val="24"/>
                    </w:rPr>
                  </w:pPr>
                  <w:r>
                    <w:rPr>
                      <w:rFonts w:hint="eastAsia"/>
                      <w:kern w:val="0"/>
                      <w:sz w:val="24"/>
                    </w:rPr>
                    <w:t>N</w:t>
                  </w:r>
                  <w:r>
                    <w:rPr>
                      <w:kern w:val="0"/>
                      <w:sz w:val="24"/>
                    </w:rPr>
                    <w:t>39°14′39.347″</w:t>
                  </w:r>
                </w:p>
              </w:tc>
            </w:tr>
            <w:tr w14:paraId="1EB85DC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280BBC5">
                  <w:pPr>
                    <w:widowControl/>
                    <w:jc w:val="center"/>
                    <w:textAlignment w:val="center"/>
                    <w:rPr>
                      <w:sz w:val="24"/>
                    </w:rPr>
                  </w:pPr>
                  <w:r>
                    <w:rPr>
                      <w:rFonts w:hint="eastAsia"/>
                      <w:kern w:val="0"/>
                      <w:sz w:val="24"/>
                    </w:rPr>
                    <w:t>风机</w:t>
                  </w:r>
                  <w:r>
                    <w:rPr>
                      <w:kern w:val="0"/>
                      <w:sz w:val="24"/>
                    </w:rPr>
                    <w:t>J26</w:t>
                  </w:r>
                </w:p>
              </w:tc>
              <w:tc>
                <w:tcPr>
                  <w:tcW w:w="2316" w:type="dxa"/>
                  <w:tcBorders>
                    <w:tl2br w:val="nil"/>
                    <w:tr2bl w:val="nil"/>
                  </w:tcBorders>
                  <w:shd w:val="clear" w:color="auto" w:fill="auto"/>
                  <w:noWrap/>
                  <w:vAlign w:val="center"/>
                </w:tcPr>
                <w:p w14:paraId="72901D6C">
                  <w:pPr>
                    <w:widowControl/>
                    <w:jc w:val="center"/>
                    <w:textAlignment w:val="center"/>
                    <w:rPr>
                      <w:sz w:val="24"/>
                    </w:rPr>
                  </w:pPr>
                  <w:r>
                    <w:rPr>
                      <w:rFonts w:hint="eastAsia"/>
                      <w:kern w:val="0"/>
                      <w:sz w:val="24"/>
                    </w:rPr>
                    <w:t>E</w:t>
                  </w:r>
                  <w:r>
                    <w:rPr>
                      <w:kern w:val="0"/>
                      <w:sz w:val="24"/>
                    </w:rPr>
                    <w:t>118°29′58.812″</w:t>
                  </w:r>
                </w:p>
              </w:tc>
              <w:tc>
                <w:tcPr>
                  <w:tcW w:w="1999" w:type="dxa"/>
                  <w:tcBorders>
                    <w:tl2br w:val="nil"/>
                    <w:tr2bl w:val="nil"/>
                  </w:tcBorders>
                  <w:shd w:val="clear" w:color="auto" w:fill="auto"/>
                  <w:noWrap/>
                  <w:vAlign w:val="center"/>
                </w:tcPr>
                <w:p w14:paraId="0D3E0267">
                  <w:pPr>
                    <w:widowControl/>
                    <w:jc w:val="center"/>
                    <w:textAlignment w:val="center"/>
                    <w:rPr>
                      <w:sz w:val="24"/>
                    </w:rPr>
                  </w:pPr>
                  <w:r>
                    <w:rPr>
                      <w:rFonts w:hint="eastAsia"/>
                      <w:kern w:val="0"/>
                      <w:sz w:val="24"/>
                    </w:rPr>
                    <w:t>N</w:t>
                  </w:r>
                  <w:r>
                    <w:rPr>
                      <w:kern w:val="0"/>
                      <w:sz w:val="24"/>
                    </w:rPr>
                    <w:t>39°14′13.178″</w:t>
                  </w:r>
                </w:p>
              </w:tc>
            </w:tr>
            <w:tr w14:paraId="29C83B0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6F32A68">
                  <w:pPr>
                    <w:widowControl/>
                    <w:jc w:val="center"/>
                    <w:textAlignment w:val="center"/>
                    <w:rPr>
                      <w:sz w:val="24"/>
                    </w:rPr>
                  </w:pPr>
                  <w:r>
                    <w:rPr>
                      <w:rFonts w:hint="eastAsia"/>
                      <w:kern w:val="0"/>
                      <w:sz w:val="24"/>
                    </w:rPr>
                    <w:t>风机</w:t>
                  </w:r>
                  <w:r>
                    <w:rPr>
                      <w:kern w:val="0"/>
                      <w:sz w:val="24"/>
                    </w:rPr>
                    <w:t>J27</w:t>
                  </w:r>
                </w:p>
              </w:tc>
              <w:tc>
                <w:tcPr>
                  <w:tcW w:w="2316" w:type="dxa"/>
                  <w:tcBorders>
                    <w:tl2br w:val="nil"/>
                    <w:tr2bl w:val="nil"/>
                  </w:tcBorders>
                  <w:shd w:val="clear" w:color="auto" w:fill="auto"/>
                  <w:noWrap/>
                  <w:vAlign w:val="center"/>
                </w:tcPr>
                <w:p w14:paraId="31202763">
                  <w:pPr>
                    <w:widowControl/>
                    <w:jc w:val="center"/>
                    <w:textAlignment w:val="center"/>
                    <w:rPr>
                      <w:sz w:val="24"/>
                    </w:rPr>
                  </w:pPr>
                  <w:r>
                    <w:rPr>
                      <w:rFonts w:hint="eastAsia"/>
                      <w:kern w:val="0"/>
                      <w:sz w:val="24"/>
                    </w:rPr>
                    <w:t>E</w:t>
                  </w:r>
                  <w:r>
                    <w:rPr>
                      <w:kern w:val="0"/>
                      <w:sz w:val="24"/>
                    </w:rPr>
                    <w:t>118°29′01.097″</w:t>
                  </w:r>
                </w:p>
              </w:tc>
              <w:tc>
                <w:tcPr>
                  <w:tcW w:w="1999" w:type="dxa"/>
                  <w:tcBorders>
                    <w:tl2br w:val="nil"/>
                    <w:tr2bl w:val="nil"/>
                  </w:tcBorders>
                  <w:shd w:val="clear" w:color="auto" w:fill="auto"/>
                  <w:noWrap/>
                  <w:vAlign w:val="center"/>
                </w:tcPr>
                <w:p w14:paraId="2494CE9D">
                  <w:pPr>
                    <w:widowControl/>
                    <w:jc w:val="center"/>
                    <w:textAlignment w:val="center"/>
                    <w:rPr>
                      <w:sz w:val="24"/>
                    </w:rPr>
                  </w:pPr>
                  <w:r>
                    <w:rPr>
                      <w:rFonts w:hint="eastAsia"/>
                      <w:kern w:val="0"/>
                      <w:sz w:val="24"/>
                    </w:rPr>
                    <w:t>N</w:t>
                  </w:r>
                  <w:r>
                    <w:rPr>
                      <w:kern w:val="0"/>
                      <w:sz w:val="24"/>
                    </w:rPr>
                    <w:t>39°13′49.847″</w:t>
                  </w:r>
                </w:p>
              </w:tc>
            </w:tr>
            <w:tr w14:paraId="2FD549BB">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42F60D0">
                  <w:pPr>
                    <w:widowControl/>
                    <w:jc w:val="center"/>
                    <w:textAlignment w:val="center"/>
                    <w:rPr>
                      <w:sz w:val="24"/>
                    </w:rPr>
                  </w:pPr>
                  <w:r>
                    <w:rPr>
                      <w:rFonts w:hint="eastAsia"/>
                      <w:kern w:val="0"/>
                      <w:sz w:val="24"/>
                    </w:rPr>
                    <w:t>风机</w:t>
                  </w:r>
                  <w:r>
                    <w:rPr>
                      <w:kern w:val="0"/>
                      <w:sz w:val="24"/>
                    </w:rPr>
                    <w:t>J28</w:t>
                  </w:r>
                </w:p>
              </w:tc>
              <w:tc>
                <w:tcPr>
                  <w:tcW w:w="2316" w:type="dxa"/>
                  <w:tcBorders>
                    <w:tl2br w:val="nil"/>
                    <w:tr2bl w:val="nil"/>
                  </w:tcBorders>
                  <w:shd w:val="clear" w:color="auto" w:fill="auto"/>
                  <w:noWrap/>
                  <w:vAlign w:val="center"/>
                </w:tcPr>
                <w:p w14:paraId="27943509">
                  <w:pPr>
                    <w:widowControl/>
                    <w:jc w:val="center"/>
                    <w:textAlignment w:val="center"/>
                    <w:rPr>
                      <w:sz w:val="24"/>
                    </w:rPr>
                  </w:pPr>
                  <w:r>
                    <w:rPr>
                      <w:rFonts w:hint="eastAsia"/>
                      <w:kern w:val="0"/>
                      <w:sz w:val="24"/>
                    </w:rPr>
                    <w:t>E</w:t>
                  </w:r>
                  <w:r>
                    <w:rPr>
                      <w:kern w:val="0"/>
                      <w:sz w:val="24"/>
                    </w:rPr>
                    <w:t>118°28′44.681″</w:t>
                  </w:r>
                </w:p>
              </w:tc>
              <w:tc>
                <w:tcPr>
                  <w:tcW w:w="1999" w:type="dxa"/>
                  <w:tcBorders>
                    <w:tl2br w:val="nil"/>
                    <w:tr2bl w:val="nil"/>
                  </w:tcBorders>
                  <w:shd w:val="clear" w:color="auto" w:fill="auto"/>
                  <w:noWrap/>
                  <w:vAlign w:val="center"/>
                </w:tcPr>
                <w:p w14:paraId="0D325FB5">
                  <w:pPr>
                    <w:widowControl/>
                    <w:jc w:val="center"/>
                    <w:textAlignment w:val="center"/>
                    <w:rPr>
                      <w:sz w:val="24"/>
                    </w:rPr>
                  </w:pPr>
                  <w:r>
                    <w:rPr>
                      <w:rFonts w:hint="eastAsia"/>
                      <w:kern w:val="0"/>
                      <w:sz w:val="24"/>
                    </w:rPr>
                    <w:t>N</w:t>
                  </w:r>
                  <w:r>
                    <w:rPr>
                      <w:kern w:val="0"/>
                      <w:sz w:val="24"/>
                    </w:rPr>
                    <w:t>39°13′33.881″</w:t>
                  </w:r>
                </w:p>
              </w:tc>
            </w:tr>
            <w:tr w14:paraId="16B33BD8">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F771548">
                  <w:pPr>
                    <w:widowControl/>
                    <w:jc w:val="center"/>
                    <w:textAlignment w:val="center"/>
                    <w:rPr>
                      <w:sz w:val="24"/>
                    </w:rPr>
                  </w:pPr>
                  <w:r>
                    <w:rPr>
                      <w:rFonts w:hint="eastAsia"/>
                      <w:kern w:val="0"/>
                      <w:sz w:val="24"/>
                    </w:rPr>
                    <w:t>风机</w:t>
                  </w:r>
                  <w:r>
                    <w:rPr>
                      <w:kern w:val="0"/>
                      <w:sz w:val="24"/>
                    </w:rPr>
                    <w:t>J29</w:t>
                  </w:r>
                </w:p>
              </w:tc>
              <w:tc>
                <w:tcPr>
                  <w:tcW w:w="2316" w:type="dxa"/>
                  <w:tcBorders>
                    <w:tl2br w:val="nil"/>
                    <w:tr2bl w:val="nil"/>
                  </w:tcBorders>
                  <w:shd w:val="clear" w:color="auto" w:fill="auto"/>
                  <w:noWrap/>
                  <w:vAlign w:val="center"/>
                </w:tcPr>
                <w:p w14:paraId="6033076A">
                  <w:pPr>
                    <w:widowControl/>
                    <w:jc w:val="center"/>
                    <w:textAlignment w:val="center"/>
                    <w:rPr>
                      <w:sz w:val="24"/>
                    </w:rPr>
                  </w:pPr>
                  <w:r>
                    <w:rPr>
                      <w:rFonts w:hint="eastAsia"/>
                      <w:kern w:val="0"/>
                      <w:sz w:val="24"/>
                    </w:rPr>
                    <w:t>E</w:t>
                  </w:r>
                  <w:r>
                    <w:rPr>
                      <w:kern w:val="0"/>
                      <w:sz w:val="24"/>
                    </w:rPr>
                    <w:t>118°27′16.409″</w:t>
                  </w:r>
                </w:p>
              </w:tc>
              <w:tc>
                <w:tcPr>
                  <w:tcW w:w="1999" w:type="dxa"/>
                  <w:tcBorders>
                    <w:tl2br w:val="nil"/>
                    <w:tr2bl w:val="nil"/>
                  </w:tcBorders>
                  <w:shd w:val="clear" w:color="auto" w:fill="auto"/>
                  <w:noWrap/>
                  <w:vAlign w:val="center"/>
                </w:tcPr>
                <w:p w14:paraId="307CBD71">
                  <w:pPr>
                    <w:widowControl/>
                    <w:jc w:val="center"/>
                    <w:textAlignment w:val="center"/>
                    <w:rPr>
                      <w:sz w:val="24"/>
                    </w:rPr>
                  </w:pPr>
                  <w:r>
                    <w:rPr>
                      <w:rFonts w:hint="eastAsia"/>
                      <w:kern w:val="0"/>
                      <w:sz w:val="24"/>
                    </w:rPr>
                    <w:t>N</w:t>
                  </w:r>
                  <w:r>
                    <w:rPr>
                      <w:kern w:val="0"/>
                      <w:sz w:val="24"/>
                    </w:rPr>
                    <w:t>39°13′33.492″</w:t>
                  </w:r>
                </w:p>
              </w:tc>
            </w:tr>
            <w:tr w14:paraId="3B120761">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FDAD9AC">
                  <w:pPr>
                    <w:widowControl/>
                    <w:jc w:val="center"/>
                    <w:textAlignment w:val="center"/>
                    <w:rPr>
                      <w:sz w:val="24"/>
                    </w:rPr>
                  </w:pPr>
                  <w:r>
                    <w:rPr>
                      <w:rFonts w:hint="eastAsia"/>
                      <w:kern w:val="0"/>
                      <w:sz w:val="24"/>
                    </w:rPr>
                    <w:t>风机</w:t>
                  </w:r>
                  <w:r>
                    <w:rPr>
                      <w:kern w:val="0"/>
                      <w:sz w:val="24"/>
                    </w:rPr>
                    <w:t>J30</w:t>
                  </w:r>
                </w:p>
              </w:tc>
              <w:tc>
                <w:tcPr>
                  <w:tcW w:w="2316" w:type="dxa"/>
                  <w:tcBorders>
                    <w:tl2br w:val="nil"/>
                    <w:tr2bl w:val="nil"/>
                  </w:tcBorders>
                  <w:shd w:val="clear" w:color="auto" w:fill="auto"/>
                  <w:noWrap/>
                  <w:vAlign w:val="center"/>
                </w:tcPr>
                <w:p w14:paraId="3CAA98DF">
                  <w:pPr>
                    <w:widowControl/>
                    <w:jc w:val="center"/>
                    <w:textAlignment w:val="center"/>
                    <w:rPr>
                      <w:sz w:val="24"/>
                    </w:rPr>
                  </w:pPr>
                  <w:r>
                    <w:rPr>
                      <w:rFonts w:hint="eastAsia"/>
                      <w:kern w:val="0"/>
                      <w:sz w:val="24"/>
                    </w:rPr>
                    <w:t>E</w:t>
                  </w:r>
                  <w:r>
                    <w:rPr>
                      <w:kern w:val="0"/>
                      <w:sz w:val="24"/>
                    </w:rPr>
                    <w:t>118°26′55.154″</w:t>
                  </w:r>
                </w:p>
              </w:tc>
              <w:tc>
                <w:tcPr>
                  <w:tcW w:w="1999" w:type="dxa"/>
                  <w:tcBorders>
                    <w:tl2br w:val="nil"/>
                    <w:tr2bl w:val="nil"/>
                  </w:tcBorders>
                  <w:shd w:val="clear" w:color="auto" w:fill="auto"/>
                  <w:noWrap/>
                  <w:vAlign w:val="center"/>
                </w:tcPr>
                <w:p w14:paraId="1F20465F">
                  <w:pPr>
                    <w:widowControl/>
                    <w:jc w:val="center"/>
                    <w:textAlignment w:val="center"/>
                    <w:rPr>
                      <w:sz w:val="24"/>
                    </w:rPr>
                  </w:pPr>
                  <w:r>
                    <w:rPr>
                      <w:rFonts w:hint="eastAsia"/>
                      <w:kern w:val="0"/>
                      <w:sz w:val="24"/>
                    </w:rPr>
                    <w:t>N</w:t>
                  </w:r>
                  <w:r>
                    <w:rPr>
                      <w:kern w:val="0"/>
                      <w:sz w:val="24"/>
                    </w:rPr>
                    <w:t>39°13′32.923″</w:t>
                  </w:r>
                </w:p>
              </w:tc>
            </w:tr>
            <w:tr w14:paraId="5BDD7DD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ED93397">
                  <w:pPr>
                    <w:widowControl/>
                    <w:jc w:val="center"/>
                    <w:textAlignment w:val="center"/>
                    <w:rPr>
                      <w:sz w:val="24"/>
                    </w:rPr>
                  </w:pPr>
                  <w:r>
                    <w:rPr>
                      <w:rFonts w:hint="eastAsia"/>
                      <w:kern w:val="0"/>
                      <w:sz w:val="24"/>
                    </w:rPr>
                    <w:t>风机</w:t>
                  </w:r>
                  <w:r>
                    <w:rPr>
                      <w:kern w:val="0"/>
                      <w:sz w:val="24"/>
                    </w:rPr>
                    <w:t>J31</w:t>
                  </w:r>
                </w:p>
              </w:tc>
              <w:tc>
                <w:tcPr>
                  <w:tcW w:w="2316" w:type="dxa"/>
                  <w:tcBorders>
                    <w:tl2br w:val="nil"/>
                    <w:tr2bl w:val="nil"/>
                  </w:tcBorders>
                  <w:shd w:val="clear" w:color="auto" w:fill="auto"/>
                  <w:noWrap/>
                  <w:vAlign w:val="center"/>
                </w:tcPr>
                <w:p w14:paraId="4F13205A">
                  <w:pPr>
                    <w:widowControl/>
                    <w:jc w:val="center"/>
                    <w:textAlignment w:val="center"/>
                    <w:rPr>
                      <w:sz w:val="24"/>
                    </w:rPr>
                  </w:pPr>
                  <w:r>
                    <w:rPr>
                      <w:rFonts w:hint="eastAsia"/>
                      <w:kern w:val="0"/>
                      <w:sz w:val="24"/>
                    </w:rPr>
                    <w:t>E</w:t>
                  </w:r>
                  <w:r>
                    <w:rPr>
                      <w:kern w:val="0"/>
                      <w:sz w:val="24"/>
                    </w:rPr>
                    <w:t>118°27′21.794″</w:t>
                  </w:r>
                </w:p>
              </w:tc>
              <w:tc>
                <w:tcPr>
                  <w:tcW w:w="1999" w:type="dxa"/>
                  <w:tcBorders>
                    <w:tl2br w:val="nil"/>
                    <w:tr2bl w:val="nil"/>
                  </w:tcBorders>
                  <w:shd w:val="clear" w:color="auto" w:fill="auto"/>
                  <w:noWrap/>
                  <w:vAlign w:val="center"/>
                </w:tcPr>
                <w:p w14:paraId="5E13C72B">
                  <w:pPr>
                    <w:widowControl/>
                    <w:jc w:val="center"/>
                    <w:textAlignment w:val="center"/>
                    <w:rPr>
                      <w:sz w:val="24"/>
                    </w:rPr>
                  </w:pPr>
                  <w:r>
                    <w:rPr>
                      <w:rFonts w:hint="eastAsia"/>
                      <w:kern w:val="0"/>
                      <w:sz w:val="24"/>
                    </w:rPr>
                    <w:t>N</w:t>
                  </w:r>
                  <w:r>
                    <w:rPr>
                      <w:kern w:val="0"/>
                      <w:sz w:val="24"/>
                    </w:rPr>
                    <w:t>39°10′36.775″</w:t>
                  </w:r>
                </w:p>
              </w:tc>
            </w:tr>
            <w:tr w14:paraId="65E3332C">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70E2EB6">
                  <w:pPr>
                    <w:widowControl/>
                    <w:jc w:val="center"/>
                    <w:textAlignment w:val="center"/>
                    <w:rPr>
                      <w:sz w:val="24"/>
                    </w:rPr>
                  </w:pPr>
                  <w:r>
                    <w:rPr>
                      <w:rFonts w:hint="eastAsia"/>
                      <w:kern w:val="0"/>
                      <w:sz w:val="24"/>
                    </w:rPr>
                    <w:t>风机</w:t>
                  </w:r>
                  <w:r>
                    <w:rPr>
                      <w:kern w:val="0"/>
                      <w:sz w:val="24"/>
                    </w:rPr>
                    <w:t>J32</w:t>
                  </w:r>
                </w:p>
              </w:tc>
              <w:tc>
                <w:tcPr>
                  <w:tcW w:w="2316" w:type="dxa"/>
                  <w:tcBorders>
                    <w:tl2br w:val="nil"/>
                    <w:tr2bl w:val="nil"/>
                  </w:tcBorders>
                  <w:shd w:val="clear" w:color="auto" w:fill="auto"/>
                  <w:noWrap/>
                  <w:vAlign w:val="center"/>
                </w:tcPr>
                <w:p w14:paraId="1582DE3A">
                  <w:pPr>
                    <w:widowControl/>
                    <w:jc w:val="center"/>
                    <w:textAlignment w:val="center"/>
                    <w:rPr>
                      <w:sz w:val="24"/>
                    </w:rPr>
                  </w:pPr>
                  <w:r>
                    <w:rPr>
                      <w:rFonts w:hint="eastAsia"/>
                      <w:kern w:val="0"/>
                      <w:sz w:val="24"/>
                    </w:rPr>
                    <w:t>E</w:t>
                  </w:r>
                  <w:r>
                    <w:rPr>
                      <w:kern w:val="0"/>
                      <w:sz w:val="24"/>
                    </w:rPr>
                    <w:t>118°26′52.436″</w:t>
                  </w:r>
                </w:p>
              </w:tc>
              <w:tc>
                <w:tcPr>
                  <w:tcW w:w="1999" w:type="dxa"/>
                  <w:tcBorders>
                    <w:tl2br w:val="nil"/>
                    <w:tr2bl w:val="nil"/>
                  </w:tcBorders>
                  <w:shd w:val="clear" w:color="auto" w:fill="auto"/>
                  <w:noWrap/>
                  <w:vAlign w:val="center"/>
                </w:tcPr>
                <w:p w14:paraId="480BA170">
                  <w:pPr>
                    <w:widowControl/>
                    <w:jc w:val="center"/>
                    <w:textAlignment w:val="center"/>
                    <w:rPr>
                      <w:sz w:val="24"/>
                    </w:rPr>
                  </w:pPr>
                  <w:r>
                    <w:rPr>
                      <w:rFonts w:hint="eastAsia"/>
                      <w:kern w:val="0"/>
                      <w:sz w:val="24"/>
                    </w:rPr>
                    <w:t>N</w:t>
                  </w:r>
                  <w:r>
                    <w:rPr>
                      <w:kern w:val="0"/>
                      <w:sz w:val="24"/>
                    </w:rPr>
                    <w:t>39°10′36.941″</w:t>
                  </w:r>
                </w:p>
              </w:tc>
            </w:tr>
            <w:tr w14:paraId="1C40F7C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5CC0369">
                  <w:pPr>
                    <w:widowControl/>
                    <w:jc w:val="center"/>
                    <w:textAlignment w:val="center"/>
                    <w:rPr>
                      <w:sz w:val="24"/>
                    </w:rPr>
                  </w:pPr>
                  <w:r>
                    <w:rPr>
                      <w:rFonts w:hint="eastAsia"/>
                      <w:kern w:val="0"/>
                      <w:sz w:val="24"/>
                    </w:rPr>
                    <w:t>风机</w:t>
                  </w:r>
                  <w:r>
                    <w:rPr>
                      <w:kern w:val="0"/>
                      <w:sz w:val="24"/>
                    </w:rPr>
                    <w:t>J33</w:t>
                  </w:r>
                </w:p>
              </w:tc>
              <w:tc>
                <w:tcPr>
                  <w:tcW w:w="2316" w:type="dxa"/>
                  <w:tcBorders>
                    <w:tl2br w:val="nil"/>
                    <w:tr2bl w:val="nil"/>
                  </w:tcBorders>
                  <w:shd w:val="clear" w:color="auto" w:fill="auto"/>
                  <w:noWrap/>
                  <w:vAlign w:val="center"/>
                </w:tcPr>
                <w:p w14:paraId="20A7DD51">
                  <w:pPr>
                    <w:widowControl/>
                    <w:jc w:val="center"/>
                    <w:textAlignment w:val="center"/>
                    <w:rPr>
                      <w:sz w:val="24"/>
                    </w:rPr>
                  </w:pPr>
                  <w:r>
                    <w:rPr>
                      <w:rFonts w:hint="eastAsia"/>
                      <w:kern w:val="0"/>
                      <w:sz w:val="24"/>
                    </w:rPr>
                    <w:t>E</w:t>
                  </w:r>
                  <w:r>
                    <w:rPr>
                      <w:kern w:val="0"/>
                      <w:sz w:val="24"/>
                    </w:rPr>
                    <w:t>118°29′48.700″</w:t>
                  </w:r>
                </w:p>
              </w:tc>
              <w:tc>
                <w:tcPr>
                  <w:tcW w:w="1999" w:type="dxa"/>
                  <w:tcBorders>
                    <w:tl2br w:val="nil"/>
                    <w:tr2bl w:val="nil"/>
                  </w:tcBorders>
                  <w:shd w:val="clear" w:color="auto" w:fill="auto"/>
                  <w:noWrap/>
                  <w:vAlign w:val="center"/>
                </w:tcPr>
                <w:p w14:paraId="1B20BF26">
                  <w:pPr>
                    <w:widowControl/>
                    <w:jc w:val="center"/>
                    <w:textAlignment w:val="center"/>
                    <w:rPr>
                      <w:sz w:val="24"/>
                    </w:rPr>
                  </w:pPr>
                  <w:r>
                    <w:rPr>
                      <w:rFonts w:hint="eastAsia"/>
                      <w:kern w:val="0"/>
                      <w:sz w:val="24"/>
                    </w:rPr>
                    <w:t>N</w:t>
                  </w:r>
                  <w:r>
                    <w:rPr>
                      <w:kern w:val="0"/>
                      <w:sz w:val="24"/>
                    </w:rPr>
                    <w:t>39°10′09.430″</w:t>
                  </w:r>
                </w:p>
              </w:tc>
            </w:tr>
            <w:tr w14:paraId="45C8536A">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96A20AC">
                  <w:pPr>
                    <w:widowControl/>
                    <w:jc w:val="center"/>
                    <w:textAlignment w:val="center"/>
                    <w:rPr>
                      <w:sz w:val="24"/>
                    </w:rPr>
                  </w:pPr>
                  <w:r>
                    <w:rPr>
                      <w:rFonts w:hint="eastAsia"/>
                      <w:kern w:val="0"/>
                      <w:sz w:val="24"/>
                    </w:rPr>
                    <w:t>风机</w:t>
                  </w:r>
                  <w:r>
                    <w:rPr>
                      <w:kern w:val="0"/>
                      <w:sz w:val="24"/>
                    </w:rPr>
                    <w:t>J34</w:t>
                  </w:r>
                </w:p>
              </w:tc>
              <w:tc>
                <w:tcPr>
                  <w:tcW w:w="2316" w:type="dxa"/>
                  <w:tcBorders>
                    <w:tl2br w:val="nil"/>
                    <w:tr2bl w:val="nil"/>
                  </w:tcBorders>
                  <w:shd w:val="clear" w:color="auto" w:fill="auto"/>
                  <w:noWrap/>
                  <w:vAlign w:val="center"/>
                </w:tcPr>
                <w:p w14:paraId="2231DC0F">
                  <w:pPr>
                    <w:widowControl/>
                    <w:jc w:val="center"/>
                    <w:textAlignment w:val="center"/>
                    <w:rPr>
                      <w:sz w:val="24"/>
                    </w:rPr>
                  </w:pPr>
                  <w:r>
                    <w:rPr>
                      <w:rFonts w:hint="eastAsia"/>
                      <w:kern w:val="0"/>
                      <w:sz w:val="24"/>
                    </w:rPr>
                    <w:t>E</w:t>
                  </w:r>
                  <w:r>
                    <w:rPr>
                      <w:kern w:val="0"/>
                      <w:sz w:val="24"/>
                    </w:rPr>
                    <w:t>118°29′20.004″</w:t>
                  </w:r>
                </w:p>
              </w:tc>
              <w:tc>
                <w:tcPr>
                  <w:tcW w:w="1999" w:type="dxa"/>
                  <w:tcBorders>
                    <w:tl2br w:val="nil"/>
                    <w:tr2bl w:val="nil"/>
                  </w:tcBorders>
                  <w:shd w:val="clear" w:color="auto" w:fill="auto"/>
                  <w:noWrap/>
                  <w:vAlign w:val="center"/>
                </w:tcPr>
                <w:p w14:paraId="6216286E">
                  <w:pPr>
                    <w:widowControl/>
                    <w:jc w:val="center"/>
                    <w:textAlignment w:val="center"/>
                    <w:rPr>
                      <w:sz w:val="24"/>
                    </w:rPr>
                  </w:pPr>
                  <w:r>
                    <w:rPr>
                      <w:rFonts w:hint="eastAsia"/>
                      <w:kern w:val="0"/>
                      <w:sz w:val="24"/>
                    </w:rPr>
                    <w:t>N</w:t>
                  </w:r>
                  <w:r>
                    <w:rPr>
                      <w:kern w:val="0"/>
                      <w:sz w:val="24"/>
                    </w:rPr>
                    <w:t>39°09′59.854″</w:t>
                  </w:r>
                </w:p>
              </w:tc>
            </w:tr>
            <w:tr w14:paraId="4886CA6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1648BB0">
                  <w:pPr>
                    <w:widowControl/>
                    <w:jc w:val="center"/>
                    <w:textAlignment w:val="center"/>
                    <w:rPr>
                      <w:sz w:val="24"/>
                    </w:rPr>
                  </w:pPr>
                  <w:r>
                    <w:rPr>
                      <w:rFonts w:hint="eastAsia"/>
                      <w:kern w:val="0"/>
                      <w:sz w:val="24"/>
                    </w:rPr>
                    <w:t>风机</w:t>
                  </w:r>
                  <w:r>
                    <w:rPr>
                      <w:kern w:val="0"/>
                      <w:sz w:val="24"/>
                    </w:rPr>
                    <w:t>J35</w:t>
                  </w:r>
                </w:p>
              </w:tc>
              <w:tc>
                <w:tcPr>
                  <w:tcW w:w="2316" w:type="dxa"/>
                  <w:tcBorders>
                    <w:tl2br w:val="nil"/>
                    <w:tr2bl w:val="nil"/>
                  </w:tcBorders>
                  <w:shd w:val="clear" w:color="auto" w:fill="auto"/>
                  <w:noWrap/>
                  <w:vAlign w:val="center"/>
                </w:tcPr>
                <w:p w14:paraId="1BFAF524">
                  <w:pPr>
                    <w:widowControl/>
                    <w:jc w:val="center"/>
                    <w:textAlignment w:val="center"/>
                    <w:rPr>
                      <w:sz w:val="24"/>
                    </w:rPr>
                  </w:pPr>
                  <w:r>
                    <w:rPr>
                      <w:rFonts w:hint="eastAsia"/>
                      <w:kern w:val="0"/>
                      <w:sz w:val="24"/>
                    </w:rPr>
                    <w:t>E</w:t>
                  </w:r>
                  <w:r>
                    <w:rPr>
                      <w:kern w:val="0"/>
                      <w:sz w:val="24"/>
                    </w:rPr>
                    <w:t>118°30′23.094″</w:t>
                  </w:r>
                </w:p>
              </w:tc>
              <w:tc>
                <w:tcPr>
                  <w:tcW w:w="1999" w:type="dxa"/>
                  <w:tcBorders>
                    <w:tl2br w:val="nil"/>
                    <w:tr2bl w:val="nil"/>
                  </w:tcBorders>
                  <w:shd w:val="clear" w:color="auto" w:fill="auto"/>
                  <w:noWrap/>
                  <w:vAlign w:val="center"/>
                </w:tcPr>
                <w:p w14:paraId="4D040FF0">
                  <w:pPr>
                    <w:widowControl/>
                    <w:jc w:val="center"/>
                    <w:textAlignment w:val="center"/>
                    <w:rPr>
                      <w:sz w:val="24"/>
                    </w:rPr>
                  </w:pPr>
                  <w:r>
                    <w:rPr>
                      <w:rFonts w:hint="eastAsia"/>
                      <w:kern w:val="0"/>
                      <w:sz w:val="24"/>
                    </w:rPr>
                    <w:t>N</w:t>
                  </w:r>
                  <w:r>
                    <w:rPr>
                      <w:kern w:val="0"/>
                      <w:sz w:val="24"/>
                    </w:rPr>
                    <w:t>39°09′50.623″</w:t>
                  </w:r>
                </w:p>
              </w:tc>
            </w:tr>
            <w:tr w14:paraId="5747D263">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42559EAF">
                  <w:pPr>
                    <w:widowControl/>
                    <w:jc w:val="center"/>
                    <w:textAlignment w:val="center"/>
                    <w:rPr>
                      <w:sz w:val="24"/>
                    </w:rPr>
                  </w:pPr>
                  <w:r>
                    <w:rPr>
                      <w:rFonts w:hint="eastAsia"/>
                      <w:kern w:val="0"/>
                      <w:sz w:val="24"/>
                    </w:rPr>
                    <w:t>风机</w:t>
                  </w:r>
                  <w:r>
                    <w:rPr>
                      <w:kern w:val="0"/>
                      <w:sz w:val="24"/>
                    </w:rPr>
                    <w:t>J36</w:t>
                  </w:r>
                </w:p>
              </w:tc>
              <w:tc>
                <w:tcPr>
                  <w:tcW w:w="2316" w:type="dxa"/>
                  <w:tcBorders>
                    <w:tl2br w:val="nil"/>
                    <w:tr2bl w:val="nil"/>
                  </w:tcBorders>
                  <w:shd w:val="clear" w:color="auto" w:fill="auto"/>
                  <w:noWrap/>
                  <w:vAlign w:val="center"/>
                </w:tcPr>
                <w:p w14:paraId="2E2162F4">
                  <w:pPr>
                    <w:widowControl/>
                    <w:jc w:val="center"/>
                    <w:textAlignment w:val="center"/>
                    <w:rPr>
                      <w:sz w:val="24"/>
                    </w:rPr>
                  </w:pPr>
                  <w:r>
                    <w:rPr>
                      <w:rFonts w:hint="eastAsia"/>
                      <w:kern w:val="0"/>
                      <w:sz w:val="24"/>
                    </w:rPr>
                    <w:t>E</w:t>
                  </w:r>
                  <w:r>
                    <w:rPr>
                      <w:kern w:val="0"/>
                      <w:sz w:val="24"/>
                    </w:rPr>
                    <w:t>118°29′52.681″</w:t>
                  </w:r>
                </w:p>
              </w:tc>
              <w:tc>
                <w:tcPr>
                  <w:tcW w:w="1999" w:type="dxa"/>
                  <w:tcBorders>
                    <w:tl2br w:val="nil"/>
                    <w:tr2bl w:val="nil"/>
                  </w:tcBorders>
                  <w:shd w:val="clear" w:color="auto" w:fill="auto"/>
                  <w:noWrap/>
                  <w:vAlign w:val="center"/>
                </w:tcPr>
                <w:p w14:paraId="57546951">
                  <w:pPr>
                    <w:widowControl/>
                    <w:jc w:val="center"/>
                    <w:textAlignment w:val="center"/>
                    <w:rPr>
                      <w:sz w:val="24"/>
                    </w:rPr>
                  </w:pPr>
                  <w:r>
                    <w:rPr>
                      <w:rFonts w:hint="eastAsia"/>
                      <w:kern w:val="0"/>
                      <w:sz w:val="24"/>
                    </w:rPr>
                    <w:t>N</w:t>
                  </w:r>
                  <w:r>
                    <w:rPr>
                      <w:kern w:val="0"/>
                      <w:sz w:val="24"/>
                    </w:rPr>
                    <w:t>39°09′44.640″</w:t>
                  </w:r>
                </w:p>
              </w:tc>
            </w:tr>
            <w:tr w14:paraId="7A0D561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8BA1332">
                  <w:pPr>
                    <w:widowControl/>
                    <w:jc w:val="center"/>
                    <w:textAlignment w:val="center"/>
                    <w:rPr>
                      <w:sz w:val="24"/>
                    </w:rPr>
                  </w:pPr>
                  <w:r>
                    <w:rPr>
                      <w:rFonts w:hint="eastAsia"/>
                      <w:kern w:val="0"/>
                      <w:sz w:val="24"/>
                    </w:rPr>
                    <w:t>风机</w:t>
                  </w:r>
                  <w:r>
                    <w:rPr>
                      <w:kern w:val="0"/>
                      <w:sz w:val="24"/>
                    </w:rPr>
                    <w:t>J37</w:t>
                  </w:r>
                </w:p>
              </w:tc>
              <w:tc>
                <w:tcPr>
                  <w:tcW w:w="2316" w:type="dxa"/>
                  <w:tcBorders>
                    <w:tl2br w:val="nil"/>
                    <w:tr2bl w:val="nil"/>
                  </w:tcBorders>
                  <w:shd w:val="clear" w:color="auto" w:fill="auto"/>
                  <w:noWrap/>
                  <w:vAlign w:val="center"/>
                </w:tcPr>
                <w:p w14:paraId="0071FE6F">
                  <w:pPr>
                    <w:widowControl/>
                    <w:jc w:val="center"/>
                    <w:textAlignment w:val="center"/>
                    <w:rPr>
                      <w:sz w:val="24"/>
                    </w:rPr>
                  </w:pPr>
                  <w:r>
                    <w:rPr>
                      <w:rFonts w:hint="eastAsia"/>
                      <w:kern w:val="0"/>
                      <w:sz w:val="24"/>
                    </w:rPr>
                    <w:t>E</w:t>
                  </w:r>
                  <w:r>
                    <w:rPr>
                      <w:kern w:val="0"/>
                      <w:sz w:val="24"/>
                    </w:rPr>
                    <w:t>118°30′47.095″</w:t>
                  </w:r>
                </w:p>
              </w:tc>
              <w:tc>
                <w:tcPr>
                  <w:tcW w:w="1999" w:type="dxa"/>
                  <w:tcBorders>
                    <w:tl2br w:val="nil"/>
                    <w:tr2bl w:val="nil"/>
                  </w:tcBorders>
                  <w:shd w:val="clear" w:color="auto" w:fill="auto"/>
                  <w:noWrap/>
                  <w:vAlign w:val="center"/>
                </w:tcPr>
                <w:p w14:paraId="47E3F319">
                  <w:pPr>
                    <w:widowControl/>
                    <w:jc w:val="center"/>
                    <w:textAlignment w:val="center"/>
                    <w:rPr>
                      <w:sz w:val="24"/>
                    </w:rPr>
                  </w:pPr>
                  <w:r>
                    <w:rPr>
                      <w:rFonts w:hint="eastAsia"/>
                      <w:kern w:val="0"/>
                      <w:sz w:val="24"/>
                    </w:rPr>
                    <w:t>N</w:t>
                  </w:r>
                  <w:r>
                    <w:rPr>
                      <w:kern w:val="0"/>
                      <w:sz w:val="24"/>
                    </w:rPr>
                    <w:t>39°09′28.778″</w:t>
                  </w:r>
                </w:p>
              </w:tc>
            </w:tr>
            <w:tr w14:paraId="200EB129">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E6ECBA6">
                  <w:pPr>
                    <w:widowControl/>
                    <w:jc w:val="center"/>
                    <w:textAlignment w:val="center"/>
                    <w:rPr>
                      <w:sz w:val="24"/>
                    </w:rPr>
                  </w:pPr>
                  <w:r>
                    <w:rPr>
                      <w:rFonts w:hint="eastAsia"/>
                      <w:kern w:val="0"/>
                      <w:sz w:val="24"/>
                    </w:rPr>
                    <w:t>风机</w:t>
                  </w:r>
                  <w:r>
                    <w:rPr>
                      <w:kern w:val="0"/>
                      <w:sz w:val="24"/>
                    </w:rPr>
                    <w:t>J38</w:t>
                  </w:r>
                </w:p>
              </w:tc>
              <w:tc>
                <w:tcPr>
                  <w:tcW w:w="2316" w:type="dxa"/>
                  <w:tcBorders>
                    <w:tl2br w:val="nil"/>
                    <w:tr2bl w:val="nil"/>
                  </w:tcBorders>
                  <w:shd w:val="clear" w:color="auto" w:fill="auto"/>
                  <w:noWrap/>
                  <w:vAlign w:val="center"/>
                </w:tcPr>
                <w:p w14:paraId="15EA8F88">
                  <w:pPr>
                    <w:widowControl/>
                    <w:jc w:val="center"/>
                    <w:textAlignment w:val="center"/>
                    <w:rPr>
                      <w:sz w:val="24"/>
                    </w:rPr>
                  </w:pPr>
                  <w:r>
                    <w:rPr>
                      <w:rFonts w:hint="eastAsia"/>
                      <w:kern w:val="0"/>
                      <w:sz w:val="24"/>
                    </w:rPr>
                    <w:t>E</w:t>
                  </w:r>
                  <w:r>
                    <w:rPr>
                      <w:kern w:val="0"/>
                      <w:sz w:val="24"/>
                    </w:rPr>
                    <w:t>118°29′20.162″</w:t>
                  </w:r>
                </w:p>
              </w:tc>
              <w:tc>
                <w:tcPr>
                  <w:tcW w:w="1999" w:type="dxa"/>
                  <w:tcBorders>
                    <w:tl2br w:val="nil"/>
                    <w:tr2bl w:val="nil"/>
                  </w:tcBorders>
                  <w:shd w:val="clear" w:color="auto" w:fill="auto"/>
                  <w:noWrap/>
                  <w:vAlign w:val="center"/>
                </w:tcPr>
                <w:p w14:paraId="32D5AC48">
                  <w:pPr>
                    <w:widowControl/>
                    <w:jc w:val="center"/>
                    <w:textAlignment w:val="center"/>
                    <w:rPr>
                      <w:sz w:val="24"/>
                    </w:rPr>
                  </w:pPr>
                  <w:r>
                    <w:rPr>
                      <w:rFonts w:hint="eastAsia"/>
                      <w:kern w:val="0"/>
                      <w:sz w:val="24"/>
                    </w:rPr>
                    <w:t>N</w:t>
                  </w:r>
                  <w:r>
                    <w:rPr>
                      <w:kern w:val="0"/>
                      <w:sz w:val="24"/>
                    </w:rPr>
                    <w:t>39°09′24.149″</w:t>
                  </w:r>
                </w:p>
              </w:tc>
            </w:tr>
            <w:tr w14:paraId="343C058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7A5A1776">
                  <w:pPr>
                    <w:widowControl/>
                    <w:jc w:val="center"/>
                    <w:textAlignment w:val="center"/>
                    <w:rPr>
                      <w:sz w:val="24"/>
                    </w:rPr>
                  </w:pPr>
                  <w:r>
                    <w:rPr>
                      <w:rFonts w:hint="eastAsia"/>
                      <w:kern w:val="0"/>
                      <w:sz w:val="24"/>
                    </w:rPr>
                    <w:t>风机</w:t>
                  </w:r>
                  <w:r>
                    <w:rPr>
                      <w:kern w:val="0"/>
                      <w:sz w:val="24"/>
                    </w:rPr>
                    <w:t>J39</w:t>
                  </w:r>
                </w:p>
              </w:tc>
              <w:tc>
                <w:tcPr>
                  <w:tcW w:w="2316" w:type="dxa"/>
                  <w:tcBorders>
                    <w:tl2br w:val="nil"/>
                    <w:tr2bl w:val="nil"/>
                  </w:tcBorders>
                  <w:shd w:val="clear" w:color="auto" w:fill="auto"/>
                  <w:noWrap/>
                  <w:vAlign w:val="center"/>
                </w:tcPr>
                <w:p w14:paraId="6F8B2F91">
                  <w:pPr>
                    <w:widowControl/>
                    <w:jc w:val="center"/>
                    <w:textAlignment w:val="center"/>
                    <w:rPr>
                      <w:sz w:val="24"/>
                    </w:rPr>
                  </w:pPr>
                  <w:r>
                    <w:rPr>
                      <w:rFonts w:hint="eastAsia"/>
                      <w:kern w:val="0"/>
                      <w:sz w:val="24"/>
                    </w:rPr>
                    <w:t>E</w:t>
                  </w:r>
                  <w:r>
                    <w:rPr>
                      <w:kern w:val="0"/>
                      <w:sz w:val="24"/>
                    </w:rPr>
                    <w:t>118°30′26.381″</w:t>
                  </w:r>
                </w:p>
              </w:tc>
              <w:tc>
                <w:tcPr>
                  <w:tcW w:w="1999" w:type="dxa"/>
                  <w:tcBorders>
                    <w:tl2br w:val="nil"/>
                    <w:tr2bl w:val="nil"/>
                  </w:tcBorders>
                  <w:shd w:val="clear" w:color="auto" w:fill="auto"/>
                  <w:noWrap/>
                  <w:vAlign w:val="center"/>
                </w:tcPr>
                <w:p w14:paraId="096E04E0">
                  <w:pPr>
                    <w:widowControl/>
                    <w:jc w:val="center"/>
                    <w:textAlignment w:val="center"/>
                    <w:rPr>
                      <w:sz w:val="24"/>
                    </w:rPr>
                  </w:pPr>
                  <w:r>
                    <w:rPr>
                      <w:rFonts w:hint="eastAsia"/>
                      <w:kern w:val="0"/>
                      <w:sz w:val="24"/>
                    </w:rPr>
                    <w:t>N</w:t>
                  </w:r>
                  <w:r>
                    <w:rPr>
                      <w:kern w:val="0"/>
                      <w:sz w:val="24"/>
                    </w:rPr>
                    <w:t>39°09′19.854″</w:t>
                  </w:r>
                </w:p>
              </w:tc>
            </w:tr>
            <w:tr w14:paraId="7F17B49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81FD74A">
                  <w:pPr>
                    <w:widowControl/>
                    <w:jc w:val="center"/>
                    <w:textAlignment w:val="center"/>
                    <w:rPr>
                      <w:sz w:val="24"/>
                    </w:rPr>
                  </w:pPr>
                  <w:r>
                    <w:rPr>
                      <w:rFonts w:hint="eastAsia"/>
                      <w:kern w:val="0"/>
                      <w:sz w:val="24"/>
                    </w:rPr>
                    <w:t>风机</w:t>
                  </w:r>
                  <w:r>
                    <w:rPr>
                      <w:kern w:val="0"/>
                      <w:sz w:val="24"/>
                    </w:rPr>
                    <w:t>J40</w:t>
                  </w:r>
                </w:p>
              </w:tc>
              <w:tc>
                <w:tcPr>
                  <w:tcW w:w="2316" w:type="dxa"/>
                  <w:tcBorders>
                    <w:tl2br w:val="nil"/>
                    <w:tr2bl w:val="nil"/>
                  </w:tcBorders>
                  <w:shd w:val="clear" w:color="auto" w:fill="auto"/>
                  <w:noWrap/>
                  <w:vAlign w:val="center"/>
                </w:tcPr>
                <w:p w14:paraId="7E462480">
                  <w:pPr>
                    <w:widowControl/>
                    <w:jc w:val="center"/>
                    <w:textAlignment w:val="center"/>
                    <w:rPr>
                      <w:sz w:val="24"/>
                    </w:rPr>
                  </w:pPr>
                  <w:r>
                    <w:rPr>
                      <w:rFonts w:hint="eastAsia"/>
                      <w:kern w:val="0"/>
                      <w:sz w:val="24"/>
                    </w:rPr>
                    <w:t>E</w:t>
                  </w:r>
                  <w:r>
                    <w:rPr>
                      <w:kern w:val="0"/>
                      <w:sz w:val="24"/>
                    </w:rPr>
                    <w:t>118°30′00.040″</w:t>
                  </w:r>
                </w:p>
              </w:tc>
              <w:tc>
                <w:tcPr>
                  <w:tcW w:w="1999" w:type="dxa"/>
                  <w:tcBorders>
                    <w:tl2br w:val="nil"/>
                    <w:tr2bl w:val="nil"/>
                  </w:tcBorders>
                  <w:shd w:val="clear" w:color="auto" w:fill="auto"/>
                  <w:noWrap/>
                  <w:vAlign w:val="center"/>
                </w:tcPr>
                <w:p w14:paraId="27C85DEA">
                  <w:pPr>
                    <w:widowControl/>
                    <w:jc w:val="center"/>
                    <w:textAlignment w:val="center"/>
                    <w:rPr>
                      <w:sz w:val="24"/>
                    </w:rPr>
                  </w:pPr>
                  <w:r>
                    <w:rPr>
                      <w:rFonts w:hint="eastAsia"/>
                      <w:kern w:val="0"/>
                      <w:sz w:val="24"/>
                    </w:rPr>
                    <w:t>N</w:t>
                  </w:r>
                  <w:r>
                    <w:rPr>
                      <w:kern w:val="0"/>
                      <w:sz w:val="24"/>
                    </w:rPr>
                    <w:t>39°09′10.976″</w:t>
                  </w:r>
                </w:p>
              </w:tc>
            </w:tr>
            <w:tr w14:paraId="2129E68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18CC427A">
                  <w:pPr>
                    <w:widowControl/>
                    <w:jc w:val="center"/>
                    <w:textAlignment w:val="center"/>
                    <w:rPr>
                      <w:sz w:val="24"/>
                    </w:rPr>
                  </w:pPr>
                  <w:r>
                    <w:rPr>
                      <w:rFonts w:hint="eastAsia"/>
                      <w:kern w:val="0"/>
                      <w:sz w:val="24"/>
                    </w:rPr>
                    <w:t>风机</w:t>
                  </w:r>
                  <w:r>
                    <w:rPr>
                      <w:kern w:val="0"/>
                      <w:sz w:val="24"/>
                    </w:rPr>
                    <w:t>J41</w:t>
                  </w:r>
                </w:p>
              </w:tc>
              <w:tc>
                <w:tcPr>
                  <w:tcW w:w="2316" w:type="dxa"/>
                  <w:tcBorders>
                    <w:tl2br w:val="nil"/>
                    <w:tr2bl w:val="nil"/>
                  </w:tcBorders>
                  <w:shd w:val="clear" w:color="auto" w:fill="auto"/>
                  <w:noWrap/>
                  <w:vAlign w:val="center"/>
                </w:tcPr>
                <w:p w14:paraId="2DF8B11A">
                  <w:pPr>
                    <w:widowControl/>
                    <w:jc w:val="center"/>
                    <w:textAlignment w:val="center"/>
                    <w:rPr>
                      <w:sz w:val="24"/>
                    </w:rPr>
                  </w:pPr>
                  <w:r>
                    <w:rPr>
                      <w:rFonts w:hint="eastAsia"/>
                      <w:kern w:val="0"/>
                      <w:sz w:val="24"/>
                    </w:rPr>
                    <w:t>E</w:t>
                  </w:r>
                  <w:r>
                    <w:rPr>
                      <w:kern w:val="0"/>
                      <w:sz w:val="24"/>
                    </w:rPr>
                    <w:t>118°29′02.836″</w:t>
                  </w:r>
                </w:p>
              </w:tc>
              <w:tc>
                <w:tcPr>
                  <w:tcW w:w="1999" w:type="dxa"/>
                  <w:tcBorders>
                    <w:tl2br w:val="nil"/>
                    <w:tr2bl w:val="nil"/>
                  </w:tcBorders>
                  <w:shd w:val="clear" w:color="auto" w:fill="auto"/>
                  <w:noWrap/>
                  <w:vAlign w:val="center"/>
                </w:tcPr>
                <w:p w14:paraId="5584E0A5">
                  <w:pPr>
                    <w:widowControl/>
                    <w:jc w:val="center"/>
                    <w:textAlignment w:val="center"/>
                    <w:rPr>
                      <w:sz w:val="24"/>
                    </w:rPr>
                  </w:pPr>
                  <w:r>
                    <w:rPr>
                      <w:rFonts w:hint="eastAsia"/>
                      <w:kern w:val="0"/>
                      <w:sz w:val="24"/>
                    </w:rPr>
                    <w:t>N</w:t>
                  </w:r>
                  <w:r>
                    <w:rPr>
                      <w:kern w:val="0"/>
                      <w:sz w:val="24"/>
                    </w:rPr>
                    <w:t>39°09′08.665″</w:t>
                  </w:r>
                </w:p>
              </w:tc>
            </w:tr>
            <w:tr w14:paraId="47FC7FD7">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24F9FCD3">
                  <w:pPr>
                    <w:widowControl/>
                    <w:jc w:val="center"/>
                    <w:textAlignment w:val="center"/>
                    <w:rPr>
                      <w:sz w:val="24"/>
                    </w:rPr>
                  </w:pPr>
                  <w:r>
                    <w:rPr>
                      <w:rFonts w:hint="eastAsia"/>
                      <w:kern w:val="0"/>
                      <w:sz w:val="24"/>
                    </w:rPr>
                    <w:t>风机</w:t>
                  </w:r>
                  <w:r>
                    <w:rPr>
                      <w:kern w:val="0"/>
                      <w:sz w:val="24"/>
                    </w:rPr>
                    <w:t>J42</w:t>
                  </w:r>
                </w:p>
              </w:tc>
              <w:tc>
                <w:tcPr>
                  <w:tcW w:w="2316" w:type="dxa"/>
                  <w:tcBorders>
                    <w:tl2br w:val="nil"/>
                    <w:tr2bl w:val="nil"/>
                  </w:tcBorders>
                  <w:shd w:val="clear" w:color="auto" w:fill="auto"/>
                  <w:noWrap/>
                  <w:vAlign w:val="center"/>
                </w:tcPr>
                <w:p w14:paraId="69CD12BE">
                  <w:pPr>
                    <w:widowControl/>
                    <w:jc w:val="center"/>
                    <w:textAlignment w:val="center"/>
                    <w:rPr>
                      <w:sz w:val="24"/>
                    </w:rPr>
                  </w:pPr>
                  <w:r>
                    <w:rPr>
                      <w:rFonts w:hint="eastAsia"/>
                      <w:kern w:val="0"/>
                      <w:sz w:val="24"/>
                    </w:rPr>
                    <w:t>E</w:t>
                  </w:r>
                  <w:r>
                    <w:rPr>
                      <w:kern w:val="0"/>
                      <w:sz w:val="24"/>
                    </w:rPr>
                    <w:t>118°29′31.697″</w:t>
                  </w:r>
                </w:p>
              </w:tc>
              <w:tc>
                <w:tcPr>
                  <w:tcW w:w="1999" w:type="dxa"/>
                  <w:tcBorders>
                    <w:tl2br w:val="nil"/>
                    <w:tr2bl w:val="nil"/>
                  </w:tcBorders>
                  <w:shd w:val="clear" w:color="auto" w:fill="auto"/>
                  <w:noWrap/>
                  <w:vAlign w:val="center"/>
                </w:tcPr>
                <w:p w14:paraId="1B5EC1FB">
                  <w:pPr>
                    <w:widowControl/>
                    <w:jc w:val="center"/>
                    <w:textAlignment w:val="center"/>
                    <w:rPr>
                      <w:sz w:val="24"/>
                    </w:rPr>
                  </w:pPr>
                  <w:r>
                    <w:rPr>
                      <w:rFonts w:hint="eastAsia"/>
                      <w:kern w:val="0"/>
                      <w:sz w:val="24"/>
                    </w:rPr>
                    <w:t>N</w:t>
                  </w:r>
                  <w:r>
                    <w:rPr>
                      <w:kern w:val="0"/>
                      <w:sz w:val="24"/>
                    </w:rPr>
                    <w:t>39°09′01.062″</w:t>
                  </w:r>
                </w:p>
              </w:tc>
            </w:tr>
            <w:tr w14:paraId="1BAD52BD">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7B3BBB6">
                  <w:pPr>
                    <w:widowControl/>
                    <w:jc w:val="center"/>
                    <w:textAlignment w:val="center"/>
                    <w:rPr>
                      <w:sz w:val="24"/>
                    </w:rPr>
                  </w:pPr>
                  <w:r>
                    <w:rPr>
                      <w:rFonts w:hint="eastAsia"/>
                      <w:kern w:val="0"/>
                      <w:sz w:val="24"/>
                    </w:rPr>
                    <w:t>风机</w:t>
                  </w:r>
                  <w:r>
                    <w:rPr>
                      <w:kern w:val="0"/>
                      <w:sz w:val="24"/>
                    </w:rPr>
                    <w:t>B01</w:t>
                  </w:r>
                </w:p>
              </w:tc>
              <w:tc>
                <w:tcPr>
                  <w:tcW w:w="2316" w:type="dxa"/>
                  <w:tcBorders>
                    <w:tl2br w:val="nil"/>
                    <w:tr2bl w:val="nil"/>
                  </w:tcBorders>
                  <w:shd w:val="clear" w:color="auto" w:fill="auto"/>
                  <w:noWrap/>
                  <w:vAlign w:val="center"/>
                </w:tcPr>
                <w:p w14:paraId="1F50AB9C">
                  <w:pPr>
                    <w:widowControl/>
                    <w:jc w:val="center"/>
                    <w:textAlignment w:val="center"/>
                    <w:rPr>
                      <w:sz w:val="24"/>
                    </w:rPr>
                  </w:pPr>
                  <w:r>
                    <w:rPr>
                      <w:rFonts w:hint="eastAsia"/>
                      <w:kern w:val="0"/>
                      <w:sz w:val="24"/>
                    </w:rPr>
                    <w:t>E</w:t>
                  </w:r>
                  <w:r>
                    <w:rPr>
                      <w:kern w:val="0"/>
                      <w:sz w:val="24"/>
                    </w:rPr>
                    <w:t>118°24′54.040″</w:t>
                  </w:r>
                </w:p>
              </w:tc>
              <w:tc>
                <w:tcPr>
                  <w:tcW w:w="1999" w:type="dxa"/>
                  <w:tcBorders>
                    <w:tl2br w:val="nil"/>
                    <w:tr2bl w:val="nil"/>
                  </w:tcBorders>
                  <w:shd w:val="clear" w:color="auto" w:fill="auto"/>
                  <w:noWrap/>
                  <w:vAlign w:val="center"/>
                </w:tcPr>
                <w:p w14:paraId="360C75FE">
                  <w:pPr>
                    <w:widowControl/>
                    <w:jc w:val="center"/>
                    <w:textAlignment w:val="center"/>
                    <w:rPr>
                      <w:sz w:val="24"/>
                    </w:rPr>
                  </w:pPr>
                  <w:r>
                    <w:rPr>
                      <w:rFonts w:hint="eastAsia"/>
                      <w:kern w:val="0"/>
                      <w:sz w:val="24"/>
                    </w:rPr>
                    <w:t>N</w:t>
                  </w:r>
                  <w:r>
                    <w:rPr>
                      <w:kern w:val="0"/>
                      <w:sz w:val="24"/>
                    </w:rPr>
                    <w:t>39°15′04.853″</w:t>
                  </w:r>
                </w:p>
              </w:tc>
            </w:tr>
            <w:tr w14:paraId="50E0C900">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32D61467">
                  <w:pPr>
                    <w:widowControl/>
                    <w:jc w:val="center"/>
                    <w:textAlignment w:val="center"/>
                    <w:rPr>
                      <w:sz w:val="24"/>
                    </w:rPr>
                  </w:pPr>
                  <w:r>
                    <w:rPr>
                      <w:rFonts w:hint="eastAsia"/>
                      <w:kern w:val="0"/>
                      <w:sz w:val="24"/>
                    </w:rPr>
                    <w:t>风机</w:t>
                  </w:r>
                  <w:r>
                    <w:rPr>
                      <w:kern w:val="0"/>
                      <w:sz w:val="24"/>
                    </w:rPr>
                    <w:t>B02</w:t>
                  </w:r>
                </w:p>
              </w:tc>
              <w:tc>
                <w:tcPr>
                  <w:tcW w:w="2316" w:type="dxa"/>
                  <w:tcBorders>
                    <w:tl2br w:val="nil"/>
                    <w:tr2bl w:val="nil"/>
                  </w:tcBorders>
                  <w:shd w:val="clear" w:color="auto" w:fill="auto"/>
                  <w:noWrap/>
                  <w:vAlign w:val="center"/>
                </w:tcPr>
                <w:p w14:paraId="2DA50A71">
                  <w:pPr>
                    <w:widowControl/>
                    <w:jc w:val="center"/>
                    <w:textAlignment w:val="center"/>
                    <w:rPr>
                      <w:sz w:val="24"/>
                    </w:rPr>
                  </w:pPr>
                  <w:r>
                    <w:rPr>
                      <w:rFonts w:hint="eastAsia"/>
                      <w:kern w:val="0"/>
                      <w:sz w:val="24"/>
                    </w:rPr>
                    <w:t>E</w:t>
                  </w:r>
                  <w:r>
                    <w:rPr>
                      <w:kern w:val="0"/>
                      <w:sz w:val="24"/>
                    </w:rPr>
                    <w:t>118°25′17.040″</w:t>
                  </w:r>
                </w:p>
              </w:tc>
              <w:tc>
                <w:tcPr>
                  <w:tcW w:w="1999" w:type="dxa"/>
                  <w:tcBorders>
                    <w:tl2br w:val="nil"/>
                    <w:tr2bl w:val="nil"/>
                  </w:tcBorders>
                  <w:shd w:val="clear" w:color="auto" w:fill="auto"/>
                  <w:noWrap/>
                  <w:vAlign w:val="center"/>
                </w:tcPr>
                <w:p w14:paraId="706F26D4">
                  <w:pPr>
                    <w:widowControl/>
                    <w:jc w:val="center"/>
                    <w:textAlignment w:val="center"/>
                    <w:rPr>
                      <w:sz w:val="24"/>
                    </w:rPr>
                  </w:pPr>
                  <w:r>
                    <w:rPr>
                      <w:rFonts w:hint="eastAsia"/>
                      <w:kern w:val="0"/>
                      <w:sz w:val="24"/>
                    </w:rPr>
                    <w:t>N</w:t>
                  </w:r>
                  <w:r>
                    <w:rPr>
                      <w:kern w:val="0"/>
                      <w:sz w:val="24"/>
                    </w:rPr>
                    <w:t>39°14′56.180″</w:t>
                  </w:r>
                </w:p>
              </w:tc>
            </w:tr>
            <w:tr w14:paraId="6BF4B2D2">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03AB8D21">
                  <w:pPr>
                    <w:widowControl/>
                    <w:jc w:val="center"/>
                    <w:textAlignment w:val="center"/>
                    <w:rPr>
                      <w:sz w:val="24"/>
                    </w:rPr>
                  </w:pPr>
                  <w:r>
                    <w:rPr>
                      <w:rFonts w:hint="eastAsia"/>
                      <w:kern w:val="0"/>
                      <w:sz w:val="24"/>
                    </w:rPr>
                    <w:t>风机</w:t>
                  </w:r>
                  <w:r>
                    <w:rPr>
                      <w:kern w:val="0"/>
                      <w:sz w:val="24"/>
                    </w:rPr>
                    <w:t>B03</w:t>
                  </w:r>
                </w:p>
              </w:tc>
              <w:tc>
                <w:tcPr>
                  <w:tcW w:w="2316" w:type="dxa"/>
                  <w:tcBorders>
                    <w:tl2br w:val="nil"/>
                    <w:tr2bl w:val="nil"/>
                  </w:tcBorders>
                  <w:shd w:val="clear" w:color="auto" w:fill="auto"/>
                  <w:noWrap/>
                  <w:vAlign w:val="center"/>
                </w:tcPr>
                <w:p w14:paraId="08EF6BAD">
                  <w:pPr>
                    <w:widowControl/>
                    <w:jc w:val="center"/>
                    <w:textAlignment w:val="center"/>
                    <w:rPr>
                      <w:sz w:val="24"/>
                    </w:rPr>
                  </w:pPr>
                  <w:r>
                    <w:rPr>
                      <w:rFonts w:hint="eastAsia"/>
                      <w:kern w:val="0"/>
                      <w:sz w:val="24"/>
                    </w:rPr>
                    <w:t>E</w:t>
                  </w:r>
                  <w:r>
                    <w:rPr>
                      <w:kern w:val="0"/>
                      <w:sz w:val="24"/>
                    </w:rPr>
                    <w:t>118°24′45.040″</w:t>
                  </w:r>
                </w:p>
              </w:tc>
              <w:tc>
                <w:tcPr>
                  <w:tcW w:w="1999" w:type="dxa"/>
                  <w:tcBorders>
                    <w:tl2br w:val="nil"/>
                    <w:tr2bl w:val="nil"/>
                  </w:tcBorders>
                  <w:shd w:val="clear" w:color="auto" w:fill="auto"/>
                  <w:noWrap/>
                  <w:vAlign w:val="center"/>
                </w:tcPr>
                <w:p w14:paraId="65B8BB1D">
                  <w:pPr>
                    <w:widowControl/>
                    <w:jc w:val="center"/>
                    <w:textAlignment w:val="center"/>
                    <w:rPr>
                      <w:sz w:val="24"/>
                    </w:rPr>
                  </w:pPr>
                  <w:r>
                    <w:rPr>
                      <w:rFonts w:hint="eastAsia"/>
                      <w:kern w:val="0"/>
                      <w:sz w:val="24"/>
                    </w:rPr>
                    <w:t>N</w:t>
                  </w:r>
                  <w:r>
                    <w:rPr>
                      <w:kern w:val="0"/>
                      <w:sz w:val="24"/>
                    </w:rPr>
                    <w:t>39°14′46.309″</w:t>
                  </w:r>
                </w:p>
              </w:tc>
            </w:tr>
            <w:tr w14:paraId="6EF05F05">
              <w:tblPrEx>
                <w:tblCellMar>
                  <w:top w:w="0" w:type="dxa"/>
                  <w:left w:w="108" w:type="dxa"/>
                  <w:bottom w:w="0" w:type="dxa"/>
                  <w:right w:w="108" w:type="dxa"/>
                </w:tblCellMar>
              </w:tblPrEx>
              <w:trPr>
                <w:trHeight w:val="300" w:hRule="atLeast"/>
                <w:jc w:val="center"/>
              </w:trPr>
              <w:tc>
                <w:tcPr>
                  <w:tcW w:w="1921" w:type="dxa"/>
                  <w:tcBorders>
                    <w:tl2br w:val="nil"/>
                    <w:tr2bl w:val="nil"/>
                  </w:tcBorders>
                  <w:shd w:val="clear" w:color="auto" w:fill="auto"/>
                  <w:vAlign w:val="center"/>
                </w:tcPr>
                <w:p w14:paraId="6D860494">
                  <w:pPr>
                    <w:widowControl/>
                    <w:jc w:val="center"/>
                    <w:textAlignment w:val="center"/>
                    <w:rPr>
                      <w:sz w:val="24"/>
                    </w:rPr>
                  </w:pPr>
                  <w:r>
                    <w:rPr>
                      <w:rFonts w:hint="eastAsia"/>
                      <w:kern w:val="0"/>
                      <w:sz w:val="24"/>
                    </w:rPr>
                    <w:t>风机</w:t>
                  </w:r>
                  <w:r>
                    <w:rPr>
                      <w:kern w:val="0"/>
                      <w:sz w:val="24"/>
                    </w:rPr>
                    <w:t>B04</w:t>
                  </w:r>
                </w:p>
              </w:tc>
              <w:tc>
                <w:tcPr>
                  <w:tcW w:w="2316" w:type="dxa"/>
                  <w:tcBorders>
                    <w:tl2br w:val="nil"/>
                    <w:tr2bl w:val="nil"/>
                  </w:tcBorders>
                  <w:shd w:val="clear" w:color="auto" w:fill="auto"/>
                  <w:noWrap/>
                  <w:vAlign w:val="center"/>
                </w:tcPr>
                <w:p w14:paraId="57849DBE">
                  <w:pPr>
                    <w:widowControl/>
                    <w:jc w:val="center"/>
                    <w:textAlignment w:val="center"/>
                    <w:rPr>
                      <w:sz w:val="24"/>
                    </w:rPr>
                  </w:pPr>
                  <w:r>
                    <w:rPr>
                      <w:rFonts w:hint="eastAsia"/>
                      <w:kern w:val="0"/>
                      <w:sz w:val="24"/>
                    </w:rPr>
                    <w:t>E</w:t>
                  </w:r>
                  <w:r>
                    <w:rPr>
                      <w:kern w:val="0"/>
                      <w:sz w:val="24"/>
                    </w:rPr>
                    <w:t>118°25′21.378″</w:t>
                  </w:r>
                </w:p>
              </w:tc>
              <w:tc>
                <w:tcPr>
                  <w:tcW w:w="1999" w:type="dxa"/>
                  <w:tcBorders>
                    <w:tl2br w:val="nil"/>
                    <w:tr2bl w:val="nil"/>
                  </w:tcBorders>
                  <w:shd w:val="clear" w:color="auto" w:fill="auto"/>
                  <w:noWrap/>
                  <w:vAlign w:val="center"/>
                </w:tcPr>
                <w:p w14:paraId="6DEE1A77">
                  <w:pPr>
                    <w:widowControl/>
                    <w:jc w:val="center"/>
                    <w:textAlignment w:val="center"/>
                    <w:rPr>
                      <w:sz w:val="24"/>
                    </w:rPr>
                  </w:pPr>
                  <w:r>
                    <w:rPr>
                      <w:rFonts w:hint="eastAsia"/>
                      <w:kern w:val="0"/>
                      <w:sz w:val="24"/>
                    </w:rPr>
                    <w:t>N</w:t>
                  </w:r>
                  <w:r>
                    <w:rPr>
                      <w:kern w:val="0"/>
                      <w:sz w:val="24"/>
                    </w:rPr>
                    <w:t>39°13′35.328″</w:t>
                  </w:r>
                </w:p>
              </w:tc>
            </w:tr>
          </w:tbl>
          <w:p w14:paraId="2458A367">
            <w:pPr>
              <w:adjustRightInd w:val="0"/>
              <w:snapToGrid w:val="0"/>
              <w:rPr>
                <w:szCs w:val="21"/>
              </w:rPr>
            </w:pPr>
          </w:p>
        </w:tc>
      </w:tr>
      <w:tr w14:paraId="3224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5" w:hRule="atLeast"/>
        </w:trPr>
        <w:tc>
          <w:tcPr>
            <w:tcW w:w="1828" w:type="dxa"/>
            <w:tcMar>
              <w:top w:w="16" w:type="dxa"/>
              <w:left w:w="16" w:type="dxa"/>
              <w:right w:w="16" w:type="dxa"/>
            </w:tcMar>
            <w:vAlign w:val="center"/>
          </w:tcPr>
          <w:p w14:paraId="17727F0C">
            <w:pPr>
              <w:adjustRightInd w:val="0"/>
              <w:snapToGrid w:val="0"/>
              <w:jc w:val="center"/>
              <w:rPr>
                <w:sz w:val="24"/>
              </w:rPr>
            </w:pPr>
            <w:r>
              <w:rPr>
                <w:sz w:val="24"/>
              </w:rPr>
              <w:t>建设项目</w:t>
            </w:r>
          </w:p>
          <w:p w14:paraId="3A7F7D3D">
            <w:pPr>
              <w:adjustRightInd w:val="0"/>
              <w:snapToGrid w:val="0"/>
              <w:jc w:val="center"/>
              <w:rPr>
                <w:sz w:val="24"/>
              </w:rPr>
            </w:pPr>
            <w:r>
              <w:rPr>
                <w:sz w:val="24"/>
              </w:rPr>
              <w:t>行业类别</w:t>
            </w:r>
          </w:p>
        </w:tc>
        <w:tc>
          <w:tcPr>
            <w:tcW w:w="2950" w:type="dxa"/>
            <w:vAlign w:val="center"/>
          </w:tcPr>
          <w:p w14:paraId="3A8AD377">
            <w:pPr>
              <w:adjustRightInd w:val="0"/>
              <w:snapToGrid w:val="0"/>
              <w:jc w:val="center"/>
              <w:rPr>
                <w:kern w:val="0"/>
                <w:sz w:val="24"/>
              </w:rPr>
            </w:pPr>
            <w:r>
              <w:rPr>
                <w:rFonts w:hint="eastAsia"/>
                <w:sz w:val="24"/>
              </w:rPr>
              <w:t>四十一、电力、热力生产和供应业-90 陆上风力发电4415</w:t>
            </w:r>
          </w:p>
        </w:tc>
        <w:tc>
          <w:tcPr>
            <w:tcW w:w="1979" w:type="dxa"/>
            <w:vAlign w:val="center"/>
          </w:tcPr>
          <w:p w14:paraId="28A9F076">
            <w:pPr>
              <w:adjustRightInd w:val="0"/>
              <w:snapToGrid w:val="0"/>
              <w:jc w:val="center"/>
              <w:rPr>
                <w:kern w:val="0"/>
                <w:sz w:val="24"/>
              </w:rPr>
            </w:pPr>
            <w:r>
              <w:rPr>
                <w:sz w:val="24"/>
              </w:rPr>
              <w:t>用地（用海）面积（m</w:t>
            </w:r>
            <w:r>
              <w:rPr>
                <w:sz w:val="24"/>
                <w:vertAlign w:val="superscript"/>
              </w:rPr>
              <w:t>2</w:t>
            </w:r>
            <w:r>
              <w:rPr>
                <w:sz w:val="24"/>
              </w:rPr>
              <w:t>）/长度（km）</w:t>
            </w:r>
          </w:p>
        </w:tc>
        <w:tc>
          <w:tcPr>
            <w:tcW w:w="2282" w:type="dxa"/>
            <w:gridSpan w:val="2"/>
            <w:vAlign w:val="center"/>
          </w:tcPr>
          <w:p w14:paraId="46EB0774">
            <w:pPr>
              <w:adjustRightInd w:val="0"/>
              <w:snapToGrid w:val="0"/>
              <w:jc w:val="center"/>
            </w:pPr>
            <w:r>
              <w:rPr>
                <w:rFonts w:hint="eastAsia"/>
                <w:sz w:val="24"/>
              </w:rPr>
              <w:t>652138（其中永久占地面积44918m</w:t>
            </w:r>
            <w:r>
              <w:rPr>
                <w:rFonts w:hint="eastAsia"/>
                <w:sz w:val="24"/>
                <w:vertAlign w:val="superscript"/>
              </w:rPr>
              <w:t>2</w:t>
            </w:r>
            <w:r>
              <w:rPr>
                <w:rFonts w:hint="eastAsia"/>
                <w:sz w:val="24"/>
              </w:rPr>
              <w:t>，临时占地面积607220m</w:t>
            </w:r>
            <w:r>
              <w:rPr>
                <w:rFonts w:hint="eastAsia"/>
                <w:sz w:val="24"/>
                <w:vertAlign w:val="superscript"/>
              </w:rPr>
              <w:t>2</w:t>
            </w:r>
            <w:r>
              <w:rPr>
                <w:rFonts w:hint="eastAsia"/>
                <w:sz w:val="24"/>
              </w:rPr>
              <w:t>）</w:t>
            </w:r>
          </w:p>
        </w:tc>
      </w:tr>
      <w:tr w14:paraId="1057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828" w:type="dxa"/>
            <w:tcMar>
              <w:top w:w="16" w:type="dxa"/>
              <w:left w:w="16" w:type="dxa"/>
              <w:right w:w="16" w:type="dxa"/>
            </w:tcMar>
            <w:vAlign w:val="center"/>
          </w:tcPr>
          <w:p w14:paraId="2E87BAB8">
            <w:pPr>
              <w:adjustRightInd w:val="0"/>
              <w:snapToGrid w:val="0"/>
              <w:jc w:val="center"/>
              <w:rPr>
                <w:sz w:val="24"/>
              </w:rPr>
            </w:pPr>
            <w:r>
              <w:rPr>
                <w:sz w:val="24"/>
              </w:rPr>
              <w:t>建设性质</w:t>
            </w:r>
          </w:p>
        </w:tc>
        <w:tc>
          <w:tcPr>
            <w:tcW w:w="2950" w:type="dxa"/>
            <w:vAlign w:val="center"/>
          </w:tcPr>
          <w:p w14:paraId="1AD705B2">
            <w:pPr>
              <w:adjustRightInd w:val="0"/>
              <w:snapToGrid w:val="0"/>
              <w:jc w:val="left"/>
              <w:rPr>
                <w:sz w:val="24"/>
              </w:rPr>
            </w:pPr>
            <w:r>
              <w:rPr>
                <w:sz w:val="24"/>
              </w:rPr>
              <w:sym w:font="Wingdings 2" w:char="0052"/>
            </w:r>
            <w:r>
              <w:rPr>
                <w:sz w:val="24"/>
              </w:rPr>
              <w:t>新建（迁建）</w:t>
            </w:r>
          </w:p>
          <w:p w14:paraId="5558945A">
            <w:pPr>
              <w:adjustRightInd w:val="0"/>
              <w:snapToGrid w:val="0"/>
              <w:jc w:val="left"/>
              <w:rPr>
                <w:sz w:val="24"/>
              </w:rPr>
            </w:pPr>
            <w:r>
              <w:rPr>
                <w:sz w:val="24"/>
              </w:rPr>
              <w:sym w:font="Wingdings 2" w:char="00A3"/>
            </w:r>
            <w:r>
              <w:rPr>
                <w:sz w:val="24"/>
              </w:rPr>
              <w:t>改建</w:t>
            </w:r>
          </w:p>
          <w:p w14:paraId="3C18E619">
            <w:pPr>
              <w:adjustRightInd w:val="0"/>
              <w:snapToGrid w:val="0"/>
              <w:jc w:val="left"/>
              <w:rPr>
                <w:sz w:val="24"/>
              </w:rPr>
            </w:pPr>
            <w:r>
              <w:rPr>
                <w:sz w:val="24"/>
              </w:rPr>
              <w:sym w:font="Wingdings 2" w:char="00A3"/>
            </w:r>
            <w:r>
              <w:rPr>
                <w:sz w:val="24"/>
              </w:rPr>
              <w:t>扩建</w:t>
            </w:r>
          </w:p>
          <w:p w14:paraId="1A7AB2AF">
            <w:pPr>
              <w:adjustRightInd w:val="0"/>
              <w:snapToGrid w:val="0"/>
              <w:jc w:val="left"/>
              <w:rPr>
                <w:sz w:val="24"/>
              </w:rPr>
            </w:pPr>
            <w:r>
              <w:rPr>
                <w:sz w:val="24"/>
              </w:rPr>
              <w:sym w:font="Wingdings 2" w:char="00A3"/>
            </w:r>
            <w:r>
              <w:rPr>
                <w:sz w:val="24"/>
              </w:rPr>
              <w:t>技术改造</w:t>
            </w:r>
          </w:p>
        </w:tc>
        <w:tc>
          <w:tcPr>
            <w:tcW w:w="1979" w:type="dxa"/>
            <w:vAlign w:val="center"/>
          </w:tcPr>
          <w:p w14:paraId="02C3754E">
            <w:pPr>
              <w:adjustRightInd w:val="0"/>
              <w:snapToGrid w:val="0"/>
              <w:jc w:val="center"/>
              <w:rPr>
                <w:sz w:val="24"/>
              </w:rPr>
            </w:pPr>
            <w:r>
              <w:rPr>
                <w:sz w:val="24"/>
              </w:rPr>
              <w:t>建设项目</w:t>
            </w:r>
          </w:p>
          <w:p w14:paraId="15510A40">
            <w:pPr>
              <w:adjustRightInd w:val="0"/>
              <w:snapToGrid w:val="0"/>
              <w:jc w:val="center"/>
              <w:rPr>
                <w:sz w:val="24"/>
              </w:rPr>
            </w:pPr>
            <w:r>
              <w:rPr>
                <w:sz w:val="24"/>
              </w:rPr>
              <w:t>申报情形</w:t>
            </w:r>
          </w:p>
        </w:tc>
        <w:tc>
          <w:tcPr>
            <w:tcW w:w="2282" w:type="dxa"/>
            <w:gridSpan w:val="2"/>
            <w:vAlign w:val="center"/>
          </w:tcPr>
          <w:p w14:paraId="489F684F">
            <w:pPr>
              <w:adjustRightInd w:val="0"/>
              <w:snapToGrid w:val="0"/>
              <w:jc w:val="left"/>
              <w:rPr>
                <w:sz w:val="24"/>
              </w:rPr>
            </w:pPr>
            <w:r>
              <w:rPr>
                <w:sz w:val="24"/>
              </w:rPr>
              <w:sym w:font="Wingdings 2" w:char="0052"/>
            </w:r>
            <w:r>
              <w:rPr>
                <w:sz w:val="24"/>
              </w:rPr>
              <w:t>首次申报项目</w:t>
            </w:r>
          </w:p>
          <w:p w14:paraId="0EE463C8">
            <w:pPr>
              <w:adjustRightInd w:val="0"/>
              <w:snapToGrid w:val="0"/>
              <w:jc w:val="left"/>
              <w:rPr>
                <w:sz w:val="24"/>
              </w:rPr>
            </w:pPr>
            <w:r>
              <w:rPr>
                <w:sz w:val="24"/>
              </w:rPr>
              <w:t>□不予批准后再次申报项目</w:t>
            </w:r>
          </w:p>
          <w:p w14:paraId="7217EFCA">
            <w:pPr>
              <w:adjustRightInd w:val="0"/>
              <w:snapToGrid w:val="0"/>
              <w:jc w:val="left"/>
              <w:rPr>
                <w:sz w:val="24"/>
              </w:rPr>
            </w:pPr>
            <w:r>
              <w:rPr>
                <w:sz w:val="24"/>
              </w:rPr>
              <w:t>□超五年重新审核项目</w:t>
            </w:r>
          </w:p>
          <w:p w14:paraId="5B1D74E5">
            <w:pPr>
              <w:adjustRightInd w:val="0"/>
              <w:snapToGrid w:val="0"/>
              <w:rPr>
                <w:sz w:val="24"/>
              </w:rPr>
            </w:pPr>
            <w:r>
              <w:rPr>
                <w:sz w:val="24"/>
              </w:rPr>
              <w:t>□重大变动重新报批项目</w:t>
            </w:r>
          </w:p>
        </w:tc>
      </w:tr>
      <w:tr w14:paraId="6729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828" w:type="dxa"/>
            <w:tcMar>
              <w:top w:w="16" w:type="dxa"/>
              <w:left w:w="16" w:type="dxa"/>
              <w:right w:w="16" w:type="dxa"/>
            </w:tcMar>
            <w:vAlign w:val="center"/>
          </w:tcPr>
          <w:p w14:paraId="16188136">
            <w:pPr>
              <w:adjustRightInd w:val="0"/>
              <w:snapToGrid w:val="0"/>
              <w:jc w:val="center"/>
              <w:rPr>
                <w:sz w:val="24"/>
              </w:rPr>
            </w:pPr>
            <w:r>
              <w:rPr>
                <w:sz w:val="24"/>
              </w:rPr>
              <w:t>项目审批（核准/</w:t>
            </w:r>
          </w:p>
          <w:p w14:paraId="3B5CA48C">
            <w:pPr>
              <w:adjustRightInd w:val="0"/>
              <w:snapToGrid w:val="0"/>
              <w:jc w:val="center"/>
              <w:rPr>
                <w:sz w:val="24"/>
              </w:rPr>
            </w:pPr>
            <w:r>
              <w:rPr>
                <w:sz w:val="24"/>
              </w:rPr>
              <w:t>备案）部门（选填）</w:t>
            </w:r>
          </w:p>
        </w:tc>
        <w:tc>
          <w:tcPr>
            <w:tcW w:w="2950" w:type="dxa"/>
            <w:vAlign w:val="center"/>
          </w:tcPr>
          <w:p w14:paraId="6A67AFA1">
            <w:pPr>
              <w:adjustRightInd w:val="0"/>
              <w:snapToGrid w:val="0"/>
              <w:jc w:val="center"/>
              <w:rPr>
                <w:sz w:val="24"/>
              </w:rPr>
            </w:pPr>
            <w:r>
              <w:rPr>
                <w:rFonts w:hint="eastAsia"/>
                <w:sz w:val="24"/>
              </w:rPr>
              <w:t>唐山市曹妃甸区行政审批局</w:t>
            </w:r>
          </w:p>
        </w:tc>
        <w:tc>
          <w:tcPr>
            <w:tcW w:w="1979" w:type="dxa"/>
            <w:vAlign w:val="center"/>
          </w:tcPr>
          <w:p w14:paraId="1932B613">
            <w:pPr>
              <w:adjustRightInd w:val="0"/>
              <w:snapToGrid w:val="0"/>
              <w:jc w:val="center"/>
              <w:rPr>
                <w:sz w:val="24"/>
              </w:rPr>
            </w:pPr>
            <w:r>
              <w:rPr>
                <w:sz w:val="24"/>
              </w:rPr>
              <w:t>项目审批（核准/</w:t>
            </w:r>
          </w:p>
          <w:p w14:paraId="74796090">
            <w:pPr>
              <w:adjustRightInd w:val="0"/>
              <w:snapToGrid w:val="0"/>
              <w:jc w:val="center"/>
              <w:rPr>
                <w:sz w:val="24"/>
              </w:rPr>
            </w:pPr>
            <w:r>
              <w:rPr>
                <w:sz w:val="24"/>
              </w:rPr>
              <w:t>备案）文号（选填）</w:t>
            </w:r>
          </w:p>
        </w:tc>
        <w:tc>
          <w:tcPr>
            <w:tcW w:w="2282" w:type="dxa"/>
            <w:gridSpan w:val="2"/>
            <w:vAlign w:val="center"/>
          </w:tcPr>
          <w:p w14:paraId="448920E6">
            <w:pPr>
              <w:adjustRightInd w:val="0"/>
              <w:snapToGrid w:val="0"/>
              <w:jc w:val="center"/>
              <w:rPr>
                <w:sz w:val="24"/>
              </w:rPr>
            </w:pPr>
            <w:r>
              <w:rPr>
                <w:rFonts w:hint="eastAsia"/>
                <w:sz w:val="24"/>
              </w:rPr>
              <w:t>唐曹审批投资核字〔2025〕2号</w:t>
            </w:r>
          </w:p>
        </w:tc>
      </w:tr>
      <w:tr w14:paraId="712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828" w:type="dxa"/>
            <w:tcMar>
              <w:top w:w="16" w:type="dxa"/>
              <w:left w:w="16" w:type="dxa"/>
              <w:right w:w="16" w:type="dxa"/>
            </w:tcMar>
            <w:vAlign w:val="center"/>
          </w:tcPr>
          <w:p w14:paraId="08D83384">
            <w:pPr>
              <w:adjustRightInd w:val="0"/>
              <w:snapToGrid w:val="0"/>
              <w:jc w:val="center"/>
              <w:rPr>
                <w:sz w:val="24"/>
              </w:rPr>
            </w:pPr>
            <w:r>
              <w:rPr>
                <w:sz w:val="24"/>
              </w:rPr>
              <w:t>总投资（万元）</w:t>
            </w:r>
          </w:p>
        </w:tc>
        <w:tc>
          <w:tcPr>
            <w:tcW w:w="2950" w:type="dxa"/>
            <w:vAlign w:val="center"/>
          </w:tcPr>
          <w:p w14:paraId="594A234D">
            <w:pPr>
              <w:adjustRightInd w:val="0"/>
              <w:snapToGrid w:val="0"/>
              <w:jc w:val="center"/>
              <w:rPr>
                <w:sz w:val="24"/>
              </w:rPr>
            </w:pPr>
            <w:r>
              <w:rPr>
                <w:rFonts w:hint="eastAsia"/>
                <w:sz w:val="24"/>
              </w:rPr>
              <w:t>194934</w:t>
            </w:r>
          </w:p>
        </w:tc>
        <w:tc>
          <w:tcPr>
            <w:tcW w:w="1979" w:type="dxa"/>
            <w:tcMar>
              <w:top w:w="16" w:type="dxa"/>
              <w:left w:w="16" w:type="dxa"/>
              <w:right w:w="16" w:type="dxa"/>
            </w:tcMar>
            <w:vAlign w:val="center"/>
          </w:tcPr>
          <w:p w14:paraId="6963DA20">
            <w:pPr>
              <w:adjustRightInd w:val="0"/>
              <w:snapToGrid w:val="0"/>
              <w:jc w:val="center"/>
              <w:rPr>
                <w:sz w:val="24"/>
              </w:rPr>
            </w:pPr>
            <w:r>
              <w:rPr>
                <w:sz w:val="24"/>
              </w:rPr>
              <w:t>环保投资（万元）</w:t>
            </w:r>
          </w:p>
        </w:tc>
        <w:tc>
          <w:tcPr>
            <w:tcW w:w="2282" w:type="dxa"/>
            <w:gridSpan w:val="2"/>
            <w:vAlign w:val="center"/>
          </w:tcPr>
          <w:p w14:paraId="205DDD5F">
            <w:pPr>
              <w:adjustRightInd w:val="0"/>
              <w:snapToGrid w:val="0"/>
              <w:jc w:val="center"/>
              <w:rPr>
                <w:sz w:val="24"/>
              </w:rPr>
            </w:pPr>
            <w:r>
              <w:rPr>
                <w:rFonts w:hint="eastAsia"/>
                <w:sz w:val="24"/>
              </w:rPr>
              <w:t>319</w:t>
            </w:r>
          </w:p>
        </w:tc>
      </w:tr>
      <w:tr w14:paraId="6BF9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828" w:type="dxa"/>
            <w:tcMar>
              <w:top w:w="16" w:type="dxa"/>
              <w:left w:w="16" w:type="dxa"/>
              <w:right w:w="16" w:type="dxa"/>
            </w:tcMar>
            <w:vAlign w:val="center"/>
          </w:tcPr>
          <w:p w14:paraId="4D010A47">
            <w:pPr>
              <w:adjustRightInd w:val="0"/>
              <w:snapToGrid w:val="0"/>
              <w:jc w:val="center"/>
              <w:rPr>
                <w:sz w:val="24"/>
              </w:rPr>
            </w:pPr>
            <w:r>
              <w:rPr>
                <w:sz w:val="24"/>
              </w:rPr>
              <w:t>环保投资占比（%）</w:t>
            </w:r>
          </w:p>
        </w:tc>
        <w:tc>
          <w:tcPr>
            <w:tcW w:w="2950" w:type="dxa"/>
            <w:vAlign w:val="center"/>
          </w:tcPr>
          <w:p w14:paraId="5B08D1DF">
            <w:pPr>
              <w:adjustRightInd w:val="0"/>
              <w:snapToGrid w:val="0"/>
              <w:jc w:val="center"/>
              <w:rPr>
                <w:sz w:val="24"/>
              </w:rPr>
            </w:pPr>
            <w:r>
              <w:rPr>
                <w:rFonts w:hint="eastAsia"/>
                <w:sz w:val="24"/>
              </w:rPr>
              <w:t>0.16</w:t>
            </w:r>
          </w:p>
        </w:tc>
        <w:tc>
          <w:tcPr>
            <w:tcW w:w="1979" w:type="dxa"/>
            <w:tcMar>
              <w:top w:w="16" w:type="dxa"/>
              <w:left w:w="16" w:type="dxa"/>
              <w:right w:w="16" w:type="dxa"/>
            </w:tcMar>
            <w:vAlign w:val="center"/>
          </w:tcPr>
          <w:p w14:paraId="771DC14A">
            <w:pPr>
              <w:adjustRightInd w:val="0"/>
              <w:snapToGrid w:val="0"/>
              <w:jc w:val="center"/>
              <w:rPr>
                <w:sz w:val="24"/>
              </w:rPr>
            </w:pPr>
            <w:r>
              <w:rPr>
                <w:sz w:val="24"/>
              </w:rPr>
              <w:t>施工工期</w:t>
            </w:r>
          </w:p>
        </w:tc>
        <w:tc>
          <w:tcPr>
            <w:tcW w:w="2282" w:type="dxa"/>
            <w:gridSpan w:val="2"/>
            <w:vAlign w:val="center"/>
          </w:tcPr>
          <w:p w14:paraId="22E01B32">
            <w:pPr>
              <w:adjustRightInd w:val="0"/>
              <w:snapToGrid w:val="0"/>
              <w:jc w:val="center"/>
              <w:rPr>
                <w:sz w:val="24"/>
              </w:rPr>
            </w:pPr>
            <w:r>
              <w:rPr>
                <w:rFonts w:hint="eastAsia"/>
                <w:sz w:val="24"/>
              </w:rPr>
              <w:t>11</w:t>
            </w:r>
            <w:r>
              <w:rPr>
                <w:sz w:val="24"/>
              </w:rPr>
              <w:t>个月</w:t>
            </w:r>
          </w:p>
        </w:tc>
      </w:tr>
      <w:tr w14:paraId="5372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08EA936C">
            <w:pPr>
              <w:adjustRightInd w:val="0"/>
              <w:snapToGrid w:val="0"/>
              <w:jc w:val="center"/>
              <w:rPr>
                <w:sz w:val="24"/>
              </w:rPr>
            </w:pPr>
            <w:r>
              <w:rPr>
                <w:sz w:val="24"/>
              </w:rPr>
              <w:t>是否开工建设</w:t>
            </w:r>
          </w:p>
        </w:tc>
        <w:tc>
          <w:tcPr>
            <w:tcW w:w="7211" w:type="dxa"/>
            <w:gridSpan w:val="4"/>
            <w:vAlign w:val="center"/>
          </w:tcPr>
          <w:p w14:paraId="70B9DB88">
            <w:pPr>
              <w:adjustRightInd w:val="0"/>
              <w:snapToGrid w:val="0"/>
              <w:ind w:firstLine="105"/>
              <w:jc w:val="left"/>
              <w:rPr>
                <w:sz w:val="24"/>
              </w:rPr>
            </w:pPr>
            <w:r>
              <w:rPr>
                <w:sz w:val="24"/>
              </w:rPr>
              <w:sym w:font="Wingdings 2" w:char="0052"/>
            </w:r>
            <w:r>
              <w:rPr>
                <w:sz w:val="24"/>
              </w:rPr>
              <w:t>否</w:t>
            </w:r>
          </w:p>
          <w:p w14:paraId="1207A006">
            <w:pPr>
              <w:adjustRightInd w:val="0"/>
              <w:snapToGrid w:val="0"/>
              <w:ind w:firstLine="92"/>
              <w:jc w:val="left"/>
              <w:rPr>
                <w:sz w:val="24"/>
              </w:rPr>
            </w:pPr>
            <w:r>
              <w:rPr>
                <w:sz w:val="24"/>
              </w:rPr>
              <w:t>□是：</w:t>
            </w:r>
            <w:r>
              <w:rPr>
                <w:sz w:val="24"/>
                <w:u w:val="single"/>
              </w:rPr>
              <w:t xml:space="preserve">                             </w:t>
            </w:r>
          </w:p>
        </w:tc>
      </w:tr>
      <w:tr w14:paraId="1D7C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1828" w:type="dxa"/>
            <w:tcMar>
              <w:top w:w="16" w:type="dxa"/>
              <w:left w:w="16" w:type="dxa"/>
              <w:right w:w="16" w:type="dxa"/>
            </w:tcMar>
            <w:vAlign w:val="center"/>
          </w:tcPr>
          <w:p w14:paraId="64B55527">
            <w:pPr>
              <w:autoSpaceDE w:val="0"/>
              <w:autoSpaceDN w:val="0"/>
              <w:adjustRightInd w:val="0"/>
              <w:snapToGrid w:val="0"/>
              <w:jc w:val="center"/>
            </w:pPr>
            <w:r>
              <w:rPr>
                <w:kern w:val="0"/>
                <w:sz w:val="24"/>
              </w:rPr>
              <w:t>专项评价设置情况</w:t>
            </w:r>
          </w:p>
        </w:tc>
        <w:tc>
          <w:tcPr>
            <w:tcW w:w="7211" w:type="dxa"/>
            <w:gridSpan w:val="4"/>
            <w:tcMar>
              <w:top w:w="16" w:type="dxa"/>
              <w:left w:w="16" w:type="dxa"/>
              <w:right w:w="16" w:type="dxa"/>
            </w:tcMar>
            <w:vAlign w:val="center"/>
          </w:tcPr>
          <w:p w14:paraId="2CCBAD83">
            <w:pPr>
              <w:autoSpaceDE w:val="0"/>
              <w:autoSpaceDN w:val="0"/>
              <w:adjustRightInd w:val="0"/>
              <w:snapToGrid w:val="0"/>
              <w:spacing w:line="480" w:lineRule="exact"/>
              <w:rPr>
                <w:spacing w:val="-2"/>
              </w:rPr>
            </w:pPr>
            <w:r>
              <w:rPr>
                <w:rFonts w:hint="eastAsia"/>
                <w:kern w:val="0"/>
                <w:sz w:val="24"/>
              </w:rPr>
              <w:t>根据《建设项目环境影响报告表编制技术指南（生态影响类）</w:t>
            </w:r>
            <w:r>
              <w:rPr>
                <w:rFonts w:hint="eastAsia"/>
                <w:kern w:val="0"/>
                <w:sz w:val="24"/>
                <w:lang w:eastAsia="zh-CN"/>
              </w:rPr>
              <w:t>（试行）》</w:t>
            </w:r>
            <w:r>
              <w:rPr>
                <w:rFonts w:hint="eastAsia"/>
                <w:kern w:val="0"/>
                <w:sz w:val="24"/>
              </w:rPr>
              <w:t>中表1专项评价设置原则表以及《建设项目环境影响评价分类管理名录》(2021版)，本项目占地不涉及国家公园、自然保护区、风景名胜区、世界文化和自然遗产地、海洋特别保护区、饮用水水源保护区、以居住、医疗卫生、文化教育、科研、行政办公为主要功能的区域，以及文物保护单位，无需设置专项评价。升压站电磁辐射影响另行评价。本评价不包括220kV送出线路，送出线路的电磁辐射影响需另行委托评价。</w:t>
            </w:r>
          </w:p>
        </w:tc>
      </w:tr>
      <w:tr w14:paraId="36C2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026E0796">
            <w:pPr>
              <w:pStyle w:val="70"/>
              <w:pageBreakBefore/>
              <w:adjustRightInd w:val="0"/>
              <w:snapToGrid w:val="0"/>
              <w:spacing w:line="360" w:lineRule="auto"/>
              <w:ind w:firstLine="480"/>
            </w:pPr>
            <w:r>
              <w:t>规划情况</w:t>
            </w:r>
          </w:p>
        </w:tc>
        <w:tc>
          <w:tcPr>
            <w:tcW w:w="7211" w:type="dxa"/>
            <w:gridSpan w:val="4"/>
            <w:tcMar>
              <w:top w:w="16" w:type="dxa"/>
              <w:left w:w="16" w:type="dxa"/>
              <w:right w:w="16" w:type="dxa"/>
            </w:tcMar>
            <w:vAlign w:val="center"/>
          </w:tcPr>
          <w:p w14:paraId="3D98E57D">
            <w:pPr>
              <w:pageBreakBefore/>
              <w:widowControl/>
              <w:autoSpaceDE w:val="0"/>
              <w:autoSpaceDN w:val="0"/>
              <w:adjustRightInd w:val="0"/>
              <w:snapToGrid w:val="0"/>
              <w:spacing w:line="480" w:lineRule="exact"/>
              <w:jc w:val="left"/>
              <w:rPr>
                <w:sz w:val="24"/>
              </w:rPr>
            </w:pPr>
            <w:r>
              <w:rPr>
                <w:sz w:val="24"/>
              </w:rPr>
              <w:t>1、2021年2月22日河北省第十三届人民代表大会第四次会议通过</w:t>
            </w:r>
            <w:r>
              <w:rPr>
                <w:rFonts w:hint="eastAsia"/>
                <w:sz w:val="24"/>
              </w:rPr>
              <w:t>《</w:t>
            </w:r>
            <w:r>
              <w:rPr>
                <w:sz w:val="24"/>
              </w:rPr>
              <w:t>河北省国民经济和社会发展第十四个五年规划和二</w:t>
            </w:r>
            <w:r>
              <w:rPr>
                <w:rFonts w:hint="eastAsia"/>
                <w:sz w:val="24"/>
              </w:rPr>
              <w:t>〇</w:t>
            </w:r>
            <w:r>
              <w:rPr>
                <w:sz w:val="24"/>
              </w:rPr>
              <w:t>三五年远景目标纲要》；</w:t>
            </w:r>
          </w:p>
          <w:p w14:paraId="5A44CFDF">
            <w:pPr>
              <w:pageBreakBefore/>
              <w:widowControl/>
              <w:autoSpaceDE w:val="0"/>
              <w:autoSpaceDN w:val="0"/>
              <w:adjustRightInd w:val="0"/>
              <w:snapToGrid w:val="0"/>
              <w:spacing w:line="480" w:lineRule="exact"/>
              <w:jc w:val="left"/>
              <w:rPr>
                <w:sz w:val="24"/>
              </w:rPr>
            </w:pPr>
            <w:r>
              <w:rPr>
                <w:sz w:val="24"/>
              </w:rPr>
              <w:t>2、</w:t>
            </w:r>
            <w:r>
              <w:rPr>
                <w:rFonts w:hint="eastAsia"/>
                <w:sz w:val="24"/>
              </w:rPr>
              <w:t>《“十四五”可再生能源发展规划》(发改能源[2021] 1445号文)；</w:t>
            </w:r>
          </w:p>
          <w:p w14:paraId="3212AF9E">
            <w:pPr>
              <w:pageBreakBefore/>
              <w:widowControl/>
              <w:autoSpaceDE w:val="0"/>
              <w:autoSpaceDN w:val="0"/>
              <w:adjustRightInd w:val="0"/>
              <w:snapToGrid w:val="0"/>
              <w:spacing w:line="480" w:lineRule="exact"/>
              <w:jc w:val="left"/>
              <w:rPr>
                <w:sz w:val="24"/>
              </w:rPr>
            </w:pPr>
            <w:r>
              <w:rPr>
                <w:sz w:val="24"/>
              </w:rPr>
              <w:t>3、</w:t>
            </w:r>
            <w:r>
              <w:rPr>
                <w:rFonts w:hint="eastAsia"/>
                <w:sz w:val="24"/>
              </w:rPr>
              <w:t>《“十四五”现代能源体系规划》(发改能源[2022]210号)；</w:t>
            </w:r>
          </w:p>
          <w:p w14:paraId="78B06B19">
            <w:pPr>
              <w:pageBreakBefore/>
              <w:widowControl/>
              <w:autoSpaceDE w:val="0"/>
              <w:autoSpaceDN w:val="0"/>
              <w:adjustRightInd w:val="0"/>
              <w:snapToGrid w:val="0"/>
              <w:spacing w:line="480" w:lineRule="exact"/>
              <w:jc w:val="left"/>
              <w:rPr>
                <w:sz w:val="24"/>
              </w:rPr>
            </w:pPr>
            <w:r>
              <w:rPr>
                <w:rFonts w:hint="eastAsia"/>
                <w:sz w:val="24"/>
              </w:rPr>
              <w:t>4、《唐山市曹妃甸区国土空间总体规划（2021-2035年）》。</w:t>
            </w:r>
          </w:p>
        </w:tc>
      </w:tr>
      <w:tr w14:paraId="2E35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828" w:type="dxa"/>
            <w:tcMar>
              <w:top w:w="16" w:type="dxa"/>
              <w:left w:w="16" w:type="dxa"/>
              <w:right w:w="16" w:type="dxa"/>
            </w:tcMar>
            <w:vAlign w:val="center"/>
          </w:tcPr>
          <w:p w14:paraId="7A786A48">
            <w:pPr>
              <w:pStyle w:val="70"/>
              <w:spacing w:line="360" w:lineRule="auto"/>
              <w:ind w:firstLine="0" w:firstLineChars="0"/>
              <w:jc w:val="center"/>
            </w:pPr>
            <w:r>
              <w:t>规划环境影响评价情况</w:t>
            </w:r>
          </w:p>
        </w:tc>
        <w:tc>
          <w:tcPr>
            <w:tcW w:w="7211" w:type="dxa"/>
            <w:gridSpan w:val="4"/>
            <w:tcMar>
              <w:top w:w="16" w:type="dxa"/>
              <w:left w:w="16" w:type="dxa"/>
              <w:right w:w="16" w:type="dxa"/>
            </w:tcMar>
            <w:vAlign w:val="center"/>
          </w:tcPr>
          <w:p w14:paraId="55529110">
            <w:pPr>
              <w:pStyle w:val="70"/>
              <w:adjustRightInd w:val="0"/>
              <w:snapToGrid w:val="0"/>
              <w:spacing w:line="360" w:lineRule="auto"/>
              <w:ind w:firstLine="480"/>
              <w:rPr>
                <w:bCs/>
                <w:spacing w:val="-6"/>
              </w:rPr>
            </w:pPr>
            <w:r>
              <w:rPr>
                <w:rFonts w:hint="eastAsia"/>
              </w:rPr>
              <w:t>无</w:t>
            </w:r>
          </w:p>
        </w:tc>
      </w:tr>
      <w:tr w14:paraId="7B1B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828" w:type="dxa"/>
            <w:tcMar>
              <w:top w:w="16" w:type="dxa"/>
              <w:left w:w="16" w:type="dxa"/>
              <w:right w:w="16" w:type="dxa"/>
            </w:tcMar>
            <w:vAlign w:val="center"/>
          </w:tcPr>
          <w:p w14:paraId="76B6032C">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7211" w:type="dxa"/>
            <w:gridSpan w:val="4"/>
            <w:tcMar>
              <w:top w:w="16" w:type="dxa"/>
              <w:left w:w="16" w:type="dxa"/>
              <w:right w:w="16" w:type="dxa"/>
            </w:tcMar>
            <w:vAlign w:val="center"/>
          </w:tcPr>
          <w:p w14:paraId="07D6D691">
            <w:pPr>
              <w:pStyle w:val="7"/>
              <w:adjustRightInd w:val="0"/>
              <w:snapToGrid w:val="0"/>
              <w:spacing w:before="0" w:beforeAutospacing="0" w:after="0" w:afterAutospacing="0" w:line="480" w:lineRule="exact"/>
              <w:ind w:firstLine="480" w:firstLineChars="200"/>
              <w:rPr>
                <w:rFonts w:ascii="Times New Roman" w:hAnsi="Times New Roman"/>
              </w:rPr>
            </w:pPr>
            <w:r>
              <w:rPr>
                <w:rFonts w:hint="eastAsia" w:ascii="Times New Roman" w:hAnsi="Times New Roman"/>
              </w:rPr>
              <w:t>本项目与相关规划的符合性分析见下表：</w:t>
            </w:r>
          </w:p>
          <w:p w14:paraId="0D8E92EA">
            <w:pPr>
              <w:pStyle w:val="7"/>
              <w:adjustRightInd w:val="0"/>
              <w:snapToGrid w:val="0"/>
              <w:spacing w:before="0" w:beforeAutospacing="0" w:after="0" w:afterAutospacing="0" w:line="480" w:lineRule="exact"/>
              <w:jc w:val="center"/>
              <w:rPr>
                <w:rFonts w:ascii="Times New Roman" w:hAnsi="Times New Roman"/>
              </w:rPr>
            </w:pPr>
            <w:r>
              <w:rPr>
                <w:rFonts w:hint="eastAsia" w:ascii="Times New Roman" w:hAnsi="Times New Roman"/>
                <w:b/>
                <w:bCs/>
                <w:sz w:val="21"/>
                <w:szCs w:val="21"/>
              </w:rPr>
              <w:t>表1-1   本项目与相关规划的符合性分析表</w:t>
            </w:r>
          </w:p>
          <w:tbl>
            <w:tblPr>
              <w:tblStyle w:val="32"/>
              <w:tblW w:w="62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438"/>
              <w:gridCol w:w="2287"/>
              <w:gridCol w:w="1439"/>
              <w:gridCol w:w="619"/>
            </w:tblGrid>
            <w:tr w14:paraId="1C02F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041CC15F">
                  <w:pPr>
                    <w:jc w:val="center"/>
                    <w:rPr>
                      <w:szCs w:val="21"/>
                    </w:rPr>
                  </w:pPr>
                  <w:r>
                    <w:rPr>
                      <w:szCs w:val="21"/>
                    </w:rPr>
                    <w:t>序号</w:t>
                  </w:r>
                </w:p>
              </w:tc>
              <w:tc>
                <w:tcPr>
                  <w:tcW w:w="1438" w:type="dxa"/>
                  <w:vAlign w:val="center"/>
                </w:tcPr>
                <w:p w14:paraId="7C381149">
                  <w:pPr>
                    <w:jc w:val="center"/>
                    <w:rPr>
                      <w:szCs w:val="21"/>
                    </w:rPr>
                  </w:pPr>
                  <w:r>
                    <w:rPr>
                      <w:szCs w:val="21"/>
                    </w:rPr>
                    <w:t>文件名称</w:t>
                  </w:r>
                </w:p>
              </w:tc>
              <w:tc>
                <w:tcPr>
                  <w:tcW w:w="2287" w:type="dxa"/>
                  <w:vAlign w:val="center"/>
                </w:tcPr>
                <w:p w14:paraId="1F632BC6">
                  <w:pPr>
                    <w:jc w:val="center"/>
                    <w:rPr>
                      <w:szCs w:val="21"/>
                    </w:rPr>
                  </w:pPr>
                  <w:r>
                    <w:rPr>
                      <w:szCs w:val="21"/>
                    </w:rPr>
                    <w:t>文件要求</w:t>
                  </w:r>
                </w:p>
              </w:tc>
              <w:tc>
                <w:tcPr>
                  <w:tcW w:w="1439" w:type="dxa"/>
                  <w:vAlign w:val="center"/>
                </w:tcPr>
                <w:p w14:paraId="7025B183">
                  <w:pPr>
                    <w:jc w:val="center"/>
                    <w:rPr>
                      <w:szCs w:val="21"/>
                    </w:rPr>
                  </w:pPr>
                  <w:r>
                    <w:rPr>
                      <w:szCs w:val="21"/>
                    </w:rPr>
                    <w:t>本项目情况</w:t>
                  </w:r>
                </w:p>
              </w:tc>
              <w:tc>
                <w:tcPr>
                  <w:tcW w:w="619" w:type="dxa"/>
                  <w:vAlign w:val="center"/>
                </w:tcPr>
                <w:p w14:paraId="6EBF88A6">
                  <w:pPr>
                    <w:jc w:val="center"/>
                    <w:rPr>
                      <w:szCs w:val="21"/>
                    </w:rPr>
                  </w:pPr>
                  <w:r>
                    <w:rPr>
                      <w:szCs w:val="21"/>
                    </w:rPr>
                    <w:t>符合性</w:t>
                  </w:r>
                </w:p>
              </w:tc>
            </w:tr>
            <w:tr w14:paraId="62494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423DE098">
                  <w:pPr>
                    <w:jc w:val="center"/>
                    <w:rPr>
                      <w:szCs w:val="21"/>
                    </w:rPr>
                  </w:pPr>
                  <w:r>
                    <w:rPr>
                      <w:szCs w:val="21"/>
                    </w:rPr>
                    <w:t>1</w:t>
                  </w:r>
                </w:p>
              </w:tc>
              <w:tc>
                <w:tcPr>
                  <w:tcW w:w="1438" w:type="dxa"/>
                  <w:vAlign w:val="center"/>
                </w:tcPr>
                <w:p w14:paraId="0EDA0887">
                  <w:pPr>
                    <w:jc w:val="center"/>
                    <w:rPr>
                      <w:szCs w:val="21"/>
                    </w:rPr>
                  </w:pPr>
                  <w:r>
                    <w:rPr>
                      <w:szCs w:val="21"/>
                    </w:rPr>
                    <w:t>《河北省国民经济和社会发展第十四个五年规划和二〇三五年远景目标纲要（草案）》</w:t>
                  </w:r>
                </w:p>
              </w:tc>
              <w:tc>
                <w:tcPr>
                  <w:tcW w:w="2287" w:type="dxa"/>
                  <w:vAlign w:val="center"/>
                </w:tcPr>
                <w:p w14:paraId="3869FCE7">
                  <w:pPr>
                    <w:jc w:val="center"/>
                    <w:rPr>
                      <w:szCs w:val="21"/>
                    </w:rPr>
                  </w:pPr>
                  <w:r>
                    <w:rPr>
                      <w:szCs w:val="21"/>
                    </w:rPr>
                    <w:t>大力发展光电、风电、抽水蓄能，安全有序发展核电</w:t>
                  </w:r>
                </w:p>
              </w:tc>
              <w:tc>
                <w:tcPr>
                  <w:tcW w:w="1439" w:type="dxa"/>
                  <w:vAlign w:val="center"/>
                </w:tcPr>
                <w:p w14:paraId="1C164E06">
                  <w:pPr>
                    <w:jc w:val="center"/>
                    <w:rPr>
                      <w:szCs w:val="21"/>
                    </w:rPr>
                  </w:pPr>
                  <w:r>
                    <w:rPr>
                      <w:szCs w:val="21"/>
                    </w:rPr>
                    <w:t>本项目为</w:t>
                  </w:r>
                  <w:r>
                    <w:rPr>
                      <w:rFonts w:hint="eastAsia"/>
                      <w:szCs w:val="21"/>
                    </w:rPr>
                    <w:t>风力</w:t>
                  </w:r>
                  <w:r>
                    <w:rPr>
                      <w:szCs w:val="21"/>
                    </w:rPr>
                    <w:t>发电项目</w:t>
                  </w:r>
                </w:p>
              </w:tc>
              <w:tc>
                <w:tcPr>
                  <w:tcW w:w="619" w:type="dxa"/>
                  <w:vAlign w:val="center"/>
                </w:tcPr>
                <w:p w14:paraId="3617DB40">
                  <w:pPr>
                    <w:jc w:val="center"/>
                    <w:rPr>
                      <w:szCs w:val="21"/>
                    </w:rPr>
                  </w:pPr>
                  <w:r>
                    <w:rPr>
                      <w:szCs w:val="21"/>
                    </w:rPr>
                    <w:t>符合</w:t>
                  </w:r>
                </w:p>
              </w:tc>
            </w:tr>
            <w:tr w14:paraId="2A1B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68079530">
                  <w:pPr>
                    <w:jc w:val="center"/>
                    <w:rPr>
                      <w:szCs w:val="21"/>
                    </w:rPr>
                  </w:pPr>
                  <w:r>
                    <w:rPr>
                      <w:szCs w:val="21"/>
                    </w:rPr>
                    <w:t>2</w:t>
                  </w:r>
                </w:p>
              </w:tc>
              <w:tc>
                <w:tcPr>
                  <w:tcW w:w="1438" w:type="dxa"/>
                  <w:vAlign w:val="center"/>
                </w:tcPr>
                <w:p w14:paraId="0022B101">
                  <w:pPr>
                    <w:jc w:val="center"/>
                    <w:rPr>
                      <w:szCs w:val="21"/>
                    </w:rPr>
                  </w:pPr>
                  <w:r>
                    <w:rPr>
                      <w:rFonts w:hint="eastAsia"/>
                      <w:szCs w:val="21"/>
                    </w:rPr>
                    <w:t>《“十四五”可再生能源发展规划》(发改能源[2021] 1445号文)</w:t>
                  </w:r>
                </w:p>
              </w:tc>
              <w:tc>
                <w:tcPr>
                  <w:tcW w:w="2287" w:type="dxa"/>
                  <w:vAlign w:val="center"/>
                </w:tcPr>
                <w:p w14:paraId="1D30ACE5">
                  <w:pPr>
                    <w:jc w:val="center"/>
                    <w:rPr>
                      <w:szCs w:val="21"/>
                    </w:rPr>
                  </w:pPr>
                  <w:r>
                    <w:rPr>
                      <w:rFonts w:hint="eastAsia"/>
                      <w:szCs w:val="21"/>
                    </w:rPr>
                    <w:t>坚持生态优先、因地制宜、多元融合发展，在“三北”地区优化推动风电和光伏发电基地化规模化开发；在风能和太阳能资源禀赋较好、建设条件优越、具备持续规模化开发条件的地区， 着力提升新能源就地消纳和外送能力。</w:t>
                  </w:r>
                </w:p>
              </w:tc>
              <w:tc>
                <w:tcPr>
                  <w:tcW w:w="1439" w:type="dxa"/>
                  <w:vAlign w:val="center"/>
                </w:tcPr>
                <w:p w14:paraId="1E440B42">
                  <w:pPr>
                    <w:jc w:val="center"/>
                    <w:rPr>
                      <w:szCs w:val="21"/>
                    </w:rPr>
                  </w:pPr>
                  <w:r>
                    <w:rPr>
                      <w:rFonts w:hint="eastAsia"/>
                      <w:szCs w:val="21"/>
                    </w:rPr>
                    <w:t>本项目为风力发电项目，有利于优化推动风电 规模化发展，提升新能源就地消纳和外送能力</w:t>
                  </w:r>
                </w:p>
              </w:tc>
              <w:tc>
                <w:tcPr>
                  <w:tcW w:w="619" w:type="dxa"/>
                  <w:vAlign w:val="center"/>
                </w:tcPr>
                <w:p w14:paraId="4EC96576">
                  <w:pPr>
                    <w:jc w:val="center"/>
                    <w:rPr>
                      <w:szCs w:val="21"/>
                    </w:rPr>
                  </w:pPr>
                  <w:r>
                    <w:rPr>
                      <w:szCs w:val="21"/>
                    </w:rPr>
                    <w:t>符合</w:t>
                  </w:r>
                </w:p>
              </w:tc>
            </w:tr>
            <w:tr w14:paraId="65711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6D7DB5EC">
                  <w:pPr>
                    <w:jc w:val="center"/>
                    <w:rPr>
                      <w:szCs w:val="21"/>
                    </w:rPr>
                  </w:pPr>
                  <w:r>
                    <w:rPr>
                      <w:szCs w:val="21"/>
                    </w:rPr>
                    <w:t>3</w:t>
                  </w:r>
                </w:p>
              </w:tc>
              <w:tc>
                <w:tcPr>
                  <w:tcW w:w="1438" w:type="dxa"/>
                  <w:vAlign w:val="center"/>
                </w:tcPr>
                <w:p w14:paraId="43241C9D">
                  <w:pPr>
                    <w:jc w:val="center"/>
                    <w:rPr>
                      <w:szCs w:val="21"/>
                    </w:rPr>
                  </w:pPr>
                  <w:r>
                    <w:rPr>
                      <w:rFonts w:hint="eastAsia"/>
                      <w:szCs w:val="21"/>
                    </w:rPr>
                    <w:t>《“十四五”现代能源体系规划》(发改能源[2022]210号)</w:t>
                  </w:r>
                </w:p>
              </w:tc>
              <w:tc>
                <w:tcPr>
                  <w:tcW w:w="2287" w:type="dxa"/>
                  <w:vAlign w:val="center"/>
                </w:tcPr>
                <w:p w14:paraId="6EBAD6F8">
                  <w:pPr>
                    <w:widowControl/>
                    <w:jc w:val="center"/>
                    <w:rPr>
                      <w:szCs w:val="21"/>
                    </w:rPr>
                  </w:pPr>
                  <w:r>
                    <w:rPr>
                      <w:rFonts w:hint="eastAsia"/>
                      <w:szCs w:val="21"/>
                    </w:rPr>
                    <w:t>在风能和太阳能资源禀赋较好、建设条件优越、具备持续整装开发条件、符合区域生态环境保护等要求的地区，有序推进风电和光伏发电集中式开发。</w:t>
                  </w:r>
                </w:p>
              </w:tc>
              <w:tc>
                <w:tcPr>
                  <w:tcW w:w="1439" w:type="dxa"/>
                  <w:vAlign w:val="center"/>
                </w:tcPr>
                <w:p w14:paraId="2741965C">
                  <w:pPr>
                    <w:jc w:val="center"/>
                    <w:rPr>
                      <w:szCs w:val="21"/>
                    </w:rPr>
                  </w:pPr>
                  <w:r>
                    <w:rPr>
                      <w:rFonts w:hint="eastAsia"/>
                      <w:szCs w:val="21"/>
                    </w:rPr>
                    <w:t>本项目为集中式风力发电项目，有利于推进风 电集中式开发</w:t>
                  </w:r>
                </w:p>
              </w:tc>
              <w:tc>
                <w:tcPr>
                  <w:tcW w:w="619" w:type="dxa"/>
                  <w:vAlign w:val="center"/>
                </w:tcPr>
                <w:p w14:paraId="3D33014A">
                  <w:pPr>
                    <w:jc w:val="center"/>
                    <w:rPr>
                      <w:szCs w:val="21"/>
                    </w:rPr>
                  </w:pPr>
                  <w:r>
                    <w:rPr>
                      <w:szCs w:val="21"/>
                    </w:rPr>
                    <w:t>符合</w:t>
                  </w:r>
                </w:p>
              </w:tc>
            </w:tr>
            <w:tr w14:paraId="2C7A1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3" w:type="dxa"/>
                  <w:vAlign w:val="center"/>
                </w:tcPr>
                <w:p w14:paraId="759FC8FF">
                  <w:pPr>
                    <w:jc w:val="center"/>
                    <w:rPr>
                      <w:szCs w:val="21"/>
                    </w:rPr>
                  </w:pPr>
                  <w:r>
                    <w:rPr>
                      <w:rFonts w:hint="eastAsia"/>
                      <w:szCs w:val="21"/>
                    </w:rPr>
                    <w:t>4</w:t>
                  </w:r>
                </w:p>
              </w:tc>
              <w:tc>
                <w:tcPr>
                  <w:tcW w:w="1438" w:type="dxa"/>
                  <w:vAlign w:val="center"/>
                </w:tcPr>
                <w:p w14:paraId="49D259BD">
                  <w:pPr>
                    <w:jc w:val="center"/>
                    <w:rPr>
                      <w:szCs w:val="21"/>
                    </w:rPr>
                  </w:pPr>
                  <w:r>
                    <w:rPr>
                      <w:rFonts w:hint="eastAsia"/>
                      <w:szCs w:val="21"/>
                    </w:rPr>
                    <w:t>《唐山市曹妃甸区国土空间总体规划（2021-2035年）》</w:t>
                  </w:r>
                </w:p>
              </w:tc>
              <w:tc>
                <w:tcPr>
                  <w:tcW w:w="2287" w:type="dxa"/>
                  <w:vAlign w:val="center"/>
                </w:tcPr>
                <w:p w14:paraId="47181E41">
                  <w:pPr>
                    <w:jc w:val="center"/>
                    <w:rPr>
                      <w:szCs w:val="21"/>
                    </w:rPr>
                  </w:pPr>
                  <w:r>
                    <w:rPr>
                      <w:rFonts w:hint="eastAsia"/>
                      <w:szCs w:val="21"/>
                    </w:rPr>
                    <w:t>完善产业功能体系：依托产业基础优势、沿海港口优势、园区承载优势，加快培育壮大精品钢铁、绿色化工、装备制造、港口商贸物流四大主导产业，新能源与新材料、新型信息数字两大战略性新兴产业；</w:t>
                  </w:r>
                </w:p>
                <w:p w14:paraId="247AA3A5">
                  <w:pPr>
                    <w:jc w:val="center"/>
                    <w:rPr>
                      <w:szCs w:val="21"/>
                    </w:rPr>
                  </w:pPr>
                  <w:r>
                    <w:rPr>
                      <w:rFonts w:hint="eastAsia"/>
                      <w:szCs w:val="21"/>
                    </w:rPr>
                    <w:t>加强安全韧性城市建设：优化能源结构，推进清洁能源替代，提升清洁能源供应能力，推进分布式能源建设。</w:t>
                  </w:r>
                </w:p>
              </w:tc>
              <w:tc>
                <w:tcPr>
                  <w:tcW w:w="1439" w:type="dxa"/>
                  <w:vAlign w:val="center"/>
                </w:tcPr>
                <w:p w14:paraId="70C387A0">
                  <w:pPr>
                    <w:jc w:val="center"/>
                    <w:rPr>
                      <w:szCs w:val="21"/>
                    </w:rPr>
                  </w:pPr>
                  <w:r>
                    <w:rPr>
                      <w:rFonts w:hint="eastAsia"/>
                      <w:szCs w:val="21"/>
                    </w:rPr>
                    <w:t>本项目为风电项目，属于清洁能源，且符合新能源的战略性新兴产业发展方向</w:t>
                  </w:r>
                </w:p>
              </w:tc>
              <w:tc>
                <w:tcPr>
                  <w:tcW w:w="619" w:type="dxa"/>
                  <w:vAlign w:val="center"/>
                </w:tcPr>
                <w:p w14:paraId="3A9B2A58">
                  <w:pPr>
                    <w:jc w:val="center"/>
                    <w:rPr>
                      <w:szCs w:val="21"/>
                    </w:rPr>
                  </w:pPr>
                  <w:r>
                    <w:rPr>
                      <w:rFonts w:hint="eastAsia"/>
                      <w:szCs w:val="21"/>
                    </w:rPr>
                    <w:t>符合</w:t>
                  </w:r>
                </w:p>
              </w:tc>
            </w:tr>
          </w:tbl>
          <w:p w14:paraId="22EE9203">
            <w:pPr>
              <w:pStyle w:val="3"/>
              <w:spacing w:before="48"/>
              <w:rPr>
                <w:spacing w:val="-4"/>
              </w:rPr>
            </w:pPr>
          </w:p>
        </w:tc>
      </w:tr>
      <w:tr w14:paraId="68F5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2" w:hRule="atLeast"/>
        </w:trPr>
        <w:tc>
          <w:tcPr>
            <w:tcW w:w="1828" w:type="dxa"/>
            <w:tcMar>
              <w:top w:w="16" w:type="dxa"/>
              <w:left w:w="16" w:type="dxa"/>
              <w:right w:w="16" w:type="dxa"/>
            </w:tcMar>
            <w:vAlign w:val="center"/>
          </w:tcPr>
          <w:p w14:paraId="5517F7D1">
            <w:pPr>
              <w:autoSpaceDE w:val="0"/>
              <w:autoSpaceDN w:val="0"/>
              <w:adjustRightInd w:val="0"/>
              <w:snapToGrid w:val="0"/>
              <w:jc w:val="center"/>
              <w:rPr>
                <w:kern w:val="0"/>
                <w:sz w:val="24"/>
              </w:rPr>
            </w:pPr>
            <w:bookmarkStart w:id="10" w:name="_Hlk56690880"/>
            <w:r>
              <w:rPr>
                <w:kern w:val="0"/>
                <w:sz w:val="24"/>
              </w:rPr>
              <w:t>其他符合性分析</w:t>
            </w:r>
            <w:bookmarkEnd w:id="10"/>
          </w:p>
        </w:tc>
        <w:tc>
          <w:tcPr>
            <w:tcW w:w="7211" w:type="dxa"/>
            <w:gridSpan w:val="4"/>
            <w:tcMar>
              <w:top w:w="16" w:type="dxa"/>
              <w:left w:w="16" w:type="dxa"/>
              <w:right w:w="16" w:type="dxa"/>
            </w:tcMar>
            <w:vAlign w:val="center"/>
          </w:tcPr>
          <w:p w14:paraId="624A6C36">
            <w:pPr>
              <w:pStyle w:val="70"/>
              <w:adjustRightInd w:val="0"/>
              <w:snapToGrid w:val="0"/>
              <w:spacing w:line="480" w:lineRule="exact"/>
              <w:ind w:firstLine="482"/>
              <w:rPr>
                <w:b/>
                <w:bCs/>
              </w:rPr>
            </w:pPr>
            <w:r>
              <w:rPr>
                <w:b/>
                <w:bCs/>
              </w:rPr>
              <w:t>1、产业政策符合性</w:t>
            </w:r>
          </w:p>
          <w:p w14:paraId="7AC943E7">
            <w:pPr>
              <w:pStyle w:val="70"/>
              <w:adjustRightInd w:val="0"/>
              <w:snapToGrid w:val="0"/>
              <w:spacing w:line="480" w:lineRule="exact"/>
              <w:ind w:firstLine="480"/>
            </w:pPr>
            <w:r>
              <w:rPr>
                <w:rFonts w:cs="宋体"/>
              </w:rPr>
              <w:t>根据《产业结构调整指导目录（2024年本）》中的相关规定，本项目</w:t>
            </w:r>
            <w:r>
              <w:t>不属于</w:t>
            </w:r>
            <w:r>
              <w:rPr>
                <w:rFonts w:cs="宋体"/>
              </w:rPr>
              <w:t>鼓励类、限制类、淘汰类项目，属允许类</w:t>
            </w:r>
            <w:r>
              <w:rPr>
                <w:rFonts w:hint="eastAsia"/>
              </w:rPr>
              <w:t>；本项目不属于《市场准入负面清单 (2022年版) 》中禁止和许可准入事项。本项目已取得唐山市曹妃甸区行政审批局的核准批复，核准文号：唐曹审批投资核字</w:t>
            </w:r>
            <w:r>
              <w:rPr>
                <w:rFonts w:hint="eastAsia" w:ascii="仿宋" w:hAnsi="仿宋" w:eastAsia="仿宋" w:cs="仿宋"/>
              </w:rPr>
              <w:t>〔</w:t>
            </w:r>
            <w:r>
              <w:rPr>
                <w:rFonts w:hint="eastAsia"/>
              </w:rPr>
              <w:t>2025</w:t>
            </w:r>
            <w:r>
              <w:rPr>
                <w:rFonts w:hint="eastAsia" w:ascii="仿宋" w:hAnsi="仿宋" w:eastAsia="仿宋" w:cs="仿宋"/>
              </w:rPr>
              <w:t>〕</w:t>
            </w:r>
            <w:r>
              <w:rPr>
                <w:rFonts w:hint="eastAsia"/>
              </w:rPr>
              <w:t>2号。</w:t>
            </w:r>
          </w:p>
          <w:p w14:paraId="4B169C62">
            <w:pPr>
              <w:pStyle w:val="70"/>
              <w:adjustRightInd w:val="0"/>
              <w:snapToGrid w:val="0"/>
              <w:spacing w:line="480" w:lineRule="exact"/>
              <w:ind w:firstLine="480"/>
            </w:pPr>
            <w:r>
              <w:rPr>
                <w:rFonts w:hint="eastAsia"/>
              </w:rPr>
              <w:t>综上，本项目的建设符合国家及地方相关产业政策要求。</w:t>
            </w:r>
          </w:p>
          <w:p w14:paraId="7B321834">
            <w:pPr>
              <w:spacing w:line="480" w:lineRule="exact"/>
              <w:ind w:firstLine="482" w:firstLineChars="200"/>
              <w:rPr>
                <w:sz w:val="24"/>
              </w:rPr>
            </w:pPr>
            <w:r>
              <w:rPr>
                <w:rFonts w:hint="eastAsia"/>
                <w:b/>
                <w:bCs/>
                <w:sz w:val="24"/>
              </w:rPr>
              <w:t>2.“三线一单”符合性分析</w:t>
            </w:r>
          </w:p>
          <w:p w14:paraId="6185AE04">
            <w:pPr>
              <w:spacing w:line="480" w:lineRule="exact"/>
              <w:ind w:firstLine="480" w:firstLineChars="200"/>
              <w:rPr>
                <w:sz w:val="24"/>
              </w:rPr>
            </w:pPr>
            <w:r>
              <w:rPr>
                <w:sz w:val="24"/>
              </w:rPr>
              <w:t>根据《关于以改善环境质量为核心加强环境影响评价管理的通知》（环环评</w:t>
            </w:r>
            <w:r>
              <w:rPr>
                <w:rFonts w:hint="eastAsia"/>
                <w:sz w:val="24"/>
              </w:rPr>
              <w:t>〔2016〕</w:t>
            </w:r>
            <w:r>
              <w:rPr>
                <w:sz w:val="24"/>
              </w:rPr>
              <w:t>150号），要求以生态保护红线、环境质量底线、资源利用上线和环境准入负面清单（以下简称“三线一单”）为手段，强化空间、总量和准入环境管理。本项目建设与上述要求的符合性分析如下：</w:t>
            </w:r>
          </w:p>
          <w:p w14:paraId="6F7676F1">
            <w:pPr>
              <w:spacing w:line="480" w:lineRule="exact"/>
              <w:ind w:firstLine="480" w:firstLineChars="200"/>
              <w:rPr>
                <w:sz w:val="24"/>
              </w:rPr>
            </w:pPr>
            <w:r>
              <w:rPr>
                <w:sz w:val="24"/>
              </w:rPr>
              <w:t>（1）生态保护红线</w:t>
            </w:r>
          </w:p>
          <w:p w14:paraId="1F20876C">
            <w:pPr>
              <w:spacing w:line="480" w:lineRule="exact"/>
              <w:ind w:firstLine="480" w:firstLineChars="200"/>
              <w:rPr>
                <w:sz w:val="24"/>
              </w:rPr>
            </w:pPr>
            <w:r>
              <w:rPr>
                <w:sz w:val="24"/>
              </w:rPr>
              <w:t>根据《河北省生态保护红线》，唐山市生态保护红线总面积为1383.02km</w:t>
            </w:r>
            <w:r>
              <w:rPr>
                <w:sz w:val="24"/>
                <w:vertAlign w:val="superscript"/>
              </w:rPr>
              <w:t>2</w:t>
            </w:r>
            <w:r>
              <w:rPr>
                <w:sz w:val="24"/>
              </w:rPr>
              <w:t>（剔除重叠面积）。红线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p w14:paraId="51494303">
            <w:pPr>
              <w:spacing w:line="480" w:lineRule="exact"/>
              <w:ind w:firstLine="480" w:firstLineChars="200"/>
              <w:rPr>
                <w:sz w:val="24"/>
              </w:rPr>
            </w:pPr>
            <w:r>
              <w:rPr>
                <w:sz w:val="24"/>
              </w:rPr>
              <w:t>本项目位于</w:t>
            </w:r>
            <w:r>
              <w:rPr>
                <w:rFonts w:hint="eastAsia"/>
                <w:sz w:val="24"/>
              </w:rPr>
              <w:t>唐山市曹妃甸区孙塘庄镇、双井镇、柳赞镇和唐海镇</w:t>
            </w:r>
            <w:r>
              <w:rPr>
                <w:sz w:val="24"/>
              </w:rPr>
              <w:t>，不在生态保护红线区范围内，距离最近的生态保护红线（</w:t>
            </w:r>
            <w:r>
              <w:rPr>
                <w:rFonts w:hint="eastAsia"/>
                <w:sz w:val="24"/>
              </w:rPr>
              <w:t>曹妃甸湿地和鸟类省级自然保护区</w:t>
            </w:r>
            <w:r>
              <w:rPr>
                <w:sz w:val="24"/>
              </w:rPr>
              <w:t>）约</w:t>
            </w:r>
            <w:r>
              <w:rPr>
                <w:rFonts w:hint="eastAsia"/>
                <w:sz w:val="24"/>
              </w:rPr>
              <w:t>1950</w:t>
            </w:r>
            <w:r>
              <w:rPr>
                <w:sz w:val="24"/>
              </w:rPr>
              <w:t>m。</w:t>
            </w:r>
          </w:p>
          <w:p w14:paraId="79F57E90">
            <w:pPr>
              <w:widowControl/>
              <w:spacing w:line="480" w:lineRule="exact"/>
              <w:ind w:firstLine="480" w:firstLineChars="200"/>
              <w:jc w:val="left"/>
              <w:rPr>
                <w:sz w:val="24"/>
              </w:rPr>
            </w:pPr>
            <w:r>
              <w:rPr>
                <w:rFonts w:hint="eastAsia" w:ascii="宋体" w:hAnsi="宋体" w:cs="宋体"/>
                <w:kern w:val="0"/>
                <w:sz w:val="24"/>
              </w:rPr>
              <w:t>（</w:t>
            </w:r>
            <w:r>
              <w:rPr>
                <w:kern w:val="0"/>
                <w:sz w:val="24"/>
              </w:rPr>
              <w:t>2</w:t>
            </w:r>
            <w:r>
              <w:rPr>
                <w:rFonts w:hint="eastAsia" w:ascii="宋体" w:hAnsi="宋体" w:cs="宋体"/>
                <w:kern w:val="0"/>
                <w:sz w:val="24"/>
              </w:rPr>
              <w:t xml:space="preserve">）环境质量底线符合性分析 </w:t>
            </w:r>
          </w:p>
          <w:p w14:paraId="41A1AF1C">
            <w:pPr>
              <w:widowControl/>
              <w:spacing w:line="480" w:lineRule="exact"/>
              <w:ind w:firstLine="480" w:firstLineChars="200"/>
              <w:jc w:val="left"/>
              <w:rPr>
                <w:rFonts w:ascii="宋体" w:hAnsi="宋体" w:cs="宋体"/>
                <w:kern w:val="0"/>
                <w:sz w:val="24"/>
              </w:rPr>
            </w:pPr>
            <w:r>
              <w:rPr>
                <w:rFonts w:hint="eastAsia" w:ascii="宋体" w:hAnsi="宋体" w:cs="宋体"/>
                <w:kern w:val="0"/>
                <w:sz w:val="24"/>
              </w:rPr>
              <w:t>本项目施工期施工扬尘经采取措施后满足《施工场地扬尘排放标准》（</w:t>
            </w:r>
            <w:r>
              <w:rPr>
                <w:kern w:val="0"/>
                <w:sz w:val="24"/>
              </w:rPr>
              <w:t>DB13/2934-2019</w:t>
            </w:r>
            <w:r>
              <w:rPr>
                <w:rFonts w:hint="eastAsia" w:ascii="宋体" w:hAnsi="宋体" w:cs="宋体"/>
                <w:kern w:val="0"/>
                <w:sz w:val="24"/>
              </w:rPr>
              <w:t>）表</w:t>
            </w:r>
            <w:r>
              <w:rPr>
                <w:kern w:val="0"/>
                <w:sz w:val="24"/>
              </w:rPr>
              <w:t>1</w:t>
            </w:r>
            <w:r>
              <w:rPr>
                <w:rFonts w:hint="eastAsia" w:ascii="宋体" w:hAnsi="宋体" w:cs="宋体"/>
                <w:kern w:val="0"/>
                <w:sz w:val="24"/>
              </w:rPr>
              <w:t>标准要求；机械尾气达标排放；施工期无废水外排；施工期选用低噪声、低振动的施工机械设备，合理安排施工时间，减少对周围敏感点噪声影响，施工期间固废妥善处置，施工期影响短，且随着施工期结束而终止。项目施工期排放的污染物不会对区域环境质量底线造成冲击。运营期本项目升压站产生的生活污水排入化粪池，后经一体化污水处理设施处置后用于站内绿化、道路泼洒；食堂油烟经油烟净化器处理后由专用排气筒排放；生活垃圾送当地环卫部门指定地点统一处理，废齿轮油、废变压油、事故废油、废铅蓄电池、含油废物等危险废物交由有资质单位处置。采取本环评提出的相关防治措施后，经分析可知，项目运营期排放的污染物不会对区域环境质量底线造成冲击。</w:t>
            </w:r>
          </w:p>
          <w:p w14:paraId="29D1D8BC">
            <w:pPr>
              <w:spacing w:line="480" w:lineRule="exact"/>
              <w:ind w:firstLine="480" w:firstLineChars="200"/>
              <w:rPr>
                <w:sz w:val="24"/>
              </w:rPr>
            </w:pPr>
            <w:r>
              <w:rPr>
                <w:rFonts w:hint="eastAsia"/>
                <w:sz w:val="24"/>
              </w:rPr>
              <w:t>（</w:t>
            </w:r>
            <w:r>
              <w:rPr>
                <w:sz w:val="24"/>
              </w:rPr>
              <w:t>3</w:t>
            </w:r>
            <w:r>
              <w:rPr>
                <w:rFonts w:hint="eastAsia"/>
                <w:sz w:val="24"/>
              </w:rPr>
              <w:t>）资源利用上线符合性分析</w:t>
            </w:r>
          </w:p>
          <w:p w14:paraId="203F6C0C">
            <w:pPr>
              <w:spacing w:line="480" w:lineRule="exact"/>
              <w:ind w:firstLine="480" w:firstLineChars="200"/>
              <w:rPr>
                <w:sz w:val="24"/>
              </w:rPr>
            </w:pPr>
            <w:r>
              <w:rPr>
                <w:sz w:val="24"/>
              </w:rPr>
              <w:t>本项目不属于高污染、高</w:t>
            </w:r>
            <w:r>
              <w:rPr>
                <w:rFonts w:hint="eastAsia"/>
                <w:sz w:val="24"/>
              </w:rPr>
              <w:t>耗能项目</w:t>
            </w:r>
            <w:r>
              <w:rPr>
                <w:sz w:val="24"/>
              </w:rPr>
              <w:t>。本项目</w:t>
            </w:r>
            <w:r>
              <w:rPr>
                <w:rFonts w:hint="eastAsia"/>
                <w:sz w:val="24"/>
              </w:rPr>
              <w:t>用水均为外购；</w:t>
            </w:r>
            <w:r>
              <w:rPr>
                <w:sz w:val="24"/>
              </w:rPr>
              <w:t>项目占地主要为农用地，</w:t>
            </w:r>
            <w:r>
              <w:rPr>
                <w:rFonts w:hint="eastAsia"/>
                <w:sz w:val="24"/>
              </w:rPr>
              <w:t>但</w:t>
            </w:r>
            <w:r>
              <w:rPr>
                <w:sz w:val="24"/>
              </w:rPr>
              <w:t>不占用永久基本农田，不在生态保护红线内</w:t>
            </w:r>
            <w:r>
              <w:rPr>
                <w:rFonts w:hint="eastAsia"/>
                <w:sz w:val="24"/>
              </w:rPr>
              <w:t>，经建设单位核实，项目无需进行节地评价，项目设计阶段已考虑尽可能节约占地</w:t>
            </w:r>
            <w:r>
              <w:rPr>
                <w:sz w:val="24"/>
              </w:rPr>
              <w:t>；</w:t>
            </w:r>
            <w:r>
              <w:rPr>
                <w:rFonts w:hint="eastAsia"/>
                <w:sz w:val="24"/>
              </w:rPr>
              <w:t>本</w:t>
            </w:r>
            <w:r>
              <w:rPr>
                <w:sz w:val="24"/>
              </w:rPr>
              <w:t>项目</w:t>
            </w:r>
            <w:r>
              <w:rPr>
                <w:rFonts w:hint="eastAsia"/>
                <w:sz w:val="24"/>
              </w:rPr>
              <w:t>为风电项目，实施后可通过风能发电并网使用，增大非化石能源占一次能源消费比重。项目资源消耗量相对区域资源利用总量较小，不会突破区域的资源利用上线。</w:t>
            </w:r>
          </w:p>
          <w:p w14:paraId="4CD5AB20">
            <w:pPr>
              <w:spacing w:line="480" w:lineRule="exact"/>
              <w:ind w:firstLine="480" w:firstLineChars="200"/>
              <w:rPr>
                <w:sz w:val="24"/>
              </w:rPr>
            </w:pPr>
            <w:r>
              <w:rPr>
                <w:rFonts w:hint="eastAsia"/>
                <w:sz w:val="24"/>
              </w:rPr>
              <w:t>（4）</w:t>
            </w:r>
            <w:r>
              <w:rPr>
                <w:sz w:val="24"/>
              </w:rPr>
              <w:t>环境准入负面清单</w:t>
            </w:r>
          </w:p>
          <w:p w14:paraId="24F2375F">
            <w:pPr>
              <w:spacing w:line="480" w:lineRule="exact"/>
              <w:ind w:firstLine="480" w:firstLineChars="200"/>
              <w:rPr>
                <w:sz w:val="24"/>
              </w:rPr>
            </w:pPr>
            <w:r>
              <w:rPr>
                <w:sz w:val="24"/>
              </w:rPr>
              <w:t>环境准入负面清单是基于生态保护红线、环境质量底线和资源利用上线，以清单方式列出的禁止、限制等差别化环境准入条件和要求。</w:t>
            </w:r>
          </w:p>
          <w:p w14:paraId="7557FC30">
            <w:pPr>
              <w:widowControl/>
              <w:spacing w:line="480" w:lineRule="exact"/>
              <w:ind w:firstLine="480" w:firstLineChars="200"/>
              <w:jc w:val="left"/>
              <w:rPr>
                <w:sz w:val="24"/>
              </w:rPr>
            </w:pPr>
            <w:r>
              <w:rPr>
                <w:sz w:val="24"/>
              </w:rPr>
              <w:t>根据《唐山市生态环境准入清单（2023年版）》，项目不在全市总体准入要求中列出的生态保护红线区、自然保护区、风景名胜区、森林公园、湿地公园、地质公园、水产种质资源保护区、自然文化遗产、湿地空间、饮用水地表水源保护区、饮用水地下水源保护区等区域，项目与唐山市生态环境准入清单总体管控要求符合性分析见下表。</w:t>
            </w:r>
          </w:p>
          <w:p w14:paraId="337CEEAC">
            <w:pPr>
              <w:tabs>
                <w:tab w:val="left" w:pos="1440"/>
                <w:tab w:val="left" w:pos="2627"/>
              </w:tabs>
              <w:adjustRightInd w:val="0"/>
              <w:snapToGrid w:val="0"/>
              <w:jc w:val="center"/>
              <w:outlineLvl w:val="4"/>
              <w:rPr>
                <w:b/>
              </w:rPr>
            </w:pPr>
            <w:r>
              <w:rPr>
                <w:b/>
              </w:rPr>
              <w:t>表1-</w:t>
            </w:r>
            <w:r>
              <w:rPr>
                <w:rFonts w:hint="eastAsia"/>
                <w:b/>
              </w:rPr>
              <w:t>2</w:t>
            </w:r>
            <w:r>
              <w:rPr>
                <w:b/>
              </w:rPr>
              <w:t xml:space="preserve">   项目与唐山市生态环境准入清单总体管控要求符合性分析</w:t>
            </w:r>
          </w:p>
          <w:tbl>
            <w:tblPr>
              <w:tblStyle w:val="32"/>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3"/>
              <w:gridCol w:w="196"/>
              <w:gridCol w:w="259"/>
              <w:gridCol w:w="259"/>
              <w:gridCol w:w="3835"/>
              <w:gridCol w:w="1551"/>
              <w:gridCol w:w="500"/>
            </w:tblGrid>
            <w:tr w14:paraId="08F57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Align w:val="center"/>
                </w:tcPr>
                <w:p w14:paraId="09C2B03A">
                  <w:pPr>
                    <w:adjustRightInd w:val="0"/>
                    <w:jc w:val="center"/>
                    <w:textAlignment w:val="baseline"/>
                    <w:rPr>
                      <w:kern w:val="0"/>
                      <w:szCs w:val="21"/>
                    </w:rPr>
                  </w:pPr>
                  <w:r>
                    <w:rPr>
                      <w:kern w:val="0"/>
                      <w:szCs w:val="21"/>
                    </w:rPr>
                    <w:t>要素属性</w:t>
                  </w:r>
                </w:p>
              </w:tc>
              <w:tc>
                <w:tcPr>
                  <w:tcW w:w="597" w:type="dxa"/>
                  <w:gridSpan w:val="2"/>
                  <w:vAlign w:val="center"/>
                </w:tcPr>
                <w:p w14:paraId="1B8D3F17">
                  <w:pPr>
                    <w:adjustRightInd w:val="0"/>
                    <w:jc w:val="center"/>
                    <w:textAlignment w:val="baseline"/>
                    <w:rPr>
                      <w:kern w:val="0"/>
                      <w:szCs w:val="21"/>
                    </w:rPr>
                  </w:pPr>
                  <w:r>
                    <w:rPr>
                      <w:kern w:val="0"/>
                      <w:szCs w:val="21"/>
                    </w:rPr>
                    <w:t>管控类别</w:t>
                  </w:r>
                </w:p>
              </w:tc>
              <w:tc>
                <w:tcPr>
                  <w:tcW w:w="4491" w:type="dxa"/>
                  <w:vAlign w:val="center"/>
                </w:tcPr>
                <w:p w14:paraId="12704D5D">
                  <w:pPr>
                    <w:adjustRightInd w:val="0"/>
                    <w:jc w:val="center"/>
                    <w:textAlignment w:val="baseline"/>
                    <w:rPr>
                      <w:kern w:val="0"/>
                      <w:szCs w:val="21"/>
                    </w:rPr>
                  </w:pPr>
                  <w:r>
                    <w:rPr>
                      <w:kern w:val="0"/>
                      <w:szCs w:val="21"/>
                    </w:rPr>
                    <w:t>管控要求</w:t>
                  </w:r>
                </w:p>
              </w:tc>
              <w:tc>
                <w:tcPr>
                  <w:tcW w:w="1813" w:type="dxa"/>
                  <w:vAlign w:val="center"/>
                </w:tcPr>
                <w:p w14:paraId="3775CD9F">
                  <w:pPr>
                    <w:adjustRightInd w:val="0"/>
                    <w:jc w:val="center"/>
                    <w:textAlignment w:val="baseline"/>
                    <w:rPr>
                      <w:kern w:val="0"/>
                      <w:szCs w:val="21"/>
                    </w:rPr>
                  </w:pPr>
                  <w:r>
                    <w:rPr>
                      <w:kern w:val="0"/>
                      <w:szCs w:val="21"/>
                    </w:rPr>
                    <w:t>项目情况</w:t>
                  </w:r>
                </w:p>
              </w:tc>
              <w:tc>
                <w:tcPr>
                  <w:tcW w:w="579" w:type="dxa"/>
                  <w:vAlign w:val="center"/>
                </w:tcPr>
                <w:p w14:paraId="5F5AABB6">
                  <w:pPr>
                    <w:adjustRightInd w:val="0"/>
                    <w:jc w:val="center"/>
                    <w:textAlignment w:val="baseline"/>
                    <w:rPr>
                      <w:kern w:val="0"/>
                      <w:szCs w:val="21"/>
                    </w:rPr>
                  </w:pPr>
                  <w:r>
                    <w:rPr>
                      <w:kern w:val="0"/>
                      <w:szCs w:val="21"/>
                    </w:rPr>
                    <w:t>符合性结果</w:t>
                  </w:r>
                </w:p>
              </w:tc>
            </w:tr>
            <w:tr w14:paraId="2AEB6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70FCDA6F">
                  <w:pPr>
                    <w:adjustRightInd w:val="0"/>
                    <w:jc w:val="center"/>
                    <w:textAlignment w:val="baseline"/>
                    <w:rPr>
                      <w:kern w:val="0"/>
                      <w:szCs w:val="21"/>
                    </w:rPr>
                  </w:pPr>
                  <w:r>
                    <w:rPr>
                      <w:kern w:val="0"/>
                      <w:szCs w:val="21"/>
                    </w:rPr>
                    <w:t>一般生态空间</w:t>
                  </w:r>
                </w:p>
              </w:tc>
              <w:tc>
                <w:tcPr>
                  <w:tcW w:w="298" w:type="dxa"/>
                  <w:vMerge w:val="restart"/>
                  <w:vAlign w:val="center"/>
                </w:tcPr>
                <w:p w14:paraId="2D5BF46F">
                  <w:pPr>
                    <w:adjustRightInd w:val="0"/>
                    <w:jc w:val="center"/>
                    <w:textAlignment w:val="baseline"/>
                    <w:rPr>
                      <w:kern w:val="0"/>
                      <w:szCs w:val="21"/>
                    </w:rPr>
                  </w:pPr>
                  <w:r>
                    <w:rPr>
                      <w:kern w:val="0"/>
                      <w:szCs w:val="21"/>
                    </w:rPr>
                    <w:t>总体要求</w:t>
                  </w:r>
                </w:p>
              </w:tc>
              <w:tc>
                <w:tcPr>
                  <w:tcW w:w="299" w:type="dxa"/>
                  <w:vMerge w:val="restart"/>
                  <w:vAlign w:val="center"/>
                </w:tcPr>
                <w:p w14:paraId="23BAC208">
                  <w:pPr>
                    <w:adjustRightInd w:val="0"/>
                    <w:jc w:val="center"/>
                    <w:textAlignment w:val="baseline"/>
                    <w:rPr>
                      <w:kern w:val="0"/>
                      <w:szCs w:val="21"/>
                    </w:rPr>
                  </w:pPr>
                  <w:r>
                    <w:rPr>
                      <w:kern w:val="0"/>
                      <w:szCs w:val="21"/>
                    </w:rPr>
                    <w:t>空间布局约束</w:t>
                  </w:r>
                </w:p>
              </w:tc>
              <w:tc>
                <w:tcPr>
                  <w:tcW w:w="4491" w:type="dxa"/>
                  <w:vAlign w:val="center"/>
                </w:tcPr>
                <w:p w14:paraId="1EA018A6">
                  <w:pPr>
                    <w:adjustRightInd w:val="0"/>
                    <w:textAlignment w:val="baseline"/>
                    <w:rPr>
                      <w:kern w:val="0"/>
                      <w:szCs w:val="21"/>
                    </w:rPr>
                  </w:pPr>
                  <w:r>
                    <w:rPr>
                      <w:kern w:val="0"/>
                      <w:szCs w:val="21"/>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r>
                    <w:rPr>
                      <w:rFonts w:hint="eastAsia"/>
                      <w:kern w:val="0"/>
                      <w:szCs w:val="21"/>
                    </w:rPr>
                    <w:t>。</w:t>
                  </w:r>
                </w:p>
              </w:tc>
              <w:tc>
                <w:tcPr>
                  <w:tcW w:w="1813" w:type="dxa"/>
                  <w:vAlign w:val="center"/>
                </w:tcPr>
                <w:p w14:paraId="7806E087">
                  <w:pPr>
                    <w:adjustRightInd w:val="0"/>
                    <w:jc w:val="center"/>
                    <w:textAlignment w:val="baseline"/>
                    <w:rPr>
                      <w:kern w:val="0"/>
                      <w:szCs w:val="21"/>
                    </w:rPr>
                  </w:pPr>
                  <w:r>
                    <w:rPr>
                      <w:kern w:val="0"/>
                      <w:szCs w:val="21"/>
                    </w:rPr>
                    <w:t>本项目不属于严重污染环境、严重破坏区域生态、严重浪费资源能源的产业，不属于破坏资源、污染环境和损害生态系统功能的项目</w:t>
                  </w:r>
                </w:p>
              </w:tc>
              <w:tc>
                <w:tcPr>
                  <w:tcW w:w="579" w:type="dxa"/>
                  <w:vMerge w:val="restart"/>
                  <w:vAlign w:val="center"/>
                </w:tcPr>
                <w:p w14:paraId="444EFCA1">
                  <w:pPr>
                    <w:adjustRightInd w:val="0"/>
                    <w:jc w:val="center"/>
                    <w:textAlignment w:val="baseline"/>
                    <w:rPr>
                      <w:kern w:val="0"/>
                      <w:szCs w:val="21"/>
                    </w:rPr>
                  </w:pPr>
                  <w:r>
                    <w:rPr>
                      <w:kern w:val="0"/>
                      <w:szCs w:val="21"/>
                    </w:rPr>
                    <w:t>符合</w:t>
                  </w:r>
                </w:p>
              </w:tc>
            </w:tr>
            <w:tr w14:paraId="69103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010CBDE2">
                  <w:pPr>
                    <w:adjustRightInd w:val="0"/>
                    <w:jc w:val="center"/>
                    <w:textAlignment w:val="baseline"/>
                    <w:rPr>
                      <w:kern w:val="0"/>
                      <w:szCs w:val="21"/>
                    </w:rPr>
                  </w:pPr>
                </w:p>
              </w:tc>
              <w:tc>
                <w:tcPr>
                  <w:tcW w:w="298" w:type="dxa"/>
                  <w:vMerge w:val="continue"/>
                  <w:vAlign w:val="center"/>
                </w:tcPr>
                <w:p w14:paraId="30842CB4">
                  <w:pPr>
                    <w:adjustRightInd w:val="0"/>
                    <w:jc w:val="center"/>
                    <w:textAlignment w:val="baseline"/>
                    <w:rPr>
                      <w:kern w:val="0"/>
                      <w:szCs w:val="21"/>
                    </w:rPr>
                  </w:pPr>
                </w:p>
              </w:tc>
              <w:tc>
                <w:tcPr>
                  <w:tcW w:w="299" w:type="dxa"/>
                  <w:vMerge w:val="continue"/>
                  <w:vAlign w:val="center"/>
                </w:tcPr>
                <w:p w14:paraId="735E2666">
                  <w:pPr>
                    <w:adjustRightInd w:val="0"/>
                    <w:jc w:val="center"/>
                    <w:textAlignment w:val="baseline"/>
                    <w:rPr>
                      <w:kern w:val="0"/>
                      <w:szCs w:val="21"/>
                    </w:rPr>
                  </w:pPr>
                </w:p>
              </w:tc>
              <w:tc>
                <w:tcPr>
                  <w:tcW w:w="4491" w:type="dxa"/>
                  <w:vAlign w:val="center"/>
                </w:tcPr>
                <w:p w14:paraId="4D28F11C">
                  <w:pPr>
                    <w:adjustRightInd w:val="0"/>
                    <w:textAlignment w:val="baseline"/>
                    <w:rPr>
                      <w:kern w:val="0"/>
                      <w:szCs w:val="21"/>
                    </w:rPr>
                  </w:pPr>
                  <w:r>
                    <w:rPr>
                      <w:kern w:val="0"/>
                      <w:szCs w:val="21"/>
                    </w:rPr>
                    <w:t>6、严格控制新增建设占用生态保护红线外的生态空间。符合区域准入条件的建设项目，涉及占用生态空间中的林地、草原等，按有关法律法规规定办理；涉及占用生态空间中其他未作明确规定的用地，应当加强论证和管理</w:t>
                  </w:r>
                  <w:r>
                    <w:rPr>
                      <w:rFonts w:hint="eastAsia"/>
                      <w:kern w:val="0"/>
                      <w:szCs w:val="21"/>
                    </w:rPr>
                    <w:t>。</w:t>
                  </w:r>
                </w:p>
              </w:tc>
              <w:tc>
                <w:tcPr>
                  <w:tcW w:w="1813" w:type="dxa"/>
                  <w:vAlign w:val="center"/>
                </w:tcPr>
                <w:p w14:paraId="2D96D3FC">
                  <w:pPr>
                    <w:adjustRightInd w:val="0"/>
                    <w:jc w:val="center"/>
                    <w:textAlignment w:val="baseline"/>
                    <w:rPr>
                      <w:kern w:val="0"/>
                      <w:szCs w:val="21"/>
                    </w:rPr>
                  </w:pPr>
                  <w:r>
                    <w:rPr>
                      <w:kern w:val="0"/>
                      <w:szCs w:val="21"/>
                    </w:rPr>
                    <w:t>项目占地不涉及生态保护红线，符合区域准入条件</w:t>
                  </w:r>
                </w:p>
              </w:tc>
              <w:tc>
                <w:tcPr>
                  <w:tcW w:w="579" w:type="dxa"/>
                  <w:vMerge w:val="continue"/>
                  <w:vAlign w:val="center"/>
                </w:tcPr>
                <w:p w14:paraId="5C28930E">
                  <w:pPr>
                    <w:adjustRightInd w:val="0"/>
                    <w:jc w:val="center"/>
                    <w:textAlignment w:val="baseline"/>
                    <w:rPr>
                      <w:kern w:val="0"/>
                      <w:szCs w:val="21"/>
                    </w:rPr>
                  </w:pPr>
                </w:p>
              </w:tc>
            </w:tr>
            <w:tr w14:paraId="5D48D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2268BA56">
                  <w:pPr>
                    <w:adjustRightInd w:val="0"/>
                    <w:jc w:val="center"/>
                    <w:textAlignment w:val="baseline"/>
                    <w:rPr>
                      <w:kern w:val="0"/>
                      <w:szCs w:val="21"/>
                    </w:rPr>
                  </w:pPr>
                </w:p>
              </w:tc>
              <w:tc>
                <w:tcPr>
                  <w:tcW w:w="298" w:type="dxa"/>
                  <w:vMerge w:val="restart"/>
                  <w:vAlign w:val="center"/>
                </w:tcPr>
                <w:p w14:paraId="5173BDF1">
                  <w:pPr>
                    <w:adjustRightInd w:val="0"/>
                    <w:jc w:val="center"/>
                    <w:textAlignment w:val="baseline"/>
                    <w:rPr>
                      <w:kern w:val="0"/>
                      <w:szCs w:val="21"/>
                    </w:rPr>
                  </w:pPr>
                  <w:r>
                    <w:rPr>
                      <w:rFonts w:hint="eastAsia"/>
                      <w:kern w:val="0"/>
                      <w:szCs w:val="21"/>
                    </w:rPr>
                    <w:t>水源涵养</w:t>
                  </w:r>
                </w:p>
              </w:tc>
              <w:tc>
                <w:tcPr>
                  <w:tcW w:w="299" w:type="dxa"/>
                  <w:vMerge w:val="restart"/>
                  <w:vAlign w:val="center"/>
                </w:tcPr>
                <w:p w14:paraId="11243B5B">
                  <w:pPr>
                    <w:adjustRightInd w:val="0"/>
                    <w:jc w:val="center"/>
                    <w:textAlignment w:val="baseline"/>
                    <w:rPr>
                      <w:kern w:val="0"/>
                      <w:szCs w:val="21"/>
                    </w:rPr>
                  </w:pPr>
                  <w:r>
                    <w:rPr>
                      <w:kern w:val="0"/>
                      <w:szCs w:val="21"/>
                    </w:rPr>
                    <w:t>空间布局约束</w:t>
                  </w:r>
                </w:p>
              </w:tc>
              <w:tc>
                <w:tcPr>
                  <w:tcW w:w="4491" w:type="dxa"/>
                  <w:vAlign w:val="center"/>
                </w:tcPr>
                <w:p w14:paraId="11E95E66">
                  <w:pPr>
                    <w:adjustRightInd w:val="0"/>
                    <w:textAlignment w:val="baseline"/>
                    <w:rPr>
                      <w:kern w:val="0"/>
                      <w:szCs w:val="21"/>
                    </w:rPr>
                  </w:pPr>
                  <w:r>
                    <w:rPr>
                      <w:kern w:val="0"/>
                      <w:szCs w:val="21"/>
                    </w:rPr>
                    <w:t>1</w:t>
                  </w:r>
                  <w:r>
                    <w:rPr>
                      <w:rFonts w:hint="eastAsia"/>
                      <w:kern w:val="0"/>
                      <w:szCs w:val="21"/>
                    </w:rPr>
                    <w:t>、禁止各种损害生态系统水源涵养功能的经济社会活动和生产方式，如无序采矿、毁林开荒、湿地和草地开垦、过度放牧、道路建设等。</w:t>
                  </w:r>
                </w:p>
              </w:tc>
              <w:tc>
                <w:tcPr>
                  <w:tcW w:w="1813" w:type="dxa"/>
                  <w:vAlign w:val="center"/>
                </w:tcPr>
                <w:p w14:paraId="4A5BECF9">
                  <w:pPr>
                    <w:adjustRightInd w:val="0"/>
                    <w:jc w:val="center"/>
                    <w:textAlignment w:val="baseline"/>
                    <w:rPr>
                      <w:kern w:val="0"/>
                      <w:szCs w:val="21"/>
                    </w:rPr>
                  </w:pPr>
                  <w:r>
                    <w:rPr>
                      <w:rFonts w:hint="eastAsia"/>
                      <w:kern w:val="0"/>
                      <w:szCs w:val="21"/>
                    </w:rPr>
                    <w:t>本项目不属于损害生态系统水源涵养功能的经济社会活动和生产方式</w:t>
                  </w:r>
                </w:p>
              </w:tc>
              <w:tc>
                <w:tcPr>
                  <w:tcW w:w="579" w:type="dxa"/>
                  <w:vMerge w:val="restart"/>
                  <w:vAlign w:val="center"/>
                </w:tcPr>
                <w:p w14:paraId="6DBE38F9">
                  <w:pPr>
                    <w:adjustRightInd w:val="0"/>
                    <w:jc w:val="center"/>
                    <w:textAlignment w:val="baseline"/>
                    <w:rPr>
                      <w:kern w:val="0"/>
                      <w:szCs w:val="21"/>
                    </w:rPr>
                  </w:pPr>
                  <w:r>
                    <w:rPr>
                      <w:rFonts w:hint="eastAsia"/>
                      <w:kern w:val="0"/>
                      <w:szCs w:val="21"/>
                    </w:rPr>
                    <w:t>符合</w:t>
                  </w:r>
                </w:p>
              </w:tc>
            </w:tr>
            <w:tr w14:paraId="29666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5DC40167">
                  <w:pPr>
                    <w:adjustRightInd w:val="0"/>
                    <w:jc w:val="center"/>
                    <w:textAlignment w:val="baseline"/>
                    <w:rPr>
                      <w:kern w:val="0"/>
                      <w:szCs w:val="21"/>
                    </w:rPr>
                  </w:pPr>
                </w:p>
              </w:tc>
              <w:tc>
                <w:tcPr>
                  <w:tcW w:w="298" w:type="dxa"/>
                  <w:vMerge w:val="continue"/>
                  <w:vAlign w:val="center"/>
                </w:tcPr>
                <w:p w14:paraId="5644E04A">
                  <w:pPr>
                    <w:adjustRightInd w:val="0"/>
                    <w:jc w:val="center"/>
                    <w:textAlignment w:val="baseline"/>
                    <w:rPr>
                      <w:kern w:val="0"/>
                      <w:szCs w:val="21"/>
                    </w:rPr>
                  </w:pPr>
                </w:p>
              </w:tc>
              <w:tc>
                <w:tcPr>
                  <w:tcW w:w="299" w:type="dxa"/>
                  <w:vMerge w:val="continue"/>
                  <w:vAlign w:val="center"/>
                </w:tcPr>
                <w:p w14:paraId="2141D9FA">
                  <w:pPr>
                    <w:adjustRightInd w:val="0"/>
                    <w:jc w:val="center"/>
                    <w:textAlignment w:val="baseline"/>
                    <w:rPr>
                      <w:kern w:val="0"/>
                      <w:szCs w:val="21"/>
                    </w:rPr>
                  </w:pPr>
                </w:p>
              </w:tc>
              <w:tc>
                <w:tcPr>
                  <w:tcW w:w="4491" w:type="dxa"/>
                  <w:vAlign w:val="center"/>
                </w:tcPr>
                <w:p w14:paraId="3FA4CE98">
                  <w:pPr>
                    <w:adjustRightInd w:val="0"/>
                    <w:textAlignment w:val="baseline"/>
                    <w:rPr>
                      <w:kern w:val="0"/>
                      <w:szCs w:val="21"/>
                    </w:rPr>
                  </w:pPr>
                  <w:r>
                    <w:rPr>
                      <w:kern w:val="0"/>
                      <w:szCs w:val="21"/>
                    </w:rPr>
                    <w:t>2</w:t>
                  </w:r>
                  <w:r>
                    <w:rPr>
                      <w:rFonts w:hint="eastAsia"/>
                      <w:kern w:val="0"/>
                      <w:szCs w:val="21"/>
                    </w:rPr>
                    <w:t>、禁止导致水体污染的产业发展，开展生态清洁小流域的建设。</w:t>
                  </w:r>
                </w:p>
              </w:tc>
              <w:tc>
                <w:tcPr>
                  <w:tcW w:w="1813" w:type="dxa"/>
                  <w:vAlign w:val="center"/>
                </w:tcPr>
                <w:p w14:paraId="25DC743F">
                  <w:pPr>
                    <w:adjustRightInd w:val="0"/>
                    <w:jc w:val="center"/>
                    <w:textAlignment w:val="baseline"/>
                    <w:rPr>
                      <w:kern w:val="0"/>
                      <w:szCs w:val="21"/>
                    </w:rPr>
                  </w:pPr>
                  <w:r>
                    <w:rPr>
                      <w:rFonts w:hint="eastAsia"/>
                      <w:kern w:val="0"/>
                      <w:szCs w:val="21"/>
                    </w:rPr>
                    <w:t>本项目施工期及运营期均无废水排放</w:t>
                  </w:r>
                </w:p>
              </w:tc>
              <w:tc>
                <w:tcPr>
                  <w:tcW w:w="579" w:type="dxa"/>
                  <w:vMerge w:val="continue"/>
                  <w:vAlign w:val="center"/>
                </w:tcPr>
                <w:p w14:paraId="6300277A">
                  <w:pPr>
                    <w:adjustRightInd w:val="0"/>
                    <w:jc w:val="center"/>
                    <w:textAlignment w:val="baseline"/>
                    <w:rPr>
                      <w:kern w:val="0"/>
                      <w:szCs w:val="21"/>
                    </w:rPr>
                  </w:pPr>
                </w:p>
              </w:tc>
            </w:tr>
            <w:tr w14:paraId="1B180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625B3E3E">
                  <w:pPr>
                    <w:adjustRightInd w:val="0"/>
                    <w:jc w:val="center"/>
                    <w:textAlignment w:val="baseline"/>
                    <w:rPr>
                      <w:kern w:val="0"/>
                      <w:szCs w:val="21"/>
                    </w:rPr>
                  </w:pPr>
                  <w:r>
                    <w:rPr>
                      <w:kern w:val="0"/>
                      <w:szCs w:val="21"/>
                    </w:rPr>
                    <w:t>大气环境</w:t>
                  </w:r>
                </w:p>
              </w:tc>
              <w:tc>
                <w:tcPr>
                  <w:tcW w:w="597" w:type="dxa"/>
                  <w:gridSpan w:val="2"/>
                  <w:vAlign w:val="center"/>
                </w:tcPr>
                <w:p w14:paraId="561C9E9A">
                  <w:pPr>
                    <w:adjustRightInd w:val="0"/>
                    <w:jc w:val="center"/>
                    <w:textAlignment w:val="baseline"/>
                    <w:rPr>
                      <w:kern w:val="0"/>
                      <w:szCs w:val="21"/>
                    </w:rPr>
                  </w:pPr>
                  <w:r>
                    <w:rPr>
                      <w:kern w:val="0"/>
                      <w:szCs w:val="21"/>
                    </w:rPr>
                    <w:t>空间布局约束</w:t>
                  </w:r>
                </w:p>
              </w:tc>
              <w:tc>
                <w:tcPr>
                  <w:tcW w:w="4491" w:type="dxa"/>
                  <w:vAlign w:val="center"/>
                </w:tcPr>
                <w:p w14:paraId="26866D74">
                  <w:pPr>
                    <w:adjustRightInd w:val="0"/>
                    <w:textAlignment w:val="baseline"/>
                    <w:rPr>
                      <w:kern w:val="0"/>
                      <w:szCs w:val="21"/>
                    </w:rPr>
                  </w:pPr>
                  <w:r>
                    <w:rPr>
                      <w:rFonts w:hint="eastAsia"/>
                      <w:kern w:val="0"/>
                      <w:szCs w:val="21"/>
                    </w:rPr>
                    <w:t>2、</w:t>
                  </w:r>
                  <w:r>
                    <w:rPr>
                      <w:kern w:val="0"/>
                      <w:szCs w:val="21"/>
                    </w:rPr>
                    <w:t>严禁违规新增钢铁、焦化、水泥、平板玻璃</w:t>
                  </w:r>
                  <w:r>
                    <w:rPr>
                      <w:rFonts w:hint="eastAsia"/>
                      <w:kern w:val="0"/>
                      <w:szCs w:val="21"/>
                    </w:rPr>
                    <w:t>等</w:t>
                  </w:r>
                  <w:r>
                    <w:rPr>
                      <w:kern w:val="0"/>
                      <w:szCs w:val="21"/>
                    </w:rPr>
                    <w:t>产能，</w:t>
                  </w:r>
                  <w:r>
                    <w:rPr>
                      <w:rFonts w:hint="eastAsia"/>
                      <w:kern w:val="0"/>
                      <w:szCs w:val="21"/>
                    </w:rPr>
                    <w:t>依法推动独立焦化、独立石灰、独立球团逐步退出。</w:t>
                  </w:r>
                </w:p>
              </w:tc>
              <w:tc>
                <w:tcPr>
                  <w:tcW w:w="1813" w:type="dxa"/>
                  <w:vAlign w:val="center"/>
                </w:tcPr>
                <w:p w14:paraId="66380369">
                  <w:pPr>
                    <w:adjustRightInd w:val="0"/>
                    <w:jc w:val="center"/>
                    <w:textAlignment w:val="baseline"/>
                    <w:rPr>
                      <w:kern w:val="0"/>
                      <w:szCs w:val="21"/>
                    </w:rPr>
                  </w:pPr>
                  <w:r>
                    <w:rPr>
                      <w:kern w:val="0"/>
                      <w:szCs w:val="21"/>
                    </w:rPr>
                    <w:t>本项目属于</w:t>
                  </w:r>
                  <w:r>
                    <w:rPr>
                      <w:rFonts w:hint="eastAsia"/>
                      <w:kern w:val="0"/>
                      <w:szCs w:val="21"/>
                    </w:rPr>
                    <w:t>风电项目</w:t>
                  </w:r>
                  <w:r>
                    <w:rPr>
                      <w:kern w:val="0"/>
                      <w:szCs w:val="21"/>
                    </w:rPr>
                    <w:t>，不属于上述严禁违规新增产能的行业</w:t>
                  </w:r>
                </w:p>
              </w:tc>
              <w:tc>
                <w:tcPr>
                  <w:tcW w:w="579" w:type="dxa"/>
                  <w:vAlign w:val="center"/>
                </w:tcPr>
                <w:p w14:paraId="200AE22E">
                  <w:pPr>
                    <w:adjustRightInd w:val="0"/>
                    <w:jc w:val="center"/>
                    <w:textAlignment w:val="baseline"/>
                    <w:rPr>
                      <w:kern w:val="0"/>
                      <w:szCs w:val="21"/>
                    </w:rPr>
                  </w:pPr>
                  <w:r>
                    <w:rPr>
                      <w:kern w:val="0"/>
                      <w:szCs w:val="21"/>
                    </w:rPr>
                    <w:t>符合</w:t>
                  </w:r>
                </w:p>
              </w:tc>
            </w:tr>
            <w:tr w14:paraId="12B51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1C66D1D4">
                  <w:pPr>
                    <w:adjustRightInd w:val="0"/>
                    <w:jc w:val="center"/>
                    <w:textAlignment w:val="baseline"/>
                    <w:rPr>
                      <w:kern w:val="0"/>
                      <w:szCs w:val="21"/>
                    </w:rPr>
                  </w:pPr>
                </w:p>
              </w:tc>
              <w:tc>
                <w:tcPr>
                  <w:tcW w:w="597" w:type="dxa"/>
                  <w:gridSpan w:val="2"/>
                  <w:vMerge w:val="restart"/>
                  <w:vAlign w:val="center"/>
                </w:tcPr>
                <w:p w14:paraId="7B697F92">
                  <w:pPr>
                    <w:adjustRightInd w:val="0"/>
                    <w:jc w:val="center"/>
                    <w:textAlignment w:val="baseline"/>
                    <w:rPr>
                      <w:kern w:val="0"/>
                      <w:szCs w:val="21"/>
                    </w:rPr>
                  </w:pPr>
                  <w:r>
                    <w:rPr>
                      <w:kern w:val="0"/>
                      <w:szCs w:val="21"/>
                    </w:rPr>
                    <w:t>污染物排放管控</w:t>
                  </w:r>
                </w:p>
              </w:tc>
              <w:tc>
                <w:tcPr>
                  <w:tcW w:w="4491" w:type="dxa"/>
                  <w:vAlign w:val="center"/>
                </w:tcPr>
                <w:p w14:paraId="0F19721B">
                  <w:pPr>
                    <w:adjustRightInd w:val="0"/>
                    <w:textAlignment w:val="baseline"/>
                    <w:rPr>
                      <w:kern w:val="0"/>
                      <w:szCs w:val="21"/>
                    </w:rPr>
                  </w:pPr>
                  <w:r>
                    <w:rPr>
                      <w:kern w:val="0"/>
                      <w:szCs w:val="21"/>
                    </w:rPr>
                    <w:t>1、细颗粒物</w:t>
                  </w:r>
                  <w:r>
                    <w:rPr>
                      <w:rFonts w:hint="eastAsia"/>
                      <w:kern w:val="0"/>
                      <w:szCs w:val="21"/>
                    </w:rPr>
                    <w:t>（</w:t>
                  </w:r>
                  <w:r>
                    <w:rPr>
                      <w:kern w:val="0"/>
                      <w:szCs w:val="21"/>
                    </w:rPr>
                    <w:t>PM</w:t>
                  </w:r>
                  <w:r>
                    <w:rPr>
                      <w:kern w:val="0"/>
                      <w:szCs w:val="21"/>
                      <w:vertAlign w:val="subscript"/>
                    </w:rPr>
                    <w:t>2.5</w:t>
                  </w:r>
                  <w:r>
                    <w:rPr>
                      <w:rFonts w:hint="eastAsia"/>
                      <w:kern w:val="0"/>
                      <w:szCs w:val="21"/>
                    </w:rPr>
                    <w:t>）</w:t>
                  </w:r>
                  <w:r>
                    <w:rPr>
                      <w:kern w:val="0"/>
                      <w:szCs w:val="21"/>
                    </w:rPr>
                    <w:t>年平均浓度不达标的城市，二氧化硫、氮氧化物、烟粉尘、挥发性有机物四项污染物均需进行2倍削减替代</w:t>
                  </w:r>
                  <w:r>
                    <w:rPr>
                      <w:rFonts w:hint="eastAsia"/>
                      <w:kern w:val="0"/>
                      <w:szCs w:val="21"/>
                    </w:rPr>
                    <w:t>（</w:t>
                  </w:r>
                  <w:r>
                    <w:rPr>
                      <w:kern w:val="0"/>
                      <w:szCs w:val="21"/>
                    </w:rPr>
                    <w:t>燃煤发电机组大气污染物排放浓度基本达到燃气轮机组排放限值的除外</w:t>
                  </w:r>
                  <w:r>
                    <w:rPr>
                      <w:rFonts w:hint="eastAsia"/>
                      <w:kern w:val="0"/>
                      <w:szCs w:val="21"/>
                    </w:rPr>
                    <w:t>）。</w:t>
                  </w:r>
                </w:p>
              </w:tc>
              <w:tc>
                <w:tcPr>
                  <w:tcW w:w="1813" w:type="dxa"/>
                  <w:vAlign w:val="center"/>
                </w:tcPr>
                <w:p w14:paraId="3DB9BADC">
                  <w:pPr>
                    <w:adjustRightInd w:val="0"/>
                    <w:jc w:val="center"/>
                    <w:textAlignment w:val="baseline"/>
                    <w:rPr>
                      <w:kern w:val="0"/>
                      <w:szCs w:val="21"/>
                    </w:rPr>
                  </w:pPr>
                  <w:r>
                    <w:rPr>
                      <w:kern w:val="0"/>
                      <w:szCs w:val="21"/>
                    </w:rPr>
                    <w:t>本项目</w:t>
                  </w:r>
                  <w:r>
                    <w:rPr>
                      <w:rFonts w:hint="eastAsia"/>
                      <w:kern w:val="0"/>
                      <w:szCs w:val="21"/>
                    </w:rPr>
                    <w:t>运营期不</w:t>
                  </w:r>
                  <w:r>
                    <w:rPr>
                      <w:kern w:val="0"/>
                      <w:szCs w:val="21"/>
                    </w:rPr>
                    <w:t>涉及</w:t>
                  </w:r>
                  <w:r>
                    <w:rPr>
                      <w:rFonts w:hint="eastAsia"/>
                      <w:kern w:val="0"/>
                      <w:szCs w:val="21"/>
                    </w:rPr>
                    <w:t>颗粒物、</w:t>
                  </w:r>
                  <w:r>
                    <w:rPr>
                      <w:kern w:val="0"/>
                      <w:szCs w:val="21"/>
                    </w:rPr>
                    <w:t>二氧化硫、氮氧化物、</w:t>
                  </w:r>
                  <w:r>
                    <w:rPr>
                      <w:rFonts w:hint="eastAsia"/>
                      <w:kern w:val="0"/>
                      <w:szCs w:val="21"/>
                    </w:rPr>
                    <w:t>挥发性有机物等污染物排放</w:t>
                  </w:r>
                </w:p>
              </w:tc>
              <w:tc>
                <w:tcPr>
                  <w:tcW w:w="579" w:type="dxa"/>
                  <w:vMerge w:val="restart"/>
                  <w:vAlign w:val="center"/>
                </w:tcPr>
                <w:p w14:paraId="4E6D6F14">
                  <w:pPr>
                    <w:adjustRightInd w:val="0"/>
                    <w:jc w:val="center"/>
                    <w:textAlignment w:val="baseline"/>
                    <w:rPr>
                      <w:kern w:val="0"/>
                      <w:szCs w:val="21"/>
                    </w:rPr>
                  </w:pPr>
                  <w:r>
                    <w:rPr>
                      <w:kern w:val="0"/>
                      <w:szCs w:val="21"/>
                    </w:rPr>
                    <w:t>符合</w:t>
                  </w:r>
                </w:p>
              </w:tc>
            </w:tr>
            <w:tr w14:paraId="1247E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3305306D">
                  <w:pPr>
                    <w:adjustRightInd w:val="0"/>
                    <w:jc w:val="center"/>
                    <w:textAlignment w:val="baseline"/>
                    <w:rPr>
                      <w:kern w:val="0"/>
                      <w:szCs w:val="21"/>
                    </w:rPr>
                  </w:pPr>
                </w:p>
              </w:tc>
              <w:tc>
                <w:tcPr>
                  <w:tcW w:w="597" w:type="dxa"/>
                  <w:gridSpan w:val="2"/>
                  <w:vMerge w:val="continue"/>
                  <w:vAlign w:val="center"/>
                </w:tcPr>
                <w:p w14:paraId="51EE8905">
                  <w:pPr>
                    <w:adjustRightInd w:val="0"/>
                    <w:jc w:val="center"/>
                    <w:textAlignment w:val="baseline"/>
                    <w:rPr>
                      <w:kern w:val="0"/>
                      <w:szCs w:val="21"/>
                    </w:rPr>
                  </w:pPr>
                </w:p>
              </w:tc>
              <w:tc>
                <w:tcPr>
                  <w:tcW w:w="4491" w:type="dxa"/>
                  <w:vAlign w:val="center"/>
                </w:tcPr>
                <w:p w14:paraId="25707586">
                  <w:pPr>
                    <w:adjustRightInd w:val="0"/>
                    <w:textAlignment w:val="baseline"/>
                    <w:rPr>
                      <w:kern w:val="0"/>
                      <w:szCs w:val="21"/>
                    </w:rPr>
                  </w:pPr>
                  <w:r>
                    <w:rPr>
                      <w:kern w:val="0"/>
                      <w:szCs w:val="21"/>
                    </w:rPr>
                    <w:t>8</w:t>
                  </w:r>
                  <w:r>
                    <w:rPr>
                      <w:rFonts w:hint="eastAsia"/>
                      <w:kern w:val="0"/>
                      <w:szCs w:val="21"/>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813" w:type="dxa"/>
                  <w:vAlign w:val="center"/>
                </w:tcPr>
                <w:p w14:paraId="53BC4F2A">
                  <w:pPr>
                    <w:adjustRightInd w:val="0"/>
                    <w:jc w:val="center"/>
                    <w:textAlignment w:val="baseline"/>
                    <w:rPr>
                      <w:kern w:val="0"/>
                      <w:szCs w:val="21"/>
                    </w:rPr>
                  </w:pPr>
                  <w:r>
                    <w:rPr>
                      <w:rFonts w:hint="eastAsia"/>
                      <w:kern w:val="0"/>
                      <w:szCs w:val="21"/>
                    </w:rPr>
                    <w:t>本项目施工期加强扬尘污染防治，严格落实《河北省扬尘污染防治办法》</w:t>
                  </w:r>
                </w:p>
              </w:tc>
              <w:tc>
                <w:tcPr>
                  <w:tcW w:w="579" w:type="dxa"/>
                  <w:vMerge w:val="continue"/>
                  <w:vAlign w:val="center"/>
                </w:tcPr>
                <w:p w14:paraId="20A76178">
                  <w:pPr>
                    <w:adjustRightInd w:val="0"/>
                    <w:jc w:val="center"/>
                    <w:textAlignment w:val="baseline"/>
                    <w:rPr>
                      <w:kern w:val="0"/>
                      <w:szCs w:val="21"/>
                    </w:rPr>
                  </w:pPr>
                </w:p>
              </w:tc>
            </w:tr>
            <w:tr w14:paraId="5351C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1AF07B4A">
                  <w:pPr>
                    <w:adjustRightInd w:val="0"/>
                    <w:jc w:val="center"/>
                    <w:textAlignment w:val="baseline"/>
                    <w:rPr>
                      <w:kern w:val="0"/>
                      <w:szCs w:val="21"/>
                    </w:rPr>
                  </w:pPr>
                  <w:r>
                    <w:rPr>
                      <w:kern w:val="0"/>
                      <w:szCs w:val="21"/>
                    </w:rPr>
                    <w:t>地表水环境</w:t>
                  </w:r>
                </w:p>
              </w:tc>
              <w:tc>
                <w:tcPr>
                  <w:tcW w:w="597" w:type="dxa"/>
                  <w:gridSpan w:val="2"/>
                  <w:vAlign w:val="center"/>
                </w:tcPr>
                <w:p w14:paraId="2275D646">
                  <w:pPr>
                    <w:adjustRightInd w:val="0"/>
                    <w:jc w:val="center"/>
                    <w:textAlignment w:val="baseline"/>
                    <w:rPr>
                      <w:kern w:val="0"/>
                      <w:szCs w:val="21"/>
                    </w:rPr>
                  </w:pPr>
                  <w:r>
                    <w:rPr>
                      <w:kern w:val="0"/>
                      <w:szCs w:val="21"/>
                    </w:rPr>
                    <w:t>空间布局约束</w:t>
                  </w:r>
                </w:p>
              </w:tc>
              <w:tc>
                <w:tcPr>
                  <w:tcW w:w="4491" w:type="dxa"/>
                  <w:vAlign w:val="center"/>
                </w:tcPr>
                <w:p w14:paraId="38B2B08B">
                  <w:pPr>
                    <w:adjustRightInd w:val="0"/>
                    <w:textAlignment w:val="baseline"/>
                    <w:rPr>
                      <w:kern w:val="0"/>
                      <w:szCs w:val="21"/>
                    </w:rPr>
                  </w:pPr>
                  <w:r>
                    <w:rPr>
                      <w:kern w:val="0"/>
                      <w:szCs w:val="21"/>
                    </w:rPr>
                    <w:t>2、鼓励发展节水高效现代农业、低耗水高新技术产业以及生态保护型旅游业，严格控制缺水地区、水污染严重地区和敏感区域高耗水、高污染行业发展</w:t>
                  </w:r>
                  <w:r>
                    <w:rPr>
                      <w:rFonts w:hint="eastAsia"/>
                      <w:kern w:val="0"/>
                      <w:szCs w:val="21"/>
                    </w:rPr>
                    <w:t>。</w:t>
                  </w:r>
                </w:p>
              </w:tc>
              <w:tc>
                <w:tcPr>
                  <w:tcW w:w="1813" w:type="dxa"/>
                  <w:vAlign w:val="center"/>
                </w:tcPr>
                <w:p w14:paraId="64DFCE4D">
                  <w:pPr>
                    <w:adjustRightInd w:val="0"/>
                    <w:jc w:val="center"/>
                    <w:textAlignment w:val="baseline"/>
                    <w:rPr>
                      <w:kern w:val="0"/>
                      <w:szCs w:val="21"/>
                    </w:rPr>
                  </w:pPr>
                  <w:r>
                    <w:rPr>
                      <w:kern w:val="0"/>
                      <w:szCs w:val="21"/>
                    </w:rPr>
                    <w:t>本项目不属于高耗水、高污染行业</w:t>
                  </w:r>
                </w:p>
              </w:tc>
              <w:tc>
                <w:tcPr>
                  <w:tcW w:w="579" w:type="dxa"/>
                  <w:vAlign w:val="center"/>
                </w:tcPr>
                <w:p w14:paraId="260FB524">
                  <w:pPr>
                    <w:adjustRightInd w:val="0"/>
                    <w:jc w:val="center"/>
                    <w:textAlignment w:val="baseline"/>
                    <w:rPr>
                      <w:kern w:val="0"/>
                      <w:szCs w:val="21"/>
                    </w:rPr>
                  </w:pPr>
                  <w:r>
                    <w:rPr>
                      <w:kern w:val="0"/>
                      <w:szCs w:val="21"/>
                    </w:rPr>
                    <w:t>符合</w:t>
                  </w:r>
                </w:p>
              </w:tc>
            </w:tr>
            <w:tr w14:paraId="62C43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4E90A920">
                  <w:pPr>
                    <w:adjustRightInd w:val="0"/>
                    <w:jc w:val="center"/>
                    <w:textAlignment w:val="baseline"/>
                    <w:rPr>
                      <w:kern w:val="0"/>
                      <w:szCs w:val="21"/>
                    </w:rPr>
                  </w:pPr>
                </w:p>
              </w:tc>
              <w:tc>
                <w:tcPr>
                  <w:tcW w:w="597" w:type="dxa"/>
                  <w:gridSpan w:val="2"/>
                  <w:vAlign w:val="center"/>
                </w:tcPr>
                <w:p w14:paraId="337C3459">
                  <w:pPr>
                    <w:adjustRightInd w:val="0"/>
                    <w:jc w:val="center"/>
                    <w:textAlignment w:val="baseline"/>
                    <w:rPr>
                      <w:kern w:val="0"/>
                      <w:szCs w:val="21"/>
                    </w:rPr>
                  </w:pPr>
                  <w:r>
                    <w:rPr>
                      <w:rFonts w:hint="eastAsia"/>
                      <w:kern w:val="0"/>
                      <w:szCs w:val="21"/>
                    </w:rPr>
                    <w:t>污染物排放管控</w:t>
                  </w:r>
                </w:p>
              </w:tc>
              <w:tc>
                <w:tcPr>
                  <w:tcW w:w="4491" w:type="dxa"/>
                  <w:vAlign w:val="center"/>
                </w:tcPr>
                <w:p w14:paraId="5532B6C0">
                  <w:pPr>
                    <w:adjustRightInd w:val="0"/>
                    <w:textAlignment w:val="baseline"/>
                    <w:rPr>
                      <w:kern w:val="0"/>
                      <w:szCs w:val="21"/>
                    </w:rPr>
                  </w:pPr>
                  <w:r>
                    <w:rPr>
                      <w:kern w:val="0"/>
                      <w:szCs w:val="21"/>
                    </w:rPr>
                    <w:t>1</w:t>
                  </w:r>
                  <w:r>
                    <w:rPr>
                      <w:rFonts w:hint="eastAsia"/>
                      <w:kern w:val="0"/>
                      <w:szCs w:val="21"/>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813" w:type="dxa"/>
                  <w:vAlign w:val="center"/>
                </w:tcPr>
                <w:p w14:paraId="625338CD">
                  <w:pPr>
                    <w:adjustRightInd w:val="0"/>
                    <w:jc w:val="center"/>
                    <w:textAlignment w:val="baseline"/>
                    <w:rPr>
                      <w:kern w:val="0"/>
                      <w:szCs w:val="21"/>
                    </w:rPr>
                  </w:pPr>
                  <w:r>
                    <w:rPr>
                      <w:rFonts w:hint="eastAsia"/>
                      <w:kern w:val="0"/>
                      <w:szCs w:val="21"/>
                    </w:rPr>
                    <w:t>本项目不属于高污染、高耗水行业，不属于产能过剩产业</w:t>
                  </w:r>
                </w:p>
              </w:tc>
              <w:tc>
                <w:tcPr>
                  <w:tcW w:w="579" w:type="dxa"/>
                  <w:vAlign w:val="center"/>
                </w:tcPr>
                <w:p w14:paraId="44D5529B">
                  <w:pPr>
                    <w:adjustRightInd w:val="0"/>
                    <w:jc w:val="center"/>
                    <w:textAlignment w:val="baseline"/>
                    <w:rPr>
                      <w:kern w:val="0"/>
                      <w:szCs w:val="21"/>
                    </w:rPr>
                  </w:pPr>
                  <w:r>
                    <w:rPr>
                      <w:rFonts w:hint="eastAsia"/>
                      <w:kern w:val="0"/>
                      <w:szCs w:val="21"/>
                    </w:rPr>
                    <w:t>符合</w:t>
                  </w:r>
                </w:p>
              </w:tc>
            </w:tr>
            <w:tr w14:paraId="45635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3952E448">
                  <w:pPr>
                    <w:adjustRightInd w:val="0"/>
                    <w:jc w:val="center"/>
                    <w:textAlignment w:val="baseline"/>
                    <w:rPr>
                      <w:kern w:val="0"/>
                      <w:szCs w:val="21"/>
                    </w:rPr>
                  </w:pPr>
                  <w:r>
                    <w:rPr>
                      <w:kern w:val="0"/>
                      <w:szCs w:val="21"/>
                    </w:rPr>
                    <w:t>土壤及地下水环境</w:t>
                  </w:r>
                </w:p>
              </w:tc>
              <w:tc>
                <w:tcPr>
                  <w:tcW w:w="597" w:type="dxa"/>
                  <w:gridSpan w:val="2"/>
                  <w:vAlign w:val="center"/>
                </w:tcPr>
                <w:p w14:paraId="26C74170">
                  <w:pPr>
                    <w:adjustRightInd w:val="0"/>
                    <w:jc w:val="center"/>
                    <w:textAlignment w:val="baseline"/>
                    <w:rPr>
                      <w:kern w:val="0"/>
                      <w:szCs w:val="21"/>
                    </w:rPr>
                  </w:pPr>
                  <w:r>
                    <w:rPr>
                      <w:kern w:val="0"/>
                      <w:szCs w:val="21"/>
                    </w:rPr>
                    <w:t>空间布局约束</w:t>
                  </w:r>
                </w:p>
              </w:tc>
              <w:tc>
                <w:tcPr>
                  <w:tcW w:w="4491" w:type="dxa"/>
                  <w:vAlign w:val="center"/>
                </w:tcPr>
                <w:p w14:paraId="47B23F39">
                  <w:pPr>
                    <w:adjustRightInd w:val="0"/>
                    <w:textAlignment w:val="baseline"/>
                    <w:rPr>
                      <w:kern w:val="0"/>
                      <w:szCs w:val="21"/>
                    </w:rPr>
                  </w:pPr>
                  <w:r>
                    <w:rPr>
                      <w:rFonts w:hint="eastAsia"/>
                      <w:kern w:val="0"/>
                      <w:szCs w:val="21"/>
                    </w:rPr>
                    <w:t>1、</w:t>
                  </w:r>
                  <w:r>
                    <w:rPr>
                      <w:kern w:val="0"/>
                      <w:szCs w:val="21"/>
                    </w:rPr>
                    <w:t>严格执行相关行业企业布局选址要求，禁止在居民区和学校、医院、疗养院、养老院等单位周边新建、改建、扩建可能造成土壤污染的建设项目</w:t>
                  </w:r>
                  <w:r>
                    <w:rPr>
                      <w:rFonts w:hint="eastAsia"/>
                      <w:kern w:val="0"/>
                      <w:szCs w:val="21"/>
                    </w:rPr>
                    <w:t>。</w:t>
                  </w:r>
                </w:p>
              </w:tc>
              <w:tc>
                <w:tcPr>
                  <w:tcW w:w="1813" w:type="dxa"/>
                  <w:vAlign w:val="center"/>
                </w:tcPr>
                <w:p w14:paraId="7F04A738">
                  <w:pPr>
                    <w:adjustRightInd w:val="0"/>
                    <w:jc w:val="center"/>
                    <w:textAlignment w:val="baseline"/>
                    <w:rPr>
                      <w:kern w:val="0"/>
                      <w:szCs w:val="21"/>
                    </w:rPr>
                  </w:pPr>
                  <w:r>
                    <w:rPr>
                      <w:kern w:val="0"/>
                      <w:szCs w:val="21"/>
                    </w:rPr>
                    <w:t>项目符合布局选址要求</w:t>
                  </w:r>
                </w:p>
              </w:tc>
              <w:tc>
                <w:tcPr>
                  <w:tcW w:w="579" w:type="dxa"/>
                  <w:vAlign w:val="center"/>
                </w:tcPr>
                <w:p w14:paraId="4F775D4C">
                  <w:pPr>
                    <w:adjustRightInd w:val="0"/>
                    <w:jc w:val="center"/>
                    <w:textAlignment w:val="baseline"/>
                    <w:rPr>
                      <w:kern w:val="0"/>
                      <w:szCs w:val="21"/>
                    </w:rPr>
                  </w:pPr>
                  <w:r>
                    <w:rPr>
                      <w:kern w:val="0"/>
                      <w:szCs w:val="21"/>
                    </w:rPr>
                    <w:t>符合</w:t>
                  </w:r>
                </w:p>
              </w:tc>
            </w:tr>
            <w:tr w14:paraId="6B0B4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0FA4138A">
                  <w:pPr>
                    <w:adjustRightInd w:val="0"/>
                    <w:jc w:val="center"/>
                    <w:textAlignment w:val="baseline"/>
                    <w:rPr>
                      <w:kern w:val="0"/>
                      <w:szCs w:val="21"/>
                    </w:rPr>
                  </w:pPr>
                </w:p>
              </w:tc>
              <w:tc>
                <w:tcPr>
                  <w:tcW w:w="597" w:type="dxa"/>
                  <w:gridSpan w:val="2"/>
                  <w:vAlign w:val="center"/>
                </w:tcPr>
                <w:p w14:paraId="407E48C3">
                  <w:pPr>
                    <w:adjustRightInd w:val="0"/>
                    <w:jc w:val="center"/>
                    <w:textAlignment w:val="baseline"/>
                    <w:rPr>
                      <w:kern w:val="0"/>
                      <w:szCs w:val="21"/>
                    </w:rPr>
                  </w:pPr>
                  <w:r>
                    <w:rPr>
                      <w:kern w:val="0"/>
                      <w:szCs w:val="21"/>
                    </w:rPr>
                    <w:t>污染物排放管控</w:t>
                  </w:r>
                </w:p>
              </w:tc>
              <w:tc>
                <w:tcPr>
                  <w:tcW w:w="4491" w:type="dxa"/>
                  <w:vAlign w:val="center"/>
                </w:tcPr>
                <w:p w14:paraId="617FD2E7">
                  <w:pPr>
                    <w:adjustRightInd w:val="0"/>
                    <w:textAlignment w:val="baseline"/>
                    <w:rPr>
                      <w:kern w:val="0"/>
                      <w:szCs w:val="21"/>
                    </w:rPr>
                  </w:pPr>
                  <w:r>
                    <w:rPr>
                      <w:kern w:val="0"/>
                      <w:szCs w:val="21"/>
                    </w:rPr>
                    <w:t>4</w:t>
                  </w:r>
                  <w:r>
                    <w:rPr>
                      <w:rFonts w:hint="eastAsia"/>
                      <w:kern w:val="0"/>
                      <w:szCs w:val="21"/>
                    </w:rPr>
                    <w:t xml:space="preserve">、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 </w:t>
                  </w:r>
                </w:p>
                <w:p w14:paraId="23B557F7">
                  <w:pPr>
                    <w:adjustRightInd w:val="0"/>
                    <w:textAlignment w:val="baseline"/>
                    <w:rPr>
                      <w:kern w:val="0"/>
                      <w:szCs w:val="21"/>
                    </w:rPr>
                  </w:pPr>
                  <w:r>
                    <w:rPr>
                      <w:kern w:val="0"/>
                      <w:szCs w:val="21"/>
                    </w:rPr>
                    <w:t>5</w:t>
                  </w:r>
                  <w:r>
                    <w:rPr>
                      <w:rFonts w:hint="eastAsia"/>
                      <w:kern w:val="0"/>
                      <w:szCs w:val="21"/>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813" w:type="dxa"/>
                  <w:vAlign w:val="center"/>
                </w:tcPr>
                <w:p w14:paraId="3F73DD52">
                  <w:pPr>
                    <w:adjustRightInd w:val="0"/>
                    <w:jc w:val="center"/>
                    <w:textAlignment w:val="baseline"/>
                    <w:rPr>
                      <w:kern w:val="0"/>
                      <w:szCs w:val="21"/>
                    </w:rPr>
                  </w:pPr>
                  <w:r>
                    <w:rPr>
                      <w:kern w:val="0"/>
                      <w:szCs w:val="21"/>
                    </w:rPr>
                    <w:t>项目</w:t>
                  </w:r>
                  <w:r>
                    <w:rPr>
                      <w:rFonts w:hint="eastAsia"/>
                      <w:kern w:val="0"/>
                      <w:szCs w:val="21"/>
                    </w:rPr>
                    <w:t>运营</w:t>
                  </w:r>
                  <w:r>
                    <w:rPr>
                      <w:kern w:val="0"/>
                      <w:szCs w:val="21"/>
                    </w:rPr>
                    <w:t>过程中固废合理处置</w:t>
                  </w:r>
                  <w:r>
                    <w:rPr>
                      <w:rFonts w:hint="eastAsia"/>
                      <w:kern w:val="0"/>
                      <w:szCs w:val="21"/>
                    </w:rPr>
                    <w:t>，一般固废储存区、危废贮存库等均采取防扬散、防流失、防渗漏措施</w:t>
                  </w:r>
                </w:p>
              </w:tc>
              <w:tc>
                <w:tcPr>
                  <w:tcW w:w="579" w:type="dxa"/>
                  <w:vAlign w:val="center"/>
                </w:tcPr>
                <w:p w14:paraId="0C319E96">
                  <w:pPr>
                    <w:adjustRightInd w:val="0"/>
                    <w:jc w:val="center"/>
                    <w:textAlignment w:val="baseline"/>
                    <w:rPr>
                      <w:kern w:val="0"/>
                      <w:szCs w:val="21"/>
                    </w:rPr>
                  </w:pPr>
                  <w:r>
                    <w:rPr>
                      <w:kern w:val="0"/>
                      <w:szCs w:val="21"/>
                    </w:rPr>
                    <w:t>符合</w:t>
                  </w:r>
                </w:p>
              </w:tc>
            </w:tr>
            <w:tr w14:paraId="19239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restart"/>
                  <w:vAlign w:val="center"/>
                </w:tcPr>
                <w:p w14:paraId="361BF6F1">
                  <w:pPr>
                    <w:adjustRightInd w:val="0"/>
                    <w:jc w:val="center"/>
                    <w:textAlignment w:val="baseline"/>
                    <w:rPr>
                      <w:kern w:val="0"/>
                      <w:szCs w:val="21"/>
                    </w:rPr>
                  </w:pPr>
                  <w:r>
                    <w:rPr>
                      <w:kern w:val="0"/>
                      <w:szCs w:val="21"/>
                    </w:rPr>
                    <w:t>资源</w:t>
                  </w:r>
                </w:p>
              </w:tc>
              <w:tc>
                <w:tcPr>
                  <w:tcW w:w="225" w:type="dxa"/>
                  <w:vAlign w:val="center"/>
                </w:tcPr>
                <w:p w14:paraId="5A190769">
                  <w:pPr>
                    <w:adjustRightInd w:val="0"/>
                    <w:jc w:val="center"/>
                    <w:textAlignment w:val="baseline"/>
                    <w:rPr>
                      <w:kern w:val="0"/>
                      <w:szCs w:val="21"/>
                    </w:rPr>
                  </w:pPr>
                  <w:r>
                    <w:rPr>
                      <w:kern w:val="0"/>
                      <w:szCs w:val="21"/>
                    </w:rPr>
                    <w:t>水资源</w:t>
                  </w:r>
                </w:p>
              </w:tc>
              <w:tc>
                <w:tcPr>
                  <w:tcW w:w="597" w:type="dxa"/>
                  <w:gridSpan w:val="2"/>
                  <w:vAlign w:val="center"/>
                </w:tcPr>
                <w:p w14:paraId="395B2A36">
                  <w:pPr>
                    <w:adjustRightInd w:val="0"/>
                    <w:jc w:val="center"/>
                    <w:textAlignment w:val="baseline"/>
                    <w:rPr>
                      <w:kern w:val="0"/>
                      <w:szCs w:val="21"/>
                    </w:rPr>
                  </w:pPr>
                  <w:r>
                    <w:rPr>
                      <w:kern w:val="0"/>
                      <w:szCs w:val="21"/>
                    </w:rPr>
                    <w:t>资源利用效率要求</w:t>
                  </w:r>
                </w:p>
              </w:tc>
              <w:tc>
                <w:tcPr>
                  <w:tcW w:w="4491" w:type="dxa"/>
                  <w:vAlign w:val="center"/>
                </w:tcPr>
                <w:p w14:paraId="0F2FDB9F">
                  <w:pPr>
                    <w:adjustRightInd w:val="0"/>
                    <w:textAlignment w:val="baseline"/>
                    <w:rPr>
                      <w:kern w:val="0"/>
                      <w:szCs w:val="21"/>
                    </w:rPr>
                  </w:pPr>
                  <w:r>
                    <w:rPr>
                      <w:kern w:val="0"/>
                      <w:szCs w:val="21"/>
                    </w:rPr>
                    <w:t>1</w:t>
                  </w:r>
                  <w:r>
                    <w:rPr>
                      <w:rFonts w:hint="eastAsia"/>
                      <w:kern w:val="0"/>
                      <w:szCs w:val="21"/>
                    </w:rPr>
                    <w:t>、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w:t>
                  </w:r>
                  <w:r>
                    <w:rPr>
                      <w:kern w:val="0"/>
                      <w:szCs w:val="21"/>
                    </w:rPr>
                    <w:t>1</w:t>
                  </w:r>
                  <w:r>
                    <w:rPr>
                      <w:rFonts w:hint="eastAsia"/>
                      <w:kern w:val="0"/>
                      <w:szCs w:val="21"/>
                    </w:rPr>
                    <w:t>减</w:t>
                  </w:r>
                  <w:r>
                    <w:rPr>
                      <w:kern w:val="0"/>
                      <w:szCs w:val="21"/>
                    </w:rPr>
                    <w:t>2</w:t>
                  </w:r>
                  <w:r>
                    <w:rPr>
                      <w:rFonts w:hint="eastAsia"/>
                      <w:kern w:val="0"/>
                      <w:szCs w:val="21"/>
                    </w:rPr>
                    <w:t>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1813" w:type="dxa"/>
                  <w:vAlign w:val="center"/>
                </w:tcPr>
                <w:p w14:paraId="15D815F0">
                  <w:pPr>
                    <w:adjustRightInd w:val="0"/>
                    <w:jc w:val="center"/>
                    <w:textAlignment w:val="baseline"/>
                    <w:rPr>
                      <w:kern w:val="0"/>
                      <w:szCs w:val="21"/>
                    </w:rPr>
                  </w:pPr>
                  <w:r>
                    <w:rPr>
                      <w:rFonts w:hint="eastAsia"/>
                      <w:kern w:val="0"/>
                      <w:szCs w:val="21"/>
                    </w:rPr>
                    <w:t>本项目外购水，不新建地下水井</w:t>
                  </w:r>
                </w:p>
              </w:tc>
              <w:tc>
                <w:tcPr>
                  <w:tcW w:w="579" w:type="dxa"/>
                  <w:vAlign w:val="center"/>
                </w:tcPr>
                <w:p w14:paraId="1ED60B1C">
                  <w:pPr>
                    <w:widowControl/>
                    <w:jc w:val="center"/>
                    <w:textAlignment w:val="center"/>
                    <w:rPr>
                      <w:sz w:val="24"/>
                    </w:rPr>
                  </w:pPr>
                  <w:r>
                    <w:rPr>
                      <w:szCs w:val="21"/>
                    </w:rPr>
                    <w:t>符合</w:t>
                  </w:r>
                </w:p>
              </w:tc>
            </w:tr>
            <w:tr w14:paraId="52EDD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continue"/>
                  <w:vAlign w:val="center"/>
                </w:tcPr>
                <w:p w14:paraId="4450287D">
                  <w:pPr>
                    <w:adjustRightInd w:val="0"/>
                    <w:jc w:val="center"/>
                    <w:textAlignment w:val="baseline"/>
                    <w:rPr>
                      <w:kern w:val="0"/>
                      <w:szCs w:val="21"/>
                    </w:rPr>
                  </w:pPr>
                </w:p>
              </w:tc>
              <w:tc>
                <w:tcPr>
                  <w:tcW w:w="225" w:type="dxa"/>
                  <w:vAlign w:val="center"/>
                </w:tcPr>
                <w:p w14:paraId="1A57849D">
                  <w:pPr>
                    <w:adjustRightInd w:val="0"/>
                    <w:jc w:val="center"/>
                    <w:textAlignment w:val="baseline"/>
                    <w:rPr>
                      <w:kern w:val="0"/>
                      <w:szCs w:val="21"/>
                    </w:rPr>
                  </w:pPr>
                  <w:r>
                    <w:rPr>
                      <w:rFonts w:hint="eastAsia"/>
                      <w:kern w:val="0"/>
                      <w:szCs w:val="21"/>
                    </w:rPr>
                    <w:t>岸线资源</w:t>
                  </w:r>
                </w:p>
              </w:tc>
              <w:tc>
                <w:tcPr>
                  <w:tcW w:w="597" w:type="dxa"/>
                  <w:gridSpan w:val="2"/>
                  <w:vAlign w:val="center"/>
                </w:tcPr>
                <w:p w14:paraId="0133EA7C">
                  <w:pPr>
                    <w:adjustRightInd w:val="0"/>
                    <w:jc w:val="center"/>
                    <w:textAlignment w:val="baseline"/>
                    <w:rPr>
                      <w:kern w:val="0"/>
                      <w:szCs w:val="21"/>
                    </w:rPr>
                  </w:pPr>
                  <w:r>
                    <w:rPr>
                      <w:kern w:val="0"/>
                      <w:szCs w:val="21"/>
                    </w:rPr>
                    <w:t>资源利用效率要求</w:t>
                  </w:r>
                </w:p>
              </w:tc>
              <w:tc>
                <w:tcPr>
                  <w:tcW w:w="4491" w:type="dxa"/>
                  <w:vAlign w:val="center"/>
                </w:tcPr>
                <w:p w14:paraId="0E1752B6">
                  <w:pPr>
                    <w:adjustRightInd w:val="0"/>
                    <w:textAlignment w:val="baseline"/>
                    <w:rPr>
                      <w:kern w:val="0"/>
                      <w:szCs w:val="21"/>
                    </w:rPr>
                  </w:pPr>
                  <w:r>
                    <w:rPr>
                      <w:kern w:val="0"/>
                      <w:szCs w:val="21"/>
                    </w:rPr>
                    <w:t>4</w:t>
                  </w:r>
                  <w:r>
                    <w:rPr>
                      <w:rFonts w:hint="eastAsia"/>
                      <w:kern w:val="0"/>
                      <w:szCs w:val="21"/>
                    </w:rPr>
                    <w:t>、严格限制建设项目占用自然岸线，确需占用自然岸线的建设项目应严格进行论证和审批。海域使用论证报告应明确提出占用自然岸线的必要性与合理性结论。不能满足自然岸线保有率管控目标和要求的建设项目用海不予批准。</w:t>
                  </w:r>
                </w:p>
              </w:tc>
              <w:tc>
                <w:tcPr>
                  <w:tcW w:w="1813" w:type="dxa"/>
                  <w:vAlign w:val="center"/>
                </w:tcPr>
                <w:p w14:paraId="3F1716BD">
                  <w:pPr>
                    <w:adjustRightInd w:val="0"/>
                    <w:jc w:val="center"/>
                    <w:textAlignment w:val="baseline"/>
                    <w:rPr>
                      <w:kern w:val="0"/>
                      <w:szCs w:val="21"/>
                    </w:rPr>
                  </w:pPr>
                  <w:r>
                    <w:rPr>
                      <w:rFonts w:hint="eastAsia"/>
                      <w:kern w:val="0"/>
                      <w:szCs w:val="21"/>
                    </w:rPr>
                    <w:t>本项目不涉及使用岸线资源</w:t>
                  </w:r>
                </w:p>
              </w:tc>
              <w:tc>
                <w:tcPr>
                  <w:tcW w:w="579" w:type="dxa"/>
                  <w:vAlign w:val="center"/>
                </w:tcPr>
                <w:p w14:paraId="026789F9">
                  <w:pPr>
                    <w:widowControl/>
                    <w:jc w:val="center"/>
                    <w:textAlignment w:val="center"/>
                    <w:rPr>
                      <w:szCs w:val="21"/>
                    </w:rPr>
                  </w:pPr>
                  <w:r>
                    <w:rPr>
                      <w:rFonts w:hint="eastAsia"/>
                      <w:szCs w:val="21"/>
                    </w:rPr>
                    <w:t>符合</w:t>
                  </w:r>
                </w:p>
              </w:tc>
            </w:tr>
            <w:tr w14:paraId="4F03B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2" w:type="dxa"/>
                  <w:vMerge w:val="continue"/>
                  <w:vAlign w:val="center"/>
                </w:tcPr>
                <w:p w14:paraId="2574EBA3">
                  <w:pPr>
                    <w:adjustRightInd w:val="0"/>
                    <w:jc w:val="center"/>
                    <w:textAlignment w:val="baseline"/>
                    <w:rPr>
                      <w:kern w:val="0"/>
                      <w:szCs w:val="21"/>
                    </w:rPr>
                  </w:pPr>
                </w:p>
              </w:tc>
              <w:tc>
                <w:tcPr>
                  <w:tcW w:w="225" w:type="dxa"/>
                  <w:vAlign w:val="center"/>
                </w:tcPr>
                <w:p w14:paraId="6BCCDF32">
                  <w:pPr>
                    <w:adjustRightInd w:val="0"/>
                    <w:jc w:val="center"/>
                    <w:textAlignment w:val="baseline"/>
                    <w:rPr>
                      <w:kern w:val="0"/>
                      <w:szCs w:val="21"/>
                    </w:rPr>
                  </w:pPr>
                  <w:r>
                    <w:rPr>
                      <w:rFonts w:hint="eastAsia"/>
                      <w:kern w:val="0"/>
                      <w:szCs w:val="21"/>
                    </w:rPr>
                    <w:t>土地资源</w:t>
                  </w:r>
                </w:p>
              </w:tc>
              <w:tc>
                <w:tcPr>
                  <w:tcW w:w="597" w:type="dxa"/>
                  <w:gridSpan w:val="2"/>
                  <w:vAlign w:val="center"/>
                </w:tcPr>
                <w:p w14:paraId="0C075933">
                  <w:pPr>
                    <w:adjustRightInd w:val="0"/>
                    <w:jc w:val="center"/>
                    <w:textAlignment w:val="baseline"/>
                    <w:rPr>
                      <w:kern w:val="0"/>
                      <w:szCs w:val="21"/>
                    </w:rPr>
                  </w:pPr>
                  <w:r>
                    <w:rPr>
                      <w:kern w:val="0"/>
                      <w:szCs w:val="21"/>
                    </w:rPr>
                    <w:t>资源利用效率要求</w:t>
                  </w:r>
                </w:p>
              </w:tc>
              <w:tc>
                <w:tcPr>
                  <w:tcW w:w="4491" w:type="dxa"/>
                  <w:vAlign w:val="center"/>
                </w:tcPr>
                <w:p w14:paraId="36ADC3ED">
                  <w:pPr>
                    <w:adjustRightInd w:val="0"/>
                    <w:textAlignment w:val="baseline"/>
                    <w:rPr>
                      <w:kern w:val="0"/>
                      <w:szCs w:val="21"/>
                    </w:rPr>
                  </w:pPr>
                  <w:r>
                    <w:rPr>
                      <w:kern w:val="0"/>
                      <w:szCs w:val="21"/>
                    </w:rPr>
                    <w:t>1</w:t>
                  </w:r>
                  <w:r>
                    <w:rPr>
                      <w:rFonts w:hint="eastAsia"/>
                      <w:kern w:val="0"/>
                      <w:szCs w:val="21"/>
                    </w:rPr>
                    <w:t xml:space="preserve">、不得擅自突破城镇建设用地规模和城镇开发边界扩展倍数，严禁违反法律和规划开展用地用海审批。 </w:t>
                  </w:r>
                </w:p>
                <w:p w14:paraId="2A6B48AA">
                  <w:pPr>
                    <w:adjustRightInd w:val="0"/>
                    <w:textAlignment w:val="baseline"/>
                    <w:rPr>
                      <w:kern w:val="0"/>
                      <w:szCs w:val="21"/>
                    </w:rPr>
                  </w:pPr>
                  <w:r>
                    <w:rPr>
                      <w:kern w:val="0"/>
                      <w:szCs w:val="21"/>
                    </w:rPr>
                    <w:t>2</w:t>
                  </w:r>
                  <w:r>
                    <w:rPr>
                      <w:rFonts w:hint="eastAsia"/>
                      <w:kern w:val="0"/>
                      <w:szCs w:val="21"/>
                    </w:rPr>
                    <w:t>、城镇开发边界外不得进行城镇集中建设，不得规划建设各类开发区和产业园区，不得规划城镇居住用地。</w:t>
                  </w:r>
                </w:p>
              </w:tc>
              <w:tc>
                <w:tcPr>
                  <w:tcW w:w="1813" w:type="dxa"/>
                  <w:vAlign w:val="center"/>
                </w:tcPr>
                <w:p w14:paraId="389F6D5C">
                  <w:pPr>
                    <w:adjustRightInd w:val="0"/>
                    <w:jc w:val="center"/>
                    <w:textAlignment w:val="baseline"/>
                    <w:rPr>
                      <w:kern w:val="0"/>
                      <w:szCs w:val="21"/>
                    </w:rPr>
                  </w:pPr>
                  <w:r>
                    <w:rPr>
                      <w:rFonts w:hint="eastAsia"/>
                      <w:kern w:val="0"/>
                      <w:szCs w:val="21"/>
                    </w:rPr>
                    <w:t>本项目已取得建设项目用地预审与选址意见书</w:t>
                  </w:r>
                </w:p>
              </w:tc>
              <w:tc>
                <w:tcPr>
                  <w:tcW w:w="579" w:type="dxa"/>
                  <w:vAlign w:val="center"/>
                </w:tcPr>
                <w:p w14:paraId="35C536D4">
                  <w:pPr>
                    <w:widowControl/>
                    <w:jc w:val="center"/>
                    <w:textAlignment w:val="center"/>
                    <w:rPr>
                      <w:szCs w:val="21"/>
                    </w:rPr>
                  </w:pPr>
                  <w:r>
                    <w:rPr>
                      <w:rFonts w:hint="eastAsia"/>
                      <w:szCs w:val="21"/>
                    </w:rPr>
                    <w:t>符合</w:t>
                  </w:r>
                </w:p>
              </w:tc>
            </w:tr>
            <w:tr w14:paraId="5714C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restart"/>
                  <w:vAlign w:val="center"/>
                </w:tcPr>
                <w:p w14:paraId="6A309DB1">
                  <w:pPr>
                    <w:adjustRightInd w:val="0"/>
                    <w:jc w:val="center"/>
                    <w:textAlignment w:val="baseline"/>
                    <w:rPr>
                      <w:kern w:val="0"/>
                      <w:szCs w:val="21"/>
                    </w:rPr>
                  </w:pPr>
                  <w:r>
                    <w:rPr>
                      <w:kern w:val="0"/>
                      <w:szCs w:val="21"/>
                    </w:rPr>
                    <w:t>产业总体布局要求</w:t>
                  </w:r>
                </w:p>
              </w:tc>
              <w:tc>
                <w:tcPr>
                  <w:tcW w:w="597" w:type="dxa"/>
                  <w:gridSpan w:val="2"/>
                  <w:vMerge w:val="restart"/>
                  <w:vAlign w:val="center"/>
                </w:tcPr>
                <w:p w14:paraId="2F580342">
                  <w:pPr>
                    <w:adjustRightInd w:val="0"/>
                    <w:jc w:val="center"/>
                    <w:textAlignment w:val="baseline"/>
                    <w:rPr>
                      <w:kern w:val="0"/>
                      <w:szCs w:val="21"/>
                    </w:rPr>
                  </w:pPr>
                  <w:r>
                    <w:rPr>
                      <w:kern w:val="0"/>
                      <w:szCs w:val="21"/>
                    </w:rPr>
                    <w:t>空间布局约束</w:t>
                  </w:r>
                </w:p>
              </w:tc>
              <w:tc>
                <w:tcPr>
                  <w:tcW w:w="4491" w:type="dxa"/>
                  <w:vAlign w:val="center"/>
                </w:tcPr>
                <w:p w14:paraId="66FAAADC">
                  <w:pPr>
                    <w:adjustRightInd w:val="0"/>
                    <w:textAlignment w:val="baseline"/>
                    <w:rPr>
                      <w:kern w:val="0"/>
                      <w:szCs w:val="21"/>
                    </w:rPr>
                  </w:pPr>
                  <w:r>
                    <w:rPr>
                      <w:kern w:val="0"/>
                      <w:szCs w:val="21"/>
                    </w:rPr>
                    <w:t>1、严格执行《产业结构调整指导目录》《市场准入负面清单》《河北省禁止投资的产业目录》相关要求</w:t>
                  </w:r>
                  <w:r>
                    <w:rPr>
                      <w:rFonts w:hint="eastAsia"/>
                      <w:kern w:val="0"/>
                      <w:szCs w:val="21"/>
                    </w:rPr>
                    <w:t>。</w:t>
                  </w:r>
                </w:p>
              </w:tc>
              <w:tc>
                <w:tcPr>
                  <w:tcW w:w="1813" w:type="dxa"/>
                  <w:vAlign w:val="center"/>
                </w:tcPr>
                <w:p w14:paraId="35DDB418">
                  <w:pPr>
                    <w:adjustRightInd w:val="0"/>
                    <w:jc w:val="center"/>
                    <w:textAlignment w:val="baseline"/>
                    <w:rPr>
                      <w:kern w:val="0"/>
                      <w:szCs w:val="21"/>
                    </w:rPr>
                  </w:pPr>
                  <w:r>
                    <w:rPr>
                      <w:kern w:val="0"/>
                      <w:szCs w:val="21"/>
                    </w:rPr>
                    <w:t>本项目属于《产业结构调整指导目</w:t>
                  </w:r>
                  <w:r>
                    <w:rPr>
                      <w:rFonts w:hint="eastAsia"/>
                      <w:kern w:val="0"/>
                      <w:szCs w:val="21"/>
                    </w:rPr>
                    <w:t>录</w:t>
                  </w:r>
                  <w:r>
                    <w:rPr>
                      <w:kern w:val="0"/>
                      <w:szCs w:val="21"/>
                    </w:rPr>
                    <w:t>（2024年本）》中</w:t>
                  </w:r>
                  <w:r>
                    <w:rPr>
                      <w:rFonts w:hint="eastAsia"/>
                      <w:kern w:val="0"/>
                      <w:szCs w:val="21"/>
                    </w:rPr>
                    <w:t>鼓励</w:t>
                  </w:r>
                  <w:r>
                    <w:rPr>
                      <w:kern w:val="0"/>
                      <w:szCs w:val="21"/>
                    </w:rPr>
                    <w:t>类项目之列；不属于《市场准入负面清（2022年版）》</w:t>
                  </w:r>
                  <w:r>
                    <w:rPr>
                      <w:rFonts w:hint="eastAsia"/>
                      <w:kern w:val="0"/>
                      <w:szCs w:val="21"/>
                    </w:rPr>
                    <w:t>中禁止和许可准入</w:t>
                  </w:r>
                  <w:r>
                    <w:rPr>
                      <w:kern w:val="0"/>
                      <w:szCs w:val="21"/>
                    </w:rPr>
                    <w:t>项目，</w:t>
                  </w:r>
                  <w:r>
                    <w:rPr>
                      <w:rFonts w:hint="eastAsia"/>
                      <w:kern w:val="0"/>
                      <w:szCs w:val="21"/>
                    </w:rPr>
                    <w:t>不属于</w:t>
                  </w:r>
                  <w:r>
                    <w:rPr>
                      <w:kern w:val="0"/>
                      <w:szCs w:val="21"/>
                    </w:rPr>
                    <w:t>《河北省禁止投资的产业目录》</w:t>
                  </w:r>
                  <w:r>
                    <w:rPr>
                      <w:rFonts w:hint="eastAsia"/>
                      <w:kern w:val="0"/>
                      <w:szCs w:val="21"/>
                    </w:rPr>
                    <w:t>中项目</w:t>
                  </w:r>
                </w:p>
              </w:tc>
              <w:tc>
                <w:tcPr>
                  <w:tcW w:w="579" w:type="dxa"/>
                  <w:vMerge w:val="restart"/>
                  <w:vAlign w:val="center"/>
                </w:tcPr>
                <w:p w14:paraId="700096EB">
                  <w:pPr>
                    <w:adjustRightInd w:val="0"/>
                    <w:jc w:val="center"/>
                    <w:textAlignment w:val="baseline"/>
                    <w:rPr>
                      <w:kern w:val="0"/>
                      <w:szCs w:val="21"/>
                    </w:rPr>
                  </w:pPr>
                  <w:r>
                    <w:rPr>
                      <w:kern w:val="0"/>
                      <w:szCs w:val="21"/>
                    </w:rPr>
                    <w:t>符合</w:t>
                  </w:r>
                </w:p>
              </w:tc>
            </w:tr>
            <w:tr w14:paraId="3F0C9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7" w:type="dxa"/>
                  <w:gridSpan w:val="2"/>
                  <w:vMerge w:val="continue"/>
                  <w:vAlign w:val="center"/>
                </w:tcPr>
                <w:p w14:paraId="2E4454E5">
                  <w:pPr>
                    <w:adjustRightInd w:val="0"/>
                    <w:jc w:val="center"/>
                    <w:textAlignment w:val="baseline"/>
                    <w:rPr>
                      <w:kern w:val="0"/>
                      <w:szCs w:val="21"/>
                    </w:rPr>
                  </w:pPr>
                </w:p>
              </w:tc>
              <w:tc>
                <w:tcPr>
                  <w:tcW w:w="597" w:type="dxa"/>
                  <w:gridSpan w:val="2"/>
                  <w:vMerge w:val="continue"/>
                  <w:vAlign w:val="center"/>
                </w:tcPr>
                <w:p w14:paraId="26FD3C4F">
                  <w:pPr>
                    <w:adjustRightInd w:val="0"/>
                    <w:jc w:val="center"/>
                    <w:textAlignment w:val="baseline"/>
                    <w:rPr>
                      <w:kern w:val="0"/>
                      <w:szCs w:val="21"/>
                    </w:rPr>
                  </w:pPr>
                </w:p>
              </w:tc>
              <w:tc>
                <w:tcPr>
                  <w:tcW w:w="4491" w:type="dxa"/>
                  <w:vAlign w:val="center"/>
                </w:tcPr>
                <w:p w14:paraId="143AB336">
                  <w:pPr>
                    <w:adjustRightInd w:val="0"/>
                    <w:textAlignment w:val="baseline"/>
                    <w:rPr>
                      <w:kern w:val="0"/>
                      <w:szCs w:val="21"/>
                    </w:rPr>
                  </w:pPr>
                  <w:r>
                    <w:rPr>
                      <w:kern w:val="0"/>
                      <w:szCs w:val="21"/>
                    </w:rPr>
                    <w:t>2</w:t>
                  </w:r>
                  <w:r>
                    <w:rPr>
                      <w:rFonts w:hint="eastAsia"/>
                      <w:kern w:val="0"/>
                      <w:szCs w:val="21"/>
                    </w:rPr>
                    <w:t>、严格执行国家产业政策和准入标准，实行生态环境准入清单制度，禁止新建、扩建高污染项目，严格控制高耗能、高排放项目准入。新建、改建和扩建项目按照相关规定实行减量置换或者等量置换。</w:t>
                  </w:r>
                </w:p>
              </w:tc>
              <w:tc>
                <w:tcPr>
                  <w:tcW w:w="1813" w:type="dxa"/>
                  <w:vAlign w:val="center"/>
                </w:tcPr>
                <w:p w14:paraId="74AACDEE">
                  <w:pPr>
                    <w:adjustRightInd w:val="0"/>
                    <w:jc w:val="center"/>
                    <w:textAlignment w:val="baseline"/>
                    <w:rPr>
                      <w:kern w:val="0"/>
                      <w:szCs w:val="21"/>
                    </w:rPr>
                  </w:pPr>
                  <w:r>
                    <w:rPr>
                      <w:kern w:val="0"/>
                      <w:szCs w:val="21"/>
                    </w:rPr>
                    <w:t>本项目不属于“两高”项目</w:t>
                  </w:r>
                </w:p>
              </w:tc>
              <w:tc>
                <w:tcPr>
                  <w:tcW w:w="579" w:type="dxa"/>
                  <w:vMerge w:val="continue"/>
                  <w:vAlign w:val="center"/>
                </w:tcPr>
                <w:p w14:paraId="085565CB">
                  <w:pPr>
                    <w:adjustRightInd w:val="0"/>
                    <w:jc w:val="center"/>
                    <w:textAlignment w:val="baseline"/>
                    <w:rPr>
                      <w:kern w:val="0"/>
                      <w:szCs w:val="21"/>
                    </w:rPr>
                  </w:pPr>
                </w:p>
              </w:tc>
            </w:tr>
          </w:tbl>
          <w:p w14:paraId="5F72687E">
            <w:pPr>
              <w:spacing w:line="480" w:lineRule="exact"/>
              <w:ind w:firstLine="480" w:firstLineChars="200"/>
              <w:jc w:val="left"/>
              <w:rPr>
                <w:kern w:val="0"/>
                <w:sz w:val="24"/>
              </w:rPr>
            </w:pPr>
            <w:r>
              <w:rPr>
                <w:kern w:val="0"/>
                <w:sz w:val="24"/>
              </w:rPr>
              <w:t>根据上表分析，项目符合唐山市生态环境准入清单总体管控要求中相关要求。</w:t>
            </w:r>
          </w:p>
          <w:p w14:paraId="09295FB7">
            <w:pPr>
              <w:spacing w:line="480" w:lineRule="exact"/>
              <w:ind w:firstLine="480" w:firstLineChars="200"/>
              <w:rPr>
                <w:sz w:val="24"/>
                <w:lang w:val="zh-CN"/>
              </w:rPr>
            </w:pPr>
            <w:r>
              <w:rPr>
                <w:sz w:val="24"/>
              </w:rPr>
              <w:t>对照《唐山市生态环境准入清单</w:t>
            </w:r>
            <w:r>
              <w:rPr>
                <w:rFonts w:hint="eastAsia"/>
                <w:sz w:val="24"/>
              </w:rPr>
              <w:t>（2023年版）</w:t>
            </w:r>
            <w:r>
              <w:rPr>
                <w:sz w:val="24"/>
              </w:rPr>
              <w:t>》，</w:t>
            </w:r>
            <w:r>
              <w:rPr>
                <w:rFonts w:hint="eastAsia"/>
                <w:sz w:val="24"/>
              </w:rPr>
              <w:t>本项目</w:t>
            </w:r>
            <w:r>
              <w:rPr>
                <w:sz w:val="24"/>
                <w:lang w:val="zh-CN"/>
              </w:rPr>
              <w:t>属于</w:t>
            </w:r>
            <w:r>
              <w:rPr>
                <w:rFonts w:hint="eastAsia"/>
                <w:sz w:val="24"/>
                <w:lang w:val="zh-CN"/>
              </w:rPr>
              <w:t>曹妃甸区优先保护单元ZH13020910003；曹妃甸区重点管控单元ZH13020920001、ZH13020920003、ZH13020920005、ZH13020920007、ZH13020920008</w:t>
            </w:r>
            <w:r>
              <w:rPr>
                <w:sz w:val="24"/>
                <w:lang w:val="zh-CN"/>
              </w:rPr>
              <w:t>，项目在唐山市环境管控单元分布图中的位置见附图，项目与</w:t>
            </w:r>
            <w:r>
              <w:rPr>
                <w:sz w:val="24"/>
              </w:rPr>
              <w:t>唐山市生态环境准入清单中相关要求符合性分析</w:t>
            </w:r>
            <w:r>
              <w:rPr>
                <w:sz w:val="24"/>
                <w:lang w:val="zh-CN"/>
              </w:rPr>
              <w:t>如下：</w:t>
            </w:r>
          </w:p>
          <w:p w14:paraId="0F07309A">
            <w:pPr>
              <w:spacing w:line="480" w:lineRule="exact"/>
              <w:ind w:firstLine="480" w:firstLineChars="200"/>
              <w:jc w:val="left"/>
              <w:rPr>
                <w:sz w:val="24"/>
                <w:lang w:val="zh-CN"/>
              </w:rPr>
            </w:pPr>
            <w:r>
              <w:rPr>
                <w:rFonts w:hint="eastAsia"/>
                <w:sz w:val="24"/>
                <w:lang w:val="zh-CN"/>
              </w:rPr>
              <w:t>本项目与唐山市生态环境准入清单符合性分析如下：</w:t>
            </w:r>
          </w:p>
          <w:p w14:paraId="6327D9C6">
            <w:pPr>
              <w:tabs>
                <w:tab w:val="left" w:pos="1440"/>
                <w:tab w:val="left" w:pos="2627"/>
              </w:tabs>
              <w:adjustRightInd w:val="0"/>
              <w:snapToGrid w:val="0"/>
              <w:spacing w:line="480" w:lineRule="exact"/>
              <w:jc w:val="center"/>
              <w:outlineLvl w:val="4"/>
              <w:rPr>
                <w:b/>
              </w:rPr>
            </w:pPr>
            <w:r>
              <w:rPr>
                <w:rFonts w:hint="eastAsia"/>
                <w:b/>
              </w:rPr>
              <w:t>表1-3   本项目与唐山市生态环境准入清单符合性分析一览表</w:t>
            </w:r>
          </w:p>
          <w:tbl>
            <w:tblPr>
              <w:tblStyle w:val="32"/>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6"/>
              <w:gridCol w:w="751"/>
              <w:gridCol w:w="3242"/>
              <w:gridCol w:w="1351"/>
              <w:gridCol w:w="523"/>
            </w:tblGrid>
            <w:tr w14:paraId="78A01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Align w:val="center"/>
                </w:tcPr>
                <w:p w14:paraId="1F766999">
                  <w:pPr>
                    <w:jc w:val="center"/>
                    <w:rPr>
                      <w:szCs w:val="21"/>
                    </w:rPr>
                  </w:pPr>
                  <w:r>
                    <w:rPr>
                      <w:szCs w:val="21"/>
                    </w:rPr>
                    <w:t>所在乡镇及环境单元控制要素</w:t>
                  </w:r>
                </w:p>
              </w:tc>
              <w:tc>
                <w:tcPr>
                  <w:tcW w:w="751" w:type="dxa"/>
                  <w:vAlign w:val="center"/>
                </w:tcPr>
                <w:p w14:paraId="7A339FDF">
                  <w:pPr>
                    <w:jc w:val="center"/>
                    <w:rPr>
                      <w:szCs w:val="21"/>
                    </w:rPr>
                  </w:pPr>
                  <w:r>
                    <w:rPr>
                      <w:szCs w:val="21"/>
                    </w:rPr>
                    <w:t>维度</w:t>
                  </w:r>
                </w:p>
              </w:tc>
              <w:tc>
                <w:tcPr>
                  <w:tcW w:w="3242" w:type="dxa"/>
                  <w:vAlign w:val="center"/>
                </w:tcPr>
                <w:p w14:paraId="2A7948EB">
                  <w:pPr>
                    <w:jc w:val="center"/>
                    <w:rPr>
                      <w:szCs w:val="21"/>
                    </w:rPr>
                  </w:pPr>
                  <w:r>
                    <w:rPr>
                      <w:szCs w:val="21"/>
                    </w:rPr>
                    <w:t>管控措施</w:t>
                  </w:r>
                </w:p>
              </w:tc>
              <w:tc>
                <w:tcPr>
                  <w:tcW w:w="1351" w:type="dxa"/>
                  <w:vAlign w:val="center"/>
                </w:tcPr>
                <w:p w14:paraId="54A9524B">
                  <w:pPr>
                    <w:jc w:val="center"/>
                    <w:rPr>
                      <w:szCs w:val="21"/>
                    </w:rPr>
                  </w:pPr>
                  <w:r>
                    <w:rPr>
                      <w:szCs w:val="21"/>
                    </w:rPr>
                    <w:t>本项目情况</w:t>
                  </w:r>
                </w:p>
              </w:tc>
              <w:tc>
                <w:tcPr>
                  <w:tcW w:w="523" w:type="dxa"/>
                  <w:vAlign w:val="center"/>
                </w:tcPr>
                <w:p w14:paraId="3C9E3F81">
                  <w:pPr>
                    <w:jc w:val="center"/>
                    <w:rPr>
                      <w:szCs w:val="21"/>
                    </w:rPr>
                  </w:pPr>
                  <w:r>
                    <w:rPr>
                      <w:szCs w:val="21"/>
                    </w:rPr>
                    <w:t>符合性分析</w:t>
                  </w:r>
                </w:p>
              </w:tc>
            </w:tr>
            <w:tr w14:paraId="067CE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Align w:val="center"/>
                </w:tcPr>
                <w:p w14:paraId="295F02B8">
                  <w:pPr>
                    <w:jc w:val="center"/>
                    <w:rPr>
                      <w:szCs w:val="21"/>
                    </w:rPr>
                  </w:pPr>
                  <w:r>
                    <w:rPr>
                      <w:szCs w:val="21"/>
                      <w:lang w:val="zh-CN"/>
                    </w:rPr>
                    <w:t>ZH13020910003—滨海镇、柳赞镇、双井镇、孙塘庄镇、唐海镇—</w:t>
                  </w:r>
                  <w:r>
                    <w:rPr>
                      <w:szCs w:val="21"/>
                    </w:rPr>
                    <w:t>优先保护单元</w:t>
                  </w:r>
                </w:p>
              </w:tc>
              <w:tc>
                <w:tcPr>
                  <w:tcW w:w="751" w:type="dxa"/>
                  <w:vAlign w:val="center"/>
                </w:tcPr>
                <w:p w14:paraId="6406434E">
                  <w:pPr>
                    <w:jc w:val="center"/>
                    <w:rPr>
                      <w:szCs w:val="21"/>
                    </w:rPr>
                  </w:pPr>
                  <w:r>
                    <w:rPr>
                      <w:szCs w:val="21"/>
                    </w:rPr>
                    <w:t>空间布局约束</w:t>
                  </w:r>
                </w:p>
              </w:tc>
              <w:tc>
                <w:tcPr>
                  <w:tcW w:w="3242" w:type="dxa"/>
                  <w:vAlign w:val="center"/>
                </w:tcPr>
                <w:p w14:paraId="72477EEF">
                  <w:pPr>
                    <w:jc w:val="center"/>
                    <w:rPr>
                      <w:szCs w:val="21"/>
                    </w:rPr>
                  </w:pPr>
                  <w:r>
                    <w:rPr>
                      <w:szCs w:val="21"/>
                    </w:rPr>
                    <w:t>1、水土流失区执行全市总体准入要求中一般生态空间的总体要求和水土流失管控要求。</w:t>
                  </w:r>
                </w:p>
                <w:p w14:paraId="32A6A725">
                  <w:pPr>
                    <w:jc w:val="center"/>
                    <w:rPr>
                      <w:szCs w:val="21"/>
                    </w:rPr>
                  </w:pPr>
                  <w:r>
                    <w:rPr>
                      <w:szCs w:val="21"/>
                    </w:rPr>
                    <w:t>2、生态保护重要、极重要区执行全市总体准入要求中一般生态空间的总体要求。</w:t>
                  </w:r>
                </w:p>
                <w:p w14:paraId="61288DA8">
                  <w:pPr>
                    <w:jc w:val="center"/>
                    <w:rPr>
                      <w:szCs w:val="21"/>
                    </w:rPr>
                  </w:pPr>
                  <w:r>
                    <w:rPr>
                      <w:szCs w:val="21"/>
                    </w:rPr>
                    <w:t>(全市总体准入要求中水土流失管控要求：1、禁止在崩塌、滑坡危险区和泥石流易发区从事取土、挖砂、采石等可能造成水土流失的活动。2、在水土流失严重、生态脆弱的地区，应当限制或者禁止可能造成水土流失的生产建设活动，严格保护植物、沙壳、结皮、地衣等。在侵蚀沟的沟坡和沟岸、河流的两岸以及湖泊和水库的周边，应当营造植物保护带。禁止开垦、开发植物保护带。3、禁止在水土流失重点预防区和重点治理区铲草皮、挖树兜或者挖虫草、甘草、麻黄等。4、禁止在二十五度以上陡坡地开垦种植农作物。已在禁止开尽的陡坡地上开垦种植农作物的，应当按照国家有关规定退耕，植树种草；耕地短缺、退耕确有困难的，应当修建梯田或者采取其他水土保持措施。)</w:t>
                  </w:r>
                </w:p>
                <w:p w14:paraId="0FC8A652">
                  <w:pPr>
                    <w:jc w:val="center"/>
                    <w:rPr>
                      <w:szCs w:val="21"/>
                    </w:rPr>
                  </w:pPr>
                  <w:r>
                    <w:rPr>
                      <w:szCs w:val="21"/>
                    </w:rPr>
                    <w:t>(全市总体准入要求中一般生态空间管控要求：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2、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3、区域内要严格开发区管理，原则上不再新建各类开发区和扩大现有工业开发区的面积，已有的工业开发区要逐步改造成低消耗、可循环、少排放、“零污染”的生态型工业区。4、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5、新建非煤矿山，应当按照绿色矿山建设规范建设。已有非煤矿山，应当按照绿色矿山建设规范升级改造，逐步达到绿色矿山建设标准。6、严格控制新增建设占用生态保护红线外的生态空间。符合区域准入条件的建设项目，涉及占用生态空间中的林地、草原等，按有关法律法规规定办理；涉及占用生态空间中其他未作明确规定的用地，应当加强论证和管理。7、严格限制农业开发占用生态保护红线外的生态空间，符合条件的农业开发项目，</w:t>
                  </w:r>
                </w:p>
                <w:p w14:paraId="28690A31">
                  <w:pPr>
                    <w:jc w:val="center"/>
                    <w:rPr>
                      <w:szCs w:val="21"/>
                    </w:rPr>
                  </w:pPr>
                  <w:r>
                    <w:rPr>
                      <w:szCs w:val="21"/>
                    </w:rPr>
                    <w:t>须依法由市县级及以上地方人民政府统筹安排。生态保护红线外的耕地，除符合国家生态退耕条件，并纳入国家生态退耕总体安排，或因国家重大生态工程建设需要外，不得随意转用。)</w:t>
                  </w:r>
                </w:p>
              </w:tc>
              <w:tc>
                <w:tcPr>
                  <w:tcW w:w="1351" w:type="dxa"/>
                  <w:vAlign w:val="center"/>
                </w:tcPr>
                <w:p w14:paraId="6A4CAEDA">
                  <w:pPr>
                    <w:jc w:val="center"/>
                    <w:rPr>
                      <w:szCs w:val="21"/>
                    </w:rPr>
                  </w:pPr>
                  <w:r>
                    <w:rPr>
                      <w:szCs w:val="21"/>
                    </w:rPr>
                    <w:t>本项目占用区域属于农用地，严格落实占地控制、植被保护、土壤及水土保持、野生动物保护、生态恢复及补偿措施等生态环境保护措施</w:t>
                  </w:r>
                </w:p>
              </w:tc>
              <w:tc>
                <w:tcPr>
                  <w:tcW w:w="523" w:type="dxa"/>
                  <w:vAlign w:val="center"/>
                </w:tcPr>
                <w:p w14:paraId="5BB2C4BE">
                  <w:pPr>
                    <w:jc w:val="center"/>
                    <w:rPr>
                      <w:szCs w:val="21"/>
                    </w:rPr>
                  </w:pPr>
                  <w:r>
                    <w:rPr>
                      <w:szCs w:val="21"/>
                    </w:rPr>
                    <w:t>符合</w:t>
                  </w:r>
                </w:p>
              </w:tc>
            </w:tr>
            <w:tr w14:paraId="4A51B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restart"/>
                  <w:vAlign w:val="center"/>
                </w:tcPr>
                <w:p w14:paraId="16819849">
                  <w:pPr>
                    <w:jc w:val="center"/>
                    <w:rPr>
                      <w:szCs w:val="21"/>
                    </w:rPr>
                  </w:pPr>
                  <w:r>
                    <w:rPr>
                      <w:szCs w:val="21"/>
                      <w:lang w:val="zh-CN"/>
                    </w:rPr>
                    <w:t>ZH13020920001—</w:t>
                  </w:r>
                  <w:r>
                    <w:rPr>
                      <w:szCs w:val="21"/>
                    </w:rPr>
                    <w:t>曹妃甸区—希望路街道、唐</w:t>
                  </w:r>
                </w:p>
                <w:p w14:paraId="61B713BD">
                  <w:pPr>
                    <w:jc w:val="center"/>
                    <w:rPr>
                      <w:szCs w:val="21"/>
                    </w:rPr>
                  </w:pPr>
                  <w:r>
                    <w:rPr>
                      <w:szCs w:val="21"/>
                    </w:rPr>
                    <w:t>海镇、滨海镇、孙塘庄镇—重点管控单元</w:t>
                  </w:r>
                </w:p>
              </w:tc>
              <w:tc>
                <w:tcPr>
                  <w:tcW w:w="751" w:type="dxa"/>
                  <w:vAlign w:val="center"/>
                </w:tcPr>
                <w:p w14:paraId="117B02BC">
                  <w:pPr>
                    <w:jc w:val="center"/>
                    <w:rPr>
                      <w:szCs w:val="21"/>
                    </w:rPr>
                  </w:pPr>
                  <w:r>
                    <w:rPr>
                      <w:szCs w:val="21"/>
                    </w:rPr>
                    <w:t>空间布局约束</w:t>
                  </w:r>
                </w:p>
              </w:tc>
              <w:tc>
                <w:tcPr>
                  <w:tcW w:w="3242" w:type="dxa"/>
                  <w:vAlign w:val="center"/>
                </w:tcPr>
                <w:p w14:paraId="70070E76">
                  <w:pPr>
                    <w:jc w:val="center"/>
                    <w:rPr>
                      <w:szCs w:val="21"/>
                    </w:rPr>
                  </w:pPr>
                  <w:r>
                    <w:rPr>
                      <w:szCs w:val="21"/>
                    </w:rPr>
                    <w:t>1、科学合理调整用地布局和产业结构。南堡经济开发区东区临曹妃甸湿地，最近距离保护区核心480m，距缓冲区、实验区70m。东区东边界与保护区西边界之间禁止建设工业交通道路。</w:t>
                  </w:r>
                </w:p>
                <w:p w14:paraId="7497CED7">
                  <w:pPr>
                    <w:jc w:val="center"/>
                    <w:rPr>
                      <w:szCs w:val="21"/>
                    </w:rPr>
                  </w:pPr>
                  <w:r>
                    <w:rPr>
                      <w:szCs w:val="21"/>
                    </w:rPr>
                    <w:t>2、禁止新建、改建、扩建会对下游辽东湾渤海湾莱州湾国家级水产种质资源保护区海域产生污染的排污口。</w:t>
                  </w:r>
                </w:p>
                <w:p w14:paraId="1B048F9A">
                  <w:pPr>
                    <w:jc w:val="center"/>
                    <w:rPr>
                      <w:szCs w:val="21"/>
                    </w:rPr>
                  </w:pPr>
                  <w:r>
                    <w:rPr>
                      <w:szCs w:val="21"/>
                    </w:rPr>
                    <w:t>3、开发区规划范围内基本农田执行全市总体准入要求中一般生态空间的基本衣田管控要求。</w:t>
                  </w:r>
                </w:p>
              </w:tc>
              <w:tc>
                <w:tcPr>
                  <w:tcW w:w="1351" w:type="dxa"/>
                  <w:vAlign w:val="center"/>
                </w:tcPr>
                <w:p w14:paraId="38DAFA5F">
                  <w:pPr>
                    <w:jc w:val="center"/>
                    <w:rPr>
                      <w:szCs w:val="21"/>
                    </w:rPr>
                  </w:pPr>
                  <w:r>
                    <w:rPr>
                      <w:szCs w:val="21"/>
                    </w:rPr>
                    <w:t>本项目不涉及</w:t>
                  </w:r>
                </w:p>
              </w:tc>
              <w:tc>
                <w:tcPr>
                  <w:tcW w:w="523" w:type="dxa"/>
                  <w:vAlign w:val="center"/>
                </w:tcPr>
                <w:p w14:paraId="25202BA4">
                  <w:pPr>
                    <w:jc w:val="center"/>
                    <w:rPr>
                      <w:szCs w:val="21"/>
                    </w:rPr>
                  </w:pPr>
                  <w:r>
                    <w:rPr>
                      <w:szCs w:val="21"/>
                    </w:rPr>
                    <w:t>符合</w:t>
                  </w:r>
                </w:p>
              </w:tc>
            </w:tr>
            <w:tr w14:paraId="5AEDE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01AB3B0D">
                  <w:pPr>
                    <w:jc w:val="center"/>
                    <w:rPr>
                      <w:szCs w:val="21"/>
                    </w:rPr>
                  </w:pPr>
                </w:p>
              </w:tc>
              <w:tc>
                <w:tcPr>
                  <w:tcW w:w="751" w:type="dxa"/>
                  <w:vAlign w:val="center"/>
                </w:tcPr>
                <w:p w14:paraId="0ABFC0A0">
                  <w:pPr>
                    <w:jc w:val="center"/>
                    <w:rPr>
                      <w:szCs w:val="21"/>
                    </w:rPr>
                  </w:pPr>
                  <w:r>
                    <w:rPr>
                      <w:szCs w:val="21"/>
                    </w:rPr>
                    <w:t>污染物排放管控</w:t>
                  </w:r>
                </w:p>
              </w:tc>
              <w:tc>
                <w:tcPr>
                  <w:tcW w:w="3242" w:type="dxa"/>
                  <w:vAlign w:val="center"/>
                </w:tcPr>
                <w:p w14:paraId="41342DC3">
                  <w:pPr>
                    <w:jc w:val="center"/>
                    <w:rPr>
                      <w:szCs w:val="21"/>
                    </w:rPr>
                  </w:pPr>
                  <w:r>
                    <w:rPr>
                      <w:szCs w:val="21"/>
                    </w:rPr>
                    <w:t>1、严禁开发区初期雨水直接排放，初期雨水需通过集水系统收集后经过处理后达标排放。严禁开发区化学品、风险事故排水直接进入水体。</w:t>
                  </w:r>
                </w:p>
                <w:p w14:paraId="4118612D">
                  <w:pPr>
                    <w:jc w:val="center"/>
                    <w:rPr>
                      <w:szCs w:val="21"/>
                    </w:rPr>
                  </w:pPr>
                  <w:r>
                    <w:rPr>
                      <w:szCs w:val="21"/>
                    </w:rPr>
                    <w:t>2、深化企业超低排放标准治理，加快“五大行业”全流程达标治理。钢铁、焦化、电力、水泥、平板玻璃等五大行业在点源达到超低排放的基础上强化无组织排放管理，完成全流程整治。</w:t>
                  </w:r>
                </w:p>
              </w:tc>
              <w:tc>
                <w:tcPr>
                  <w:tcW w:w="1351" w:type="dxa"/>
                  <w:vAlign w:val="center"/>
                </w:tcPr>
                <w:p w14:paraId="0E191A6E">
                  <w:pPr>
                    <w:jc w:val="center"/>
                    <w:rPr>
                      <w:szCs w:val="21"/>
                    </w:rPr>
                  </w:pPr>
                  <w:r>
                    <w:rPr>
                      <w:szCs w:val="21"/>
                    </w:rPr>
                    <w:t>本项目不涉及</w:t>
                  </w:r>
                </w:p>
              </w:tc>
              <w:tc>
                <w:tcPr>
                  <w:tcW w:w="523" w:type="dxa"/>
                  <w:vAlign w:val="center"/>
                </w:tcPr>
                <w:p w14:paraId="418A2732">
                  <w:pPr>
                    <w:jc w:val="center"/>
                    <w:rPr>
                      <w:szCs w:val="21"/>
                    </w:rPr>
                  </w:pPr>
                  <w:r>
                    <w:rPr>
                      <w:szCs w:val="21"/>
                    </w:rPr>
                    <w:t>符合</w:t>
                  </w:r>
                </w:p>
              </w:tc>
            </w:tr>
            <w:tr w14:paraId="21A3E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430FEC75">
                  <w:pPr>
                    <w:jc w:val="center"/>
                    <w:rPr>
                      <w:szCs w:val="21"/>
                    </w:rPr>
                  </w:pPr>
                </w:p>
              </w:tc>
              <w:tc>
                <w:tcPr>
                  <w:tcW w:w="751" w:type="dxa"/>
                  <w:vAlign w:val="center"/>
                </w:tcPr>
                <w:p w14:paraId="4B70558B">
                  <w:pPr>
                    <w:jc w:val="center"/>
                    <w:rPr>
                      <w:szCs w:val="21"/>
                    </w:rPr>
                  </w:pPr>
                  <w:r>
                    <w:rPr>
                      <w:szCs w:val="21"/>
                    </w:rPr>
                    <w:t>环境风险防控</w:t>
                  </w:r>
                </w:p>
              </w:tc>
              <w:tc>
                <w:tcPr>
                  <w:tcW w:w="3242" w:type="dxa"/>
                  <w:vAlign w:val="center"/>
                </w:tcPr>
                <w:p w14:paraId="1EEABA1D">
                  <w:pPr>
                    <w:jc w:val="center"/>
                    <w:rPr>
                      <w:szCs w:val="21"/>
                    </w:rPr>
                  </w:pPr>
                  <w:r>
                    <w:rPr>
                      <w:szCs w:val="21"/>
                    </w:rPr>
                    <w:t>1、开发区及入区企业应当依法制定并及时修订《突发环境事件应急预案》，成立应急组织机构，定期开展应急演练，提高区域环境风险防范能力。</w:t>
                  </w:r>
                </w:p>
                <w:p w14:paraId="26B0E949">
                  <w:pPr>
                    <w:jc w:val="center"/>
                    <w:rPr>
                      <w:szCs w:val="21"/>
                    </w:rPr>
                  </w:pPr>
                  <w:r>
                    <w:rPr>
                      <w:szCs w:val="21"/>
                    </w:rPr>
                    <w:t>2、危险废物集中处置行业企业需严格执行其环评文件要求的卫生防护距离；贮存危险废物需满足《中华人民共和国固体废物污染环境防治法》及《唐山市强化危险废物监管和利用处置能力改革行动方案》(唐政办字(2021)70 号)规定。</w:t>
                  </w:r>
                </w:p>
                <w:p w14:paraId="7964E0B5">
                  <w:pPr>
                    <w:jc w:val="center"/>
                    <w:rPr>
                      <w:szCs w:val="21"/>
                    </w:rPr>
                  </w:pPr>
                  <w:r>
                    <w:rPr>
                      <w:szCs w:val="21"/>
                    </w:rPr>
                    <w:t>3、产生、收集、贮存、运输、利用、处置危险废物的单位，应当依法制定意外事故的防范措施和应急预案，并向所在地生态环境主管部门和其他负有固体废物污染环境防治监督管理职责的部门备案。</w:t>
                  </w:r>
                </w:p>
                <w:p w14:paraId="6A445B06">
                  <w:pPr>
                    <w:jc w:val="center"/>
                    <w:rPr>
                      <w:szCs w:val="21"/>
                    </w:rPr>
                  </w:pPr>
                  <w:r>
                    <w:rPr>
                      <w:szCs w:val="21"/>
                    </w:rPr>
                    <w:t>4、土壤污染重点监管单位应严格控制有毒有害物质排放，并按年度向所在地生态环境主管部门报告排放情况；建立土壤污染隐患排査制度，及时开展隐患排查，发现土壤污染隐患并采取措施消除或者降低污染隐患，保证持续有效防止有毒有害</w:t>
                  </w:r>
                </w:p>
                <w:p w14:paraId="1718A74A">
                  <w:pPr>
                    <w:jc w:val="center"/>
                    <w:rPr>
                      <w:szCs w:val="21"/>
                    </w:rPr>
                  </w:pPr>
                  <w:r>
                    <w:rPr>
                      <w:szCs w:val="21"/>
                    </w:rPr>
                    <w:t>物质渗漏、流失、扬散；制定、实施自行监测方案，按照相关技术规范要求开展土壤、地下水环境监测，并将监测数据报所在地生态环境主管部门。</w:t>
                  </w:r>
                </w:p>
              </w:tc>
              <w:tc>
                <w:tcPr>
                  <w:tcW w:w="1351" w:type="dxa"/>
                  <w:vAlign w:val="center"/>
                </w:tcPr>
                <w:p w14:paraId="58653B02">
                  <w:pPr>
                    <w:jc w:val="center"/>
                    <w:rPr>
                      <w:szCs w:val="21"/>
                    </w:rPr>
                  </w:pPr>
                  <w:r>
                    <w:rPr>
                      <w:szCs w:val="21"/>
                    </w:rPr>
                    <w:t>本项目依法制定并及时修订《突发环境事件应急预案》，并向主管部门备案，成立应急组织机构，定期开展应急演练；本项目危废贮存满足国家及地方相关规定</w:t>
                  </w:r>
                </w:p>
              </w:tc>
              <w:tc>
                <w:tcPr>
                  <w:tcW w:w="523" w:type="dxa"/>
                  <w:vAlign w:val="center"/>
                </w:tcPr>
                <w:p w14:paraId="13B1EA5F">
                  <w:pPr>
                    <w:jc w:val="center"/>
                    <w:rPr>
                      <w:szCs w:val="21"/>
                    </w:rPr>
                  </w:pPr>
                  <w:r>
                    <w:rPr>
                      <w:szCs w:val="21"/>
                    </w:rPr>
                    <w:t>符合</w:t>
                  </w:r>
                </w:p>
              </w:tc>
            </w:tr>
            <w:tr w14:paraId="05FF8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936" w:type="dxa"/>
                  <w:vMerge w:val="continue"/>
                  <w:vAlign w:val="center"/>
                </w:tcPr>
                <w:p w14:paraId="41B21A56">
                  <w:pPr>
                    <w:jc w:val="center"/>
                    <w:rPr>
                      <w:szCs w:val="21"/>
                    </w:rPr>
                  </w:pPr>
                </w:p>
              </w:tc>
              <w:tc>
                <w:tcPr>
                  <w:tcW w:w="751" w:type="dxa"/>
                  <w:vAlign w:val="center"/>
                </w:tcPr>
                <w:p w14:paraId="44C04C35">
                  <w:pPr>
                    <w:jc w:val="center"/>
                    <w:rPr>
                      <w:szCs w:val="21"/>
                    </w:rPr>
                  </w:pPr>
                  <w:r>
                    <w:rPr>
                      <w:szCs w:val="21"/>
                    </w:rPr>
                    <w:t>资源利用效率</w:t>
                  </w:r>
                </w:p>
              </w:tc>
              <w:tc>
                <w:tcPr>
                  <w:tcW w:w="3242" w:type="dxa"/>
                  <w:vAlign w:val="center"/>
                </w:tcPr>
                <w:p w14:paraId="4280F149">
                  <w:pPr>
                    <w:jc w:val="center"/>
                    <w:rPr>
                      <w:szCs w:val="21"/>
                    </w:rPr>
                  </w:pPr>
                  <w:r>
                    <w:rPr>
                      <w:szCs w:val="21"/>
                    </w:rPr>
                    <w:t>1、禁燃区执行全市资源利用总体管控要求中禁燃区管控要求。</w:t>
                  </w:r>
                </w:p>
                <w:p w14:paraId="40398BD3">
                  <w:pPr>
                    <w:jc w:val="center"/>
                    <w:rPr>
                      <w:szCs w:val="21"/>
                    </w:rPr>
                  </w:pPr>
                  <w:r>
                    <w:rPr>
                      <w:szCs w:val="21"/>
                    </w:rPr>
                    <w:t>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w:t>
                  </w:r>
                </w:p>
                <w:p w14:paraId="5AED6740">
                  <w:pPr>
                    <w:jc w:val="center"/>
                    <w:rPr>
                      <w:szCs w:val="21"/>
                    </w:rPr>
                  </w:pPr>
                  <w:r>
                    <w:rPr>
                      <w:szCs w:val="21"/>
                    </w:rPr>
                    <w:t>发展。</w:t>
                  </w:r>
                </w:p>
                <w:p w14:paraId="00DB025F">
                  <w:pPr>
                    <w:jc w:val="center"/>
                    <w:rPr>
                      <w:szCs w:val="21"/>
                    </w:rPr>
                  </w:pPr>
                  <w:r>
                    <w:rPr>
                      <w:szCs w:val="21"/>
                    </w:rPr>
                    <w:t>3、希望路街道、唐海镇、滨海镇、孙塘庄镇位于深层地下水限采区，执行全市资源利用总体管控要求中地下水限采区管控要求。</w:t>
                  </w:r>
                </w:p>
                <w:p w14:paraId="00CD7575">
                  <w:pPr>
                    <w:jc w:val="center"/>
                    <w:rPr>
                      <w:szCs w:val="21"/>
                    </w:rPr>
                  </w:pPr>
                  <w:r>
                    <w:rPr>
                      <w:szCs w:val="21"/>
                    </w:rPr>
                    <w:t>4、提高水资源重复利用率，加强再生水的回用。污水经深度处理后满足相关再生水回用的标准，回用于工业用水、绿地浇酒、道路喷洒等。</w:t>
                  </w:r>
                </w:p>
                <w:p w14:paraId="7FA40F68">
                  <w:pPr>
                    <w:jc w:val="center"/>
                    <w:rPr>
                      <w:szCs w:val="21"/>
                    </w:rPr>
                  </w:pPr>
                  <w:r>
                    <w:rPr>
                      <w:szCs w:val="21"/>
                    </w:rPr>
                    <w:t>5、城镇开发边界外区域，暂不开发建设，待土地性质调整后方可开发利用。</w:t>
                  </w:r>
                </w:p>
              </w:tc>
              <w:tc>
                <w:tcPr>
                  <w:tcW w:w="1351" w:type="dxa"/>
                  <w:vAlign w:val="center"/>
                </w:tcPr>
                <w:p w14:paraId="23B34E24">
                  <w:pPr>
                    <w:jc w:val="center"/>
                    <w:rPr>
                      <w:szCs w:val="21"/>
                    </w:rPr>
                  </w:pPr>
                  <w:r>
                    <w:rPr>
                      <w:szCs w:val="21"/>
                    </w:rPr>
                    <w:t>本项目不涉及燃煤，不取用地下水，运营期生活污水经深度处理后满足相关再生水回用的标准，回用于绿地浇酒、道路喷洒等</w:t>
                  </w:r>
                </w:p>
              </w:tc>
              <w:tc>
                <w:tcPr>
                  <w:tcW w:w="523" w:type="dxa"/>
                  <w:vAlign w:val="center"/>
                </w:tcPr>
                <w:p w14:paraId="09E6B3C3">
                  <w:pPr>
                    <w:jc w:val="center"/>
                    <w:rPr>
                      <w:szCs w:val="21"/>
                    </w:rPr>
                  </w:pPr>
                  <w:r>
                    <w:rPr>
                      <w:szCs w:val="21"/>
                    </w:rPr>
                    <w:t>符合</w:t>
                  </w:r>
                </w:p>
              </w:tc>
            </w:tr>
            <w:tr w14:paraId="2C146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restart"/>
                  <w:vAlign w:val="center"/>
                </w:tcPr>
                <w:p w14:paraId="72A2A44B">
                  <w:pPr>
                    <w:jc w:val="center"/>
                    <w:rPr>
                      <w:kern w:val="0"/>
                      <w:szCs w:val="21"/>
                    </w:rPr>
                  </w:pPr>
                  <w:r>
                    <w:rPr>
                      <w:kern w:val="0"/>
                      <w:szCs w:val="21"/>
                    </w:rPr>
                    <w:t>ZH13020920003--曹妃甸区--唐海镇、</w:t>
                  </w:r>
                </w:p>
                <w:p w14:paraId="6ACA0769">
                  <w:pPr>
                    <w:jc w:val="center"/>
                    <w:rPr>
                      <w:szCs w:val="21"/>
                    </w:rPr>
                  </w:pPr>
                  <w:r>
                    <w:rPr>
                      <w:kern w:val="0"/>
                      <w:szCs w:val="21"/>
                    </w:rPr>
                    <w:t>中山路街道--重点管控单元</w:t>
                  </w:r>
                </w:p>
              </w:tc>
              <w:tc>
                <w:tcPr>
                  <w:tcW w:w="751" w:type="dxa"/>
                  <w:vAlign w:val="center"/>
                </w:tcPr>
                <w:p w14:paraId="7CB6B5A1">
                  <w:pPr>
                    <w:jc w:val="center"/>
                    <w:rPr>
                      <w:szCs w:val="21"/>
                    </w:rPr>
                  </w:pPr>
                  <w:r>
                    <w:rPr>
                      <w:szCs w:val="21"/>
                    </w:rPr>
                    <w:t>空间布局约束</w:t>
                  </w:r>
                </w:p>
              </w:tc>
              <w:tc>
                <w:tcPr>
                  <w:tcW w:w="3242" w:type="dxa"/>
                  <w:vAlign w:val="center"/>
                </w:tcPr>
                <w:p w14:paraId="0F148107">
                  <w:pPr>
                    <w:adjustRightInd w:val="0"/>
                    <w:textAlignment w:val="baseline"/>
                    <w:rPr>
                      <w:kern w:val="0"/>
                      <w:szCs w:val="21"/>
                    </w:rPr>
                  </w:pPr>
                  <w:r>
                    <w:rPr>
                      <w:kern w:val="0"/>
                      <w:szCs w:val="21"/>
                    </w:rPr>
                    <w:t>1、禁止资源消耗高、环境污染重、废物难处理、不符合国家、河北省产业政策、行业准入条件和落后的生产技术、工艺、装备和产品入驻。</w:t>
                  </w:r>
                </w:p>
                <w:p w14:paraId="4566AADA">
                  <w:pPr>
                    <w:adjustRightInd w:val="0"/>
                    <w:textAlignment w:val="baseline"/>
                    <w:rPr>
                      <w:kern w:val="0"/>
                      <w:szCs w:val="21"/>
                    </w:rPr>
                  </w:pPr>
                  <w:r>
                    <w:rPr>
                      <w:kern w:val="0"/>
                      <w:szCs w:val="21"/>
                    </w:rPr>
                    <w:t>2、禁止在公园绿地、广场绿地等规划绿地范围内开展与绿地无关的建设活动，禁止占用河道范围，禁止占用公路、铁路用地红线。</w:t>
                  </w:r>
                </w:p>
              </w:tc>
              <w:tc>
                <w:tcPr>
                  <w:tcW w:w="1351" w:type="dxa"/>
                  <w:vAlign w:val="center"/>
                </w:tcPr>
                <w:p w14:paraId="53BFC2F9">
                  <w:pPr>
                    <w:adjustRightInd w:val="0"/>
                    <w:jc w:val="center"/>
                    <w:textAlignment w:val="baseline"/>
                    <w:rPr>
                      <w:kern w:val="0"/>
                      <w:szCs w:val="21"/>
                    </w:rPr>
                  </w:pPr>
                  <w:r>
                    <w:rPr>
                      <w:kern w:val="0"/>
                      <w:szCs w:val="21"/>
                    </w:rPr>
                    <w:t>本项目不涉及</w:t>
                  </w:r>
                </w:p>
              </w:tc>
              <w:tc>
                <w:tcPr>
                  <w:tcW w:w="523" w:type="dxa"/>
                  <w:vAlign w:val="center"/>
                </w:tcPr>
                <w:p w14:paraId="3DC373C7">
                  <w:pPr>
                    <w:jc w:val="center"/>
                    <w:rPr>
                      <w:szCs w:val="21"/>
                    </w:rPr>
                  </w:pPr>
                  <w:r>
                    <w:rPr>
                      <w:szCs w:val="21"/>
                    </w:rPr>
                    <w:t>符合</w:t>
                  </w:r>
                </w:p>
              </w:tc>
            </w:tr>
            <w:tr w14:paraId="1D64B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4946FA31">
                  <w:pPr>
                    <w:jc w:val="center"/>
                    <w:rPr>
                      <w:szCs w:val="21"/>
                    </w:rPr>
                  </w:pPr>
                </w:p>
              </w:tc>
              <w:tc>
                <w:tcPr>
                  <w:tcW w:w="751" w:type="dxa"/>
                  <w:vAlign w:val="center"/>
                </w:tcPr>
                <w:p w14:paraId="2C64E6D7">
                  <w:pPr>
                    <w:jc w:val="center"/>
                    <w:rPr>
                      <w:szCs w:val="21"/>
                    </w:rPr>
                  </w:pPr>
                  <w:r>
                    <w:rPr>
                      <w:szCs w:val="21"/>
                    </w:rPr>
                    <w:t>污染物排放管控</w:t>
                  </w:r>
                </w:p>
              </w:tc>
              <w:tc>
                <w:tcPr>
                  <w:tcW w:w="3242" w:type="dxa"/>
                  <w:vAlign w:val="center"/>
                </w:tcPr>
                <w:p w14:paraId="342494DE">
                  <w:pPr>
                    <w:adjustRightInd w:val="0"/>
                    <w:textAlignment w:val="baseline"/>
                    <w:rPr>
                      <w:kern w:val="0"/>
                      <w:szCs w:val="21"/>
                    </w:rPr>
                  </w:pPr>
                  <w:r>
                    <w:rPr>
                      <w:kern w:val="0"/>
                      <w:szCs w:val="21"/>
                    </w:rPr>
                    <w:t>1、深化企业超低排放标准治理，加快“五大行业”全流程达标治理。钢铁、焦化、电力、水泥、平板玻璃等五大行业在点源达到超低排放的基础上强化无组织排放管理，完成全流程整治。</w:t>
                  </w:r>
                </w:p>
                <w:p w14:paraId="0DB60AE8">
                  <w:pPr>
                    <w:adjustRightInd w:val="0"/>
                    <w:textAlignment w:val="baseline"/>
                    <w:rPr>
                      <w:kern w:val="0"/>
                      <w:szCs w:val="21"/>
                    </w:rPr>
                  </w:pPr>
                  <w:r>
                    <w:rPr>
                      <w:kern w:val="0"/>
                      <w:szCs w:val="21"/>
                    </w:rPr>
                    <w:t>2、加快完成园区污水处理厂及相应污水管网建设，推进园区内工业企业废水统一收集、集中处理，污水集中处理设施稳定达标运行，逐步提高园区监管水平，完善工业园区水污染防治工作台账。</w:t>
                  </w:r>
                </w:p>
              </w:tc>
              <w:tc>
                <w:tcPr>
                  <w:tcW w:w="1351" w:type="dxa"/>
                  <w:vAlign w:val="center"/>
                </w:tcPr>
                <w:p w14:paraId="4DD89C4B">
                  <w:pPr>
                    <w:adjustRightInd w:val="0"/>
                    <w:jc w:val="center"/>
                    <w:textAlignment w:val="baseline"/>
                    <w:rPr>
                      <w:kern w:val="0"/>
                      <w:szCs w:val="21"/>
                    </w:rPr>
                  </w:pPr>
                  <w:r>
                    <w:rPr>
                      <w:kern w:val="0"/>
                      <w:szCs w:val="21"/>
                    </w:rPr>
                    <w:t>本项目不涉及</w:t>
                  </w:r>
                </w:p>
              </w:tc>
              <w:tc>
                <w:tcPr>
                  <w:tcW w:w="523" w:type="dxa"/>
                  <w:vAlign w:val="center"/>
                </w:tcPr>
                <w:p w14:paraId="70F26EF6">
                  <w:pPr>
                    <w:jc w:val="center"/>
                    <w:rPr>
                      <w:szCs w:val="21"/>
                    </w:rPr>
                  </w:pPr>
                  <w:r>
                    <w:rPr>
                      <w:szCs w:val="21"/>
                    </w:rPr>
                    <w:t>符合</w:t>
                  </w:r>
                </w:p>
              </w:tc>
            </w:tr>
            <w:tr w14:paraId="2CD7D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36AEB578">
                  <w:pPr>
                    <w:jc w:val="center"/>
                    <w:rPr>
                      <w:szCs w:val="21"/>
                    </w:rPr>
                  </w:pPr>
                </w:p>
              </w:tc>
              <w:tc>
                <w:tcPr>
                  <w:tcW w:w="751" w:type="dxa"/>
                  <w:vAlign w:val="center"/>
                </w:tcPr>
                <w:p w14:paraId="6DB95334">
                  <w:pPr>
                    <w:jc w:val="center"/>
                    <w:rPr>
                      <w:szCs w:val="21"/>
                    </w:rPr>
                  </w:pPr>
                  <w:r>
                    <w:rPr>
                      <w:szCs w:val="21"/>
                    </w:rPr>
                    <w:t>环境风险防控</w:t>
                  </w:r>
                </w:p>
              </w:tc>
              <w:tc>
                <w:tcPr>
                  <w:tcW w:w="3242" w:type="dxa"/>
                  <w:vAlign w:val="center"/>
                </w:tcPr>
                <w:p w14:paraId="71957E5F">
                  <w:pPr>
                    <w:adjustRightInd w:val="0"/>
                    <w:textAlignment w:val="baseline"/>
                    <w:rPr>
                      <w:kern w:val="0"/>
                      <w:szCs w:val="21"/>
                    </w:rPr>
                  </w:pPr>
                  <w:r>
                    <w:rPr>
                      <w:kern w:val="0"/>
                      <w:szCs w:val="21"/>
                    </w:rPr>
                    <w:t>1、园区及入区企业应当依法制定并及时修订《突发环境事件应急预案》，成立应急组织机构，定期开展应急演练，提高区域环境风险防范能力。</w:t>
                  </w:r>
                </w:p>
                <w:p w14:paraId="76D92A6C">
                  <w:pPr>
                    <w:adjustRightInd w:val="0"/>
                    <w:textAlignment w:val="baseline"/>
                    <w:rPr>
                      <w:kern w:val="0"/>
                      <w:szCs w:val="21"/>
                    </w:rPr>
                  </w:pPr>
                  <w:r>
                    <w:rPr>
                      <w:kern w:val="0"/>
                      <w:szCs w:val="21"/>
                    </w:rPr>
                    <w:t>2、危险废物集中处置行业企业需严格执行其环评文件要求的卫生防护距离；贮存危险废物需满足《中华人民共和国固体废物污染环境防治法》及《唐山市强化危险废物监管和利用处置能力改革行动方案》(唐政办字(2021)70 号)规定。</w:t>
                  </w:r>
                </w:p>
                <w:p w14:paraId="4F3CC9A2">
                  <w:pPr>
                    <w:adjustRightInd w:val="0"/>
                    <w:textAlignment w:val="baseline"/>
                    <w:rPr>
                      <w:kern w:val="0"/>
                      <w:szCs w:val="21"/>
                    </w:rPr>
                  </w:pPr>
                  <w:r>
                    <w:rPr>
                      <w:kern w:val="0"/>
                      <w:szCs w:val="21"/>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w:t>
                  </w:r>
                </w:p>
                <w:p w14:paraId="5216F98A">
                  <w:pPr>
                    <w:adjustRightInd w:val="0"/>
                    <w:textAlignment w:val="baseline"/>
                    <w:rPr>
                      <w:kern w:val="0"/>
                      <w:szCs w:val="21"/>
                    </w:rPr>
                  </w:pPr>
                  <w:r>
                    <w:rPr>
                      <w:kern w:val="0"/>
                      <w:szCs w:val="21"/>
                    </w:rPr>
                    <w:t>勿质渗漏、流失、扬散；制定、实施自行监测方案，按照相关技术规范要求开展土壤、地下水环境监测，并将监测数据报所在地生态环境主管部门。</w:t>
                  </w:r>
                </w:p>
              </w:tc>
              <w:tc>
                <w:tcPr>
                  <w:tcW w:w="1351" w:type="dxa"/>
                  <w:vAlign w:val="center"/>
                </w:tcPr>
                <w:p w14:paraId="6A5A1F70">
                  <w:pPr>
                    <w:jc w:val="center"/>
                    <w:rPr>
                      <w:szCs w:val="21"/>
                    </w:rPr>
                  </w:pPr>
                  <w:r>
                    <w:rPr>
                      <w:szCs w:val="21"/>
                    </w:rPr>
                    <w:t>本项目依法制定并及时修订《突发环境事件应急预案》，并向主管部门备案，成立应急组织机构，定期开展应急演练；本项目危废贮存满足国家及地方相关规定</w:t>
                  </w:r>
                </w:p>
              </w:tc>
              <w:tc>
                <w:tcPr>
                  <w:tcW w:w="523" w:type="dxa"/>
                  <w:vAlign w:val="center"/>
                </w:tcPr>
                <w:p w14:paraId="4D273F15">
                  <w:pPr>
                    <w:jc w:val="center"/>
                    <w:rPr>
                      <w:szCs w:val="21"/>
                    </w:rPr>
                  </w:pPr>
                  <w:r>
                    <w:rPr>
                      <w:szCs w:val="21"/>
                    </w:rPr>
                    <w:t>符合</w:t>
                  </w:r>
                </w:p>
              </w:tc>
            </w:tr>
            <w:tr w14:paraId="7E13E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3CE1A522">
                  <w:pPr>
                    <w:jc w:val="center"/>
                    <w:rPr>
                      <w:szCs w:val="21"/>
                    </w:rPr>
                  </w:pPr>
                </w:p>
              </w:tc>
              <w:tc>
                <w:tcPr>
                  <w:tcW w:w="751" w:type="dxa"/>
                  <w:vAlign w:val="center"/>
                </w:tcPr>
                <w:p w14:paraId="70BD9BCB">
                  <w:pPr>
                    <w:jc w:val="center"/>
                    <w:rPr>
                      <w:szCs w:val="21"/>
                    </w:rPr>
                  </w:pPr>
                  <w:r>
                    <w:rPr>
                      <w:szCs w:val="21"/>
                    </w:rPr>
                    <w:t>资源利用效率要求</w:t>
                  </w:r>
                </w:p>
              </w:tc>
              <w:tc>
                <w:tcPr>
                  <w:tcW w:w="3242" w:type="dxa"/>
                  <w:vAlign w:val="center"/>
                </w:tcPr>
                <w:p w14:paraId="6890AE16">
                  <w:pPr>
                    <w:adjustRightInd w:val="0"/>
                    <w:textAlignment w:val="baseline"/>
                    <w:rPr>
                      <w:kern w:val="0"/>
                      <w:szCs w:val="21"/>
                    </w:rPr>
                  </w:pPr>
                  <w:r>
                    <w:rPr>
                      <w:kern w:val="0"/>
                      <w:szCs w:val="21"/>
                    </w:rPr>
                    <w:t>1、禁燃区执行全市资源利用总体管控要求中禁燃区管控要求。</w:t>
                  </w:r>
                </w:p>
                <w:p w14:paraId="384B0CE9">
                  <w:pPr>
                    <w:adjustRightInd w:val="0"/>
                    <w:textAlignment w:val="baseline"/>
                    <w:rPr>
                      <w:kern w:val="0"/>
                      <w:szCs w:val="21"/>
                    </w:rPr>
                  </w:pPr>
                  <w:r>
                    <w:rPr>
                      <w:kern w:val="0"/>
                      <w:szCs w:val="21"/>
                    </w:rPr>
                    <w:t>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w:t>
                  </w:r>
                </w:p>
                <w:p w14:paraId="66034CB5">
                  <w:pPr>
                    <w:adjustRightInd w:val="0"/>
                    <w:textAlignment w:val="baseline"/>
                    <w:rPr>
                      <w:kern w:val="0"/>
                      <w:szCs w:val="21"/>
                    </w:rPr>
                  </w:pPr>
                  <w:r>
                    <w:rPr>
                      <w:kern w:val="0"/>
                      <w:szCs w:val="21"/>
                    </w:rPr>
                    <w:t>发展。</w:t>
                  </w:r>
                </w:p>
                <w:p w14:paraId="52CC2997">
                  <w:pPr>
                    <w:adjustRightInd w:val="0"/>
                    <w:textAlignment w:val="baseline"/>
                    <w:rPr>
                      <w:kern w:val="0"/>
                      <w:szCs w:val="21"/>
                    </w:rPr>
                  </w:pPr>
                  <w:r>
                    <w:rPr>
                      <w:kern w:val="0"/>
                      <w:szCs w:val="21"/>
                    </w:rPr>
                    <w:t>3、唐海镇、中山路街道位于深层地下水限采区，执行全市资源利用总体管控要求中地下水限采区管控要求。</w:t>
                  </w:r>
                </w:p>
                <w:p w14:paraId="10ACA482">
                  <w:pPr>
                    <w:adjustRightInd w:val="0"/>
                    <w:textAlignment w:val="baseline"/>
                    <w:rPr>
                      <w:kern w:val="0"/>
                      <w:szCs w:val="21"/>
                    </w:rPr>
                  </w:pPr>
                  <w:r>
                    <w:rPr>
                      <w:kern w:val="0"/>
                      <w:szCs w:val="21"/>
                    </w:rPr>
                    <w:t>4、城镇开发边界外区域，暂不开发建设，待土地性质调整后方可开发利用。</w:t>
                  </w:r>
                </w:p>
              </w:tc>
              <w:tc>
                <w:tcPr>
                  <w:tcW w:w="1351" w:type="dxa"/>
                  <w:vAlign w:val="center"/>
                </w:tcPr>
                <w:p w14:paraId="2A907667">
                  <w:pPr>
                    <w:jc w:val="center"/>
                    <w:rPr>
                      <w:szCs w:val="21"/>
                    </w:rPr>
                  </w:pPr>
                  <w:r>
                    <w:rPr>
                      <w:szCs w:val="21"/>
                    </w:rPr>
                    <w:t>本项目不涉及燃煤；本项目不开采地下水，用水为外购，项目用水量较少</w:t>
                  </w:r>
                </w:p>
              </w:tc>
              <w:tc>
                <w:tcPr>
                  <w:tcW w:w="523" w:type="dxa"/>
                  <w:vAlign w:val="center"/>
                </w:tcPr>
                <w:p w14:paraId="399DB83B">
                  <w:pPr>
                    <w:jc w:val="center"/>
                    <w:rPr>
                      <w:szCs w:val="21"/>
                    </w:rPr>
                  </w:pPr>
                  <w:r>
                    <w:rPr>
                      <w:szCs w:val="21"/>
                    </w:rPr>
                    <w:t>符合</w:t>
                  </w:r>
                </w:p>
              </w:tc>
            </w:tr>
            <w:tr w14:paraId="3DA6D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restart"/>
                  <w:vAlign w:val="center"/>
                </w:tcPr>
                <w:p w14:paraId="17E8FE8E">
                  <w:pPr>
                    <w:jc w:val="center"/>
                    <w:rPr>
                      <w:szCs w:val="21"/>
                    </w:rPr>
                  </w:pPr>
                  <w:r>
                    <w:rPr>
                      <w:kern w:val="0"/>
                      <w:szCs w:val="21"/>
                    </w:rPr>
                    <w:t>ZH13020920005--曹妃甸区--柳赞镇、双井镇--重点管控单元</w:t>
                  </w:r>
                </w:p>
              </w:tc>
              <w:tc>
                <w:tcPr>
                  <w:tcW w:w="751" w:type="dxa"/>
                  <w:vAlign w:val="center"/>
                </w:tcPr>
                <w:p w14:paraId="7F8D555B">
                  <w:pPr>
                    <w:jc w:val="center"/>
                    <w:rPr>
                      <w:szCs w:val="21"/>
                    </w:rPr>
                  </w:pPr>
                  <w:r>
                    <w:rPr>
                      <w:szCs w:val="21"/>
                    </w:rPr>
                    <w:t>空间布局约束</w:t>
                  </w:r>
                </w:p>
              </w:tc>
              <w:tc>
                <w:tcPr>
                  <w:tcW w:w="3242" w:type="dxa"/>
                  <w:vAlign w:val="center"/>
                </w:tcPr>
                <w:p w14:paraId="1F2C6112">
                  <w:pPr>
                    <w:adjustRightInd w:val="0"/>
                    <w:textAlignment w:val="baseline"/>
                    <w:rPr>
                      <w:kern w:val="0"/>
                      <w:szCs w:val="21"/>
                    </w:rPr>
                  </w:pPr>
                  <w:r>
                    <w:rPr>
                      <w:kern w:val="0"/>
                      <w:szCs w:val="21"/>
                    </w:rPr>
                    <w:t>1、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明确涉水工业企业入园时间表；确因不具备入园条件需原地保留的涉水工业企业，明确保留条件，其中直排环境企业应达到排入水体功能区标准。</w:t>
                  </w:r>
                </w:p>
                <w:p w14:paraId="30D6F0EB">
                  <w:pPr>
                    <w:adjustRightInd w:val="0"/>
                    <w:textAlignment w:val="baseline"/>
                    <w:rPr>
                      <w:kern w:val="0"/>
                      <w:szCs w:val="21"/>
                    </w:rPr>
                  </w:pPr>
                  <w:r>
                    <w:rPr>
                      <w:kern w:val="0"/>
                      <w:szCs w:val="21"/>
                    </w:rPr>
                    <w:t>2、严格按照《唐山市养殖水域滩涂规划（2020-2030）》中养殖水域滩涂功能区划划分的禁止养殖区、限制养殖区和养殖区开展养殖开发。</w:t>
                  </w:r>
                </w:p>
              </w:tc>
              <w:tc>
                <w:tcPr>
                  <w:tcW w:w="1351" w:type="dxa"/>
                  <w:vAlign w:val="center"/>
                </w:tcPr>
                <w:p w14:paraId="1B74C938">
                  <w:pPr>
                    <w:jc w:val="center"/>
                    <w:rPr>
                      <w:szCs w:val="21"/>
                    </w:rPr>
                  </w:pPr>
                  <w:r>
                    <w:rPr>
                      <w:szCs w:val="21"/>
                    </w:rPr>
                    <w:t>本项目不属于工业项目、不属于养殖项目</w:t>
                  </w:r>
                </w:p>
              </w:tc>
              <w:tc>
                <w:tcPr>
                  <w:tcW w:w="523" w:type="dxa"/>
                  <w:vAlign w:val="center"/>
                </w:tcPr>
                <w:p w14:paraId="3D7A025E">
                  <w:pPr>
                    <w:jc w:val="center"/>
                    <w:rPr>
                      <w:szCs w:val="21"/>
                    </w:rPr>
                  </w:pPr>
                  <w:r>
                    <w:rPr>
                      <w:szCs w:val="21"/>
                    </w:rPr>
                    <w:t>符合</w:t>
                  </w:r>
                </w:p>
              </w:tc>
            </w:tr>
            <w:tr w14:paraId="17557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40F5FBD7">
                  <w:pPr>
                    <w:jc w:val="center"/>
                    <w:rPr>
                      <w:szCs w:val="21"/>
                    </w:rPr>
                  </w:pPr>
                </w:p>
              </w:tc>
              <w:tc>
                <w:tcPr>
                  <w:tcW w:w="751" w:type="dxa"/>
                  <w:vAlign w:val="center"/>
                </w:tcPr>
                <w:p w14:paraId="554E2E82">
                  <w:pPr>
                    <w:jc w:val="center"/>
                    <w:rPr>
                      <w:szCs w:val="21"/>
                    </w:rPr>
                  </w:pPr>
                  <w:r>
                    <w:rPr>
                      <w:szCs w:val="21"/>
                    </w:rPr>
                    <w:t>污染物排放管控</w:t>
                  </w:r>
                </w:p>
              </w:tc>
              <w:tc>
                <w:tcPr>
                  <w:tcW w:w="3242" w:type="dxa"/>
                  <w:vAlign w:val="center"/>
                </w:tcPr>
                <w:p w14:paraId="44992D27">
                  <w:pPr>
                    <w:adjustRightInd w:val="0"/>
                    <w:textAlignment w:val="baseline"/>
                    <w:rPr>
                      <w:kern w:val="0"/>
                      <w:szCs w:val="21"/>
                    </w:rPr>
                  </w:pPr>
                  <w:r>
                    <w:rPr>
                      <w:kern w:val="0"/>
                      <w:szCs w:val="21"/>
                    </w:rPr>
                    <w:t>1、巩固“双代一清”成果，争取高标准一次建设到位，采暖季全户使用到位、全域散煤清零到位。深化洁净煤保供体系，对“双代”改造外的农户，做好洁净型煤、兰炭、优质无烟煤保供和推广工作，确保洁净煤兜底全覆盖，实现温暖过冬、安全过冬、清洁过冬。</w:t>
                  </w:r>
                </w:p>
                <w:p w14:paraId="6C5F1CAC">
                  <w:pPr>
                    <w:adjustRightInd w:val="0"/>
                    <w:textAlignment w:val="baseline"/>
                    <w:rPr>
                      <w:kern w:val="0"/>
                      <w:szCs w:val="21"/>
                    </w:rPr>
                  </w:pPr>
                  <w:r>
                    <w:rPr>
                      <w:kern w:val="0"/>
                      <w:szCs w:val="21"/>
                    </w:rPr>
                    <w:t>2、严格水产养殖投入品管理，扩大健康养殖规模，规范水产养殖尾水排放和生态环境监管。</w:t>
                  </w:r>
                </w:p>
              </w:tc>
              <w:tc>
                <w:tcPr>
                  <w:tcW w:w="1351" w:type="dxa"/>
                  <w:vAlign w:val="center"/>
                </w:tcPr>
                <w:p w14:paraId="2BFA2FAF">
                  <w:pPr>
                    <w:adjustRightInd w:val="0"/>
                    <w:jc w:val="center"/>
                    <w:textAlignment w:val="baseline"/>
                    <w:rPr>
                      <w:kern w:val="0"/>
                      <w:szCs w:val="21"/>
                    </w:rPr>
                  </w:pPr>
                  <w:r>
                    <w:rPr>
                      <w:kern w:val="0"/>
                      <w:szCs w:val="21"/>
                    </w:rPr>
                    <w:t>本项目不涉及燃煤采暖、不属于养殖项目</w:t>
                  </w:r>
                </w:p>
              </w:tc>
              <w:tc>
                <w:tcPr>
                  <w:tcW w:w="523" w:type="dxa"/>
                  <w:vAlign w:val="center"/>
                </w:tcPr>
                <w:p w14:paraId="4A7F33A8">
                  <w:pPr>
                    <w:adjustRightInd w:val="0"/>
                    <w:jc w:val="center"/>
                    <w:textAlignment w:val="baseline"/>
                    <w:rPr>
                      <w:kern w:val="0"/>
                      <w:szCs w:val="21"/>
                    </w:rPr>
                  </w:pPr>
                  <w:r>
                    <w:rPr>
                      <w:kern w:val="0"/>
                      <w:szCs w:val="21"/>
                    </w:rPr>
                    <w:t>符合</w:t>
                  </w:r>
                </w:p>
              </w:tc>
            </w:tr>
            <w:tr w14:paraId="2C8A7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36" w:type="dxa"/>
                  <w:vMerge w:val="continue"/>
                  <w:vAlign w:val="center"/>
                </w:tcPr>
                <w:p w14:paraId="7C8F23E6">
                  <w:pPr>
                    <w:jc w:val="center"/>
                    <w:rPr>
                      <w:szCs w:val="21"/>
                    </w:rPr>
                  </w:pPr>
                </w:p>
              </w:tc>
              <w:tc>
                <w:tcPr>
                  <w:tcW w:w="751" w:type="dxa"/>
                  <w:vAlign w:val="center"/>
                </w:tcPr>
                <w:p w14:paraId="7CE07B84">
                  <w:pPr>
                    <w:jc w:val="center"/>
                    <w:rPr>
                      <w:szCs w:val="21"/>
                    </w:rPr>
                  </w:pPr>
                  <w:r>
                    <w:rPr>
                      <w:szCs w:val="21"/>
                    </w:rPr>
                    <w:t>资源利用效率要求</w:t>
                  </w:r>
                </w:p>
              </w:tc>
              <w:tc>
                <w:tcPr>
                  <w:tcW w:w="3242" w:type="dxa"/>
                  <w:vAlign w:val="center"/>
                </w:tcPr>
                <w:p w14:paraId="24DBE42A">
                  <w:pPr>
                    <w:adjustRightInd w:val="0"/>
                    <w:textAlignment w:val="baseline"/>
                    <w:rPr>
                      <w:kern w:val="0"/>
                      <w:szCs w:val="21"/>
                    </w:rPr>
                  </w:pPr>
                  <w:r>
                    <w:rPr>
                      <w:kern w:val="0"/>
                      <w:szCs w:val="21"/>
                    </w:rPr>
                    <w:t xml:space="preserve">1、禁燃区执行全市资源利用总体管控要求中禁燃区管控要求。 </w:t>
                  </w:r>
                </w:p>
                <w:p w14:paraId="4FB7C01D">
                  <w:pPr>
                    <w:adjustRightInd w:val="0"/>
                    <w:textAlignment w:val="baseline"/>
                    <w:rPr>
                      <w:kern w:val="0"/>
                      <w:szCs w:val="21"/>
                    </w:rPr>
                  </w:pPr>
                  <w:r>
                    <w:rPr>
                      <w:kern w:val="0"/>
                      <w:szCs w:val="21"/>
                    </w:rPr>
                    <w:t xml:space="preserve">2、柳赞镇（不含沿海地区）、双井镇位于深层地下水限采区，执行全市资源利用总体管控要求中地下水限采区管控要求。 </w:t>
                  </w:r>
                </w:p>
                <w:p w14:paraId="58B3A37D">
                  <w:pPr>
                    <w:adjustRightInd w:val="0"/>
                    <w:textAlignment w:val="baseline"/>
                    <w:rPr>
                      <w:kern w:val="0"/>
                      <w:szCs w:val="21"/>
                    </w:rPr>
                  </w:pPr>
                  <w:r>
                    <w:rPr>
                      <w:kern w:val="0"/>
                      <w:szCs w:val="21"/>
                    </w:rPr>
                    <w:t>3、优先实施节水行动，统筹推进工业和生活节水。引足用好外调水，统筹生活、生产和生态用水需求，优化配置本地地表水。统筹防洪安全与雨洪利用，推进“以河代库”行动，通过水库增蓄、河道拦蓄、坑塘拦蓄、河系连通和优化调度，增加雨洪调蓄能力。</w:t>
                  </w:r>
                </w:p>
              </w:tc>
              <w:tc>
                <w:tcPr>
                  <w:tcW w:w="1351" w:type="dxa"/>
                  <w:vAlign w:val="center"/>
                </w:tcPr>
                <w:p w14:paraId="16179B47">
                  <w:pPr>
                    <w:jc w:val="center"/>
                    <w:rPr>
                      <w:szCs w:val="21"/>
                    </w:rPr>
                  </w:pPr>
                  <w:r>
                    <w:rPr>
                      <w:szCs w:val="21"/>
                    </w:rPr>
                    <w:t>本项目不涉及燃煤；本项目不开采地下水，用水为外购，项目用水量较少</w:t>
                  </w:r>
                </w:p>
              </w:tc>
              <w:tc>
                <w:tcPr>
                  <w:tcW w:w="523" w:type="dxa"/>
                  <w:vAlign w:val="center"/>
                </w:tcPr>
                <w:p w14:paraId="659037A2">
                  <w:pPr>
                    <w:jc w:val="center"/>
                    <w:rPr>
                      <w:szCs w:val="21"/>
                    </w:rPr>
                  </w:pPr>
                  <w:r>
                    <w:rPr>
                      <w:szCs w:val="21"/>
                    </w:rPr>
                    <w:t>符合</w:t>
                  </w:r>
                </w:p>
              </w:tc>
            </w:tr>
            <w:tr w14:paraId="3C825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restart"/>
                  <w:vAlign w:val="center"/>
                </w:tcPr>
                <w:p w14:paraId="64529CDA">
                  <w:pPr>
                    <w:jc w:val="center"/>
                    <w:rPr>
                      <w:szCs w:val="21"/>
                    </w:rPr>
                  </w:pPr>
                  <w:r>
                    <w:rPr>
                      <w:szCs w:val="21"/>
                      <w:lang w:val="zh-CN"/>
                    </w:rPr>
                    <w:t>ZH13020920007—</w:t>
                  </w:r>
                  <w:r>
                    <w:rPr>
                      <w:szCs w:val="21"/>
                    </w:rPr>
                    <w:t>曹妃甸区—希望路街道、垦</w:t>
                  </w:r>
                </w:p>
                <w:p w14:paraId="538DB68A">
                  <w:pPr>
                    <w:jc w:val="center"/>
                    <w:rPr>
                      <w:szCs w:val="21"/>
                    </w:rPr>
                  </w:pPr>
                  <w:r>
                    <w:rPr>
                      <w:szCs w:val="21"/>
                    </w:rPr>
                    <w:t>丰街道、唐海镇—重点管控单元</w:t>
                  </w:r>
                </w:p>
              </w:tc>
              <w:tc>
                <w:tcPr>
                  <w:tcW w:w="751" w:type="dxa"/>
                  <w:vAlign w:val="center"/>
                </w:tcPr>
                <w:p w14:paraId="62242053">
                  <w:pPr>
                    <w:jc w:val="center"/>
                    <w:rPr>
                      <w:szCs w:val="21"/>
                    </w:rPr>
                  </w:pPr>
                  <w:r>
                    <w:rPr>
                      <w:szCs w:val="21"/>
                    </w:rPr>
                    <w:t>空间布局约束</w:t>
                  </w:r>
                </w:p>
              </w:tc>
              <w:tc>
                <w:tcPr>
                  <w:tcW w:w="3242" w:type="dxa"/>
                  <w:vAlign w:val="center"/>
                </w:tcPr>
                <w:p w14:paraId="0F9DE43B">
                  <w:pPr>
                    <w:adjustRightInd w:val="0"/>
                    <w:textAlignment w:val="baseline"/>
                    <w:rPr>
                      <w:kern w:val="0"/>
                      <w:szCs w:val="21"/>
                    </w:rPr>
                  </w:pPr>
                  <w:r>
                    <w:rPr>
                      <w:kern w:val="0"/>
                      <w:szCs w:val="21"/>
                    </w:rPr>
                    <w:t>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明确涉水工业企业入园时间表；确因不具备入园条件需原地保留的涉水工业企业，明确保留条件，其中直排环境企业应达到排入水体功能区标准。</w:t>
                  </w:r>
                </w:p>
              </w:tc>
              <w:tc>
                <w:tcPr>
                  <w:tcW w:w="1351" w:type="dxa"/>
                  <w:vAlign w:val="center"/>
                </w:tcPr>
                <w:p w14:paraId="02FA0B01">
                  <w:pPr>
                    <w:jc w:val="center"/>
                    <w:rPr>
                      <w:szCs w:val="21"/>
                    </w:rPr>
                  </w:pPr>
                  <w:r>
                    <w:rPr>
                      <w:szCs w:val="21"/>
                    </w:rPr>
                    <w:t>本项目不属于工业项目</w:t>
                  </w:r>
                </w:p>
              </w:tc>
              <w:tc>
                <w:tcPr>
                  <w:tcW w:w="523" w:type="dxa"/>
                  <w:vAlign w:val="center"/>
                </w:tcPr>
                <w:p w14:paraId="22DDA249">
                  <w:pPr>
                    <w:jc w:val="center"/>
                    <w:rPr>
                      <w:szCs w:val="21"/>
                    </w:rPr>
                  </w:pPr>
                  <w:r>
                    <w:rPr>
                      <w:szCs w:val="21"/>
                    </w:rPr>
                    <w:t>符合</w:t>
                  </w:r>
                </w:p>
              </w:tc>
            </w:tr>
            <w:tr w14:paraId="7982A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36" w:type="dxa"/>
                  <w:vMerge w:val="continue"/>
                  <w:vAlign w:val="center"/>
                </w:tcPr>
                <w:p w14:paraId="7BB2ABA8">
                  <w:pPr>
                    <w:jc w:val="center"/>
                    <w:rPr>
                      <w:szCs w:val="21"/>
                    </w:rPr>
                  </w:pPr>
                </w:p>
              </w:tc>
              <w:tc>
                <w:tcPr>
                  <w:tcW w:w="751" w:type="dxa"/>
                  <w:vAlign w:val="center"/>
                </w:tcPr>
                <w:p w14:paraId="36A7DB18">
                  <w:pPr>
                    <w:jc w:val="center"/>
                    <w:rPr>
                      <w:szCs w:val="21"/>
                    </w:rPr>
                  </w:pPr>
                  <w:r>
                    <w:rPr>
                      <w:szCs w:val="21"/>
                    </w:rPr>
                    <w:t>污染物排放管控</w:t>
                  </w:r>
                </w:p>
              </w:tc>
              <w:tc>
                <w:tcPr>
                  <w:tcW w:w="3242" w:type="dxa"/>
                  <w:vAlign w:val="center"/>
                </w:tcPr>
                <w:p w14:paraId="532628F1">
                  <w:pPr>
                    <w:adjustRightInd w:val="0"/>
                    <w:textAlignment w:val="baseline"/>
                    <w:rPr>
                      <w:kern w:val="0"/>
                      <w:szCs w:val="21"/>
                    </w:rPr>
                  </w:pPr>
                  <w:r>
                    <w:rPr>
                      <w:kern w:val="0"/>
                      <w:szCs w:val="21"/>
                    </w:rPr>
                    <w:t>1、巩固“双代一清”成果，争取高标准一次建设到位，采暖季全户使用到位全域散煤清零到位。深化洁净煤保供体系，对“双代”改造外的农户，做好洁净型煤、兰炭、优质无烟煤保供和推广工作，确保洁净煤兜底全覆盖，实现温暖过冬、安全过冬、清洁过冬。</w:t>
                  </w:r>
                </w:p>
                <w:p w14:paraId="37BB872D">
                  <w:pPr>
                    <w:adjustRightInd w:val="0"/>
                    <w:textAlignment w:val="baseline"/>
                    <w:rPr>
                      <w:szCs w:val="21"/>
                    </w:rPr>
                  </w:pPr>
                  <w:r>
                    <w:rPr>
                      <w:kern w:val="0"/>
                      <w:szCs w:val="21"/>
                    </w:rPr>
                    <w:t>2、强化重点城镇污水管网建设，新建污水处理设施应与配套管网同步设计、同步建设、同步投运。推进初期雨水收集、处理与资源化利用。</w:t>
                  </w:r>
                </w:p>
              </w:tc>
              <w:tc>
                <w:tcPr>
                  <w:tcW w:w="1351" w:type="dxa"/>
                  <w:vAlign w:val="center"/>
                </w:tcPr>
                <w:p w14:paraId="622F1A7C">
                  <w:pPr>
                    <w:jc w:val="center"/>
                    <w:rPr>
                      <w:szCs w:val="21"/>
                    </w:rPr>
                  </w:pPr>
                  <w:r>
                    <w:rPr>
                      <w:szCs w:val="21"/>
                    </w:rPr>
                    <w:t>本项目不涉及</w:t>
                  </w:r>
                </w:p>
              </w:tc>
              <w:tc>
                <w:tcPr>
                  <w:tcW w:w="523" w:type="dxa"/>
                  <w:vAlign w:val="center"/>
                </w:tcPr>
                <w:p w14:paraId="0B2D5A3C">
                  <w:pPr>
                    <w:jc w:val="center"/>
                    <w:rPr>
                      <w:szCs w:val="21"/>
                    </w:rPr>
                  </w:pPr>
                  <w:r>
                    <w:rPr>
                      <w:szCs w:val="21"/>
                    </w:rPr>
                    <w:t>符合</w:t>
                  </w:r>
                </w:p>
              </w:tc>
            </w:tr>
            <w:tr w14:paraId="5AAB8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continue"/>
                  <w:vAlign w:val="center"/>
                </w:tcPr>
                <w:p w14:paraId="35202769">
                  <w:pPr>
                    <w:jc w:val="center"/>
                    <w:rPr>
                      <w:szCs w:val="21"/>
                    </w:rPr>
                  </w:pPr>
                </w:p>
              </w:tc>
              <w:tc>
                <w:tcPr>
                  <w:tcW w:w="751" w:type="dxa"/>
                  <w:vAlign w:val="center"/>
                </w:tcPr>
                <w:p w14:paraId="14E6319F">
                  <w:pPr>
                    <w:jc w:val="center"/>
                    <w:rPr>
                      <w:szCs w:val="21"/>
                    </w:rPr>
                  </w:pPr>
                  <w:r>
                    <w:rPr>
                      <w:szCs w:val="21"/>
                    </w:rPr>
                    <w:t>环境风险防控</w:t>
                  </w:r>
                </w:p>
              </w:tc>
              <w:tc>
                <w:tcPr>
                  <w:tcW w:w="3242" w:type="dxa"/>
                  <w:vAlign w:val="center"/>
                </w:tcPr>
                <w:p w14:paraId="5E9BD4B0">
                  <w:pPr>
                    <w:adjustRightInd w:val="0"/>
                    <w:textAlignment w:val="baseline"/>
                    <w:rPr>
                      <w:szCs w:val="21"/>
                    </w:rPr>
                  </w:pPr>
                  <w:r>
                    <w:rPr>
                      <w:kern w:val="0"/>
                      <w:szCs w:val="21"/>
                    </w:rPr>
                    <w:t>用途变更为住宅、公共管理与公共服务用地的，变更前应当按照规定进行土壤污染状况调查。</w:t>
                  </w:r>
                </w:p>
              </w:tc>
              <w:tc>
                <w:tcPr>
                  <w:tcW w:w="1351" w:type="dxa"/>
                  <w:vAlign w:val="center"/>
                </w:tcPr>
                <w:p w14:paraId="79E87D72">
                  <w:pPr>
                    <w:jc w:val="center"/>
                    <w:rPr>
                      <w:szCs w:val="21"/>
                    </w:rPr>
                  </w:pPr>
                  <w:r>
                    <w:rPr>
                      <w:szCs w:val="21"/>
                    </w:rPr>
                    <w:t>本项目不涉及</w:t>
                  </w:r>
                </w:p>
              </w:tc>
              <w:tc>
                <w:tcPr>
                  <w:tcW w:w="523" w:type="dxa"/>
                  <w:vAlign w:val="center"/>
                </w:tcPr>
                <w:p w14:paraId="1EAE654F">
                  <w:pPr>
                    <w:jc w:val="center"/>
                    <w:rPr>
                      <w:szCs w:val="21"/>
                    </w:rPr>
                  </w:pPr>
                  <w:r>
                    <w:rPr>
                      <w:szCs w:val="21"/>
                    </w:rPr>
                    <w:t>符合</w:t>
                  </w:r>
                </w:p>
              </w:tc>
            </w:tr>
            <w:tr w14:paraId="1C697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936" w:type="dxa"/>
                  <w:vMerge w:val="continue"/>
                  <w:vAlign w:val="center"/>
                </w:tcPr>
                <w:p w14:paraId="636A16EA">
                  <w:pPr>
                    <w:jc w:val="center"/>
                    <w:rPr>
                      <w:szCs w:val="21"/>
                    </w:rPr>
                  </w:pPr>
                </w:p>
              </w:tc>
              <w:tc>
                <w:tcPr>
                  <w:tcW w:w="751" w:type="dxa"/>
                  <w:vAlign w:val="center"/>
                </w:tcPr>
                <w:p w14:paraId="6CABD4FD">
                  <w:pPr>
                    <w:jc w:val="center"/>
                    <w:rPr>
                      <w:szCs w:val="21"/>
                    </w:rPr>
                  </w:pPr>
                  <w:r>
                    <w:rPr>
                      <w:szCs w:val="21"/>
                    </w:rPr>
                    <w:t>资源利用效率要求</w:t>
                  </w:r>
                </w:p>
              </w:tc>
              <w:tc>
                <w:tcPr>
                  <w:tcW w:w="3242" w:type="dxa"/>
                  <w:vAlign w:val="center"/>
                </w:tcPr>
                <w:p w14:paraId="6D9F0C23">
                  <w:pPr>
                    <w:adjustRightInd w:val="0"/>
                    <w:textAlignment w:val="baseline"/>
                    <w:rPr>
                      <w:kern w:val="0"/>
                      <w:szCs w:val="21"/>
                    </w:rPr>
                  </w:pPr>
                  <w:r>
                    <w:rPr>
                      <w:kern w:val="0"/>
                      <w:szCs w:val="21"/>
                    </w:rPr>
                    <w:t>1、希望路街道、垦丰街道、唐海镇位于深层地下水限采区，执行全市资源利用总体管控要求中地下水限采区管控要求。</w:t>
                  </w:r>
                </w:p>
                <w:p w14:paraId="6F2F8C40">
                  <w:pPr>
                    <w:adjustRightInd w:val="0"/>
                    <w:textAlignment w:val="baseline"/>
                    <w:rPr>
                      <w:kern w:val="0"/>
                      <w:szCs w:val="21"/>
                    </w:rPr>
                  </w:pPr>
                  <w:r>
                    <w:rPr>
                      <w:kern w:val="0"/>
                      <w:szCs w:val="21"/>
                    </w:rPr>
                    <w:t>2、优先实施节水行动，统筹推进工业和生活节水。引足用好外调水，统筹生活、生产和生态用水需求，优化配置本地地表水。统筹防洪安全与雨洪利用，推进“以河代库”行动，通过水库增蓄、河道拦蓄、坑塘拦蓄、河系连通和优化调度，</w:t>
                  </w:r>
                </w:p>
                <w:p w14:paraId="44BE8D14">
                  <w:pPr>
                    <w:adjustRightInd w:val="0"/>
                    <w:textAlignment w:val="baseline"/>
                    <w:rPr>
                      <w:kern w:val="0"/>
                      <w:szCs w:val="21"/>
                    </w:rPr>
                  </w:pPr>
                  <w:r>
                    <w:rPr>
                      <w:kern w:val="0"/>
                      <w:szCs w:val="21"/>
                    </w:rPr>
                    <w:t>增加雨洪调蓄能力。</w:t>
                  </w:r>
                </w:p>
                <w:p w14:paraId="443932BE">
                  <w:pPr>
                    <w:jc w:val="center"/>
                    <w:rPr>
                      <w:szCs w:val="21"/>
                    </w:rPr>
                  </w:pPr>
                  <w:r>
                    <w:rPr>
                      <w:kern w:val="0"/>
                      <w:szCs w:val="21"/>
                    </w:rPr>
                    <w:t>3、禁燃区执行全市资源利用总体管控要求中禁燃区管控要求。</w:t>
                  </w:r>
                </w:p>
              </w:tc>
              <w:tc>
                <w:tcPr>
                  <w:tcW w:w="1351" w:type="dxa"/>
                  <w:vAlign w:val="center"/>
                </w:tcPr>
                <w:p w14:paraId="06CFE49A">
                  <w:pPr>
                    <w:jc w:val="center"/>
                    <w:rPr>
                      <w:szCs w:val="21"/>
                    </w:rPr>
                  </w:pPr>
                  <w:r>
                    <w:rPr>
                      <w:kern w:val="0"/>
                      <w:szCs w:val="21"/>
                    </w:rPr>
                    <w:t>本项目外购水，不开采地下水</w:t>
                  </w:r>
                </w:p>
              </w:tc>
              <w:tc>
                <w:tcPr>
                  <w:tcW w:w="523" w:type="dxa"/>
                  <w:vAlign w:val="center"/>
                </w:tcPr>
                <w:p w14:paraId="7BA0F536">
                  <w:pPr>
                    <w:jc w:val="center"/>
                    <w:rPr>
                      <w:szCs w:val="21"/>
                    </w:rPr>
                  </w:pPr>
                  <w:r>
                    <w:rPr>
                      <w:szCs w:val="21"/>
                    </w:rPr>
                    <w:t>符合</w:t>
                  </w:r>
                </w:p>
              </w:tc>
            </w:tr>
            <w:tr w14:paraId="43B4D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restart"/>
                  <w:vAlign w:val="center"/>
                </w:tcPr>
                <w:p w14:paraId="12BDB138">
                  <w:pPr>
                    <w:jc w:val="center"/>
                    <w:rPr>
                      <w:szCs w:val="21"/>
                    </w:rPr>
                  </w:pPr>
                  <w:r>
                    <w:rPr>
                      <w:szCs w:val="21"/>
                      <w:lang w:val="zh-CN"/>
                    </w:rPr>
                    <w:t>ZH13020920008—</w:t>
                  </w:r>
                  <w:r>
                    <w:rPr>
                      <w:szCs w:val="21"/>
                    </w:rPr>
                    <w:t>曹妃甸区—滨海镇、孙塘庄镇—重点管控单元</w:t>
                  </w:r>
                </w:p>
              </w:tc>
              <w:tc>
                <w:tcPr>
                  <w:tcW w:w="751" w:type="dxa"/>
                  <w:vAlign w:val="center"/>
                </w:tcPr>
                <w:p w14:paraId="12A7D522">
                  <w:pPr>
                    <w:jc w:val="center"/>
                    <w:rPr>
                      <w:szCs w:val="21"/>
                    </w:rPr>
                  </w:pPr>
                  <w:r>
                    <w:rPr>
                      <w:szCs w:val="21"/>
                    </w:rPr>
                    <w:t>空间布局约束</w:t>
                  </w:r>
                </w:p>
              </w:tc>
              <w:tc>
                <w:tcPr>
                  <w:tcW w:w="3242" w:type="dxa"/>
                  <w:vAlign w:val="center"/>
                </w:tcPr>
                <w:p w14:paraId="7A0B676B">
                  <w:pPr>
                    <w:jc w:val="center"/>
                    <w:rPr>
                      <w:kern w:val="0"/>
                      <w:szCs w:val="21"/>
                    </w:rPr>
                  </w:pPr>
                  <w:r>
                    <w:rPr>
                      <w:kern w:val="0"/>
                      <w:szCs w:val="21"/>
                    </w:rPr>
                    <w:t>1、新建企业原则上均应建在工业集聚区，对认定为化工重点监控点的企业控股并与重点监控点生产场地连接成片的独立法人企业除外。推进现有企业向依法合规设立、环保设施齐全、符合规划环评要求、满足法律法规规定的工业集聚区集中</w:t>
                  </w:r>
                </w:p>
                <w:p w14:paraId="44CE7EB7">
                  <w:pPr>
                    <w:jc w:val="center"/>
                    <w:rPr>
                      <w:kern w:val="0"/>
                      <w:szCs w:val="21"/>
                    </w:rPr>
                  </w:pPr>
                  <w:r>
                    <w:rPr>
                      <w:kern w:val="0"/>
                      <w:szCs w:val="21"/>
                    </w:rPr>
                    <w:t>明确涉水工业企业入园时间表；确因不具备入园条件需原地保留的涉水工业企业，明确保留条件，其中直排环境企业应达到排入水体功能区标准。</w:t>
                  </w:r>
                </w:p>
                <w:p w14:paraId="183C006E">
                  <w:pPr>
                    <w:jc w:val="center"/>
                    <w:rPr>
                      <w:kern w:val="0"/>
                      <w:szCs w:val="21"/>
                    </w:rPr>
                  </w:pPr>
                  <w:r>
                    <w:rPr>
                      <w:kern w:val="0"/>
                      <w:szCs w:val="21"/>
                    </w:rPr>
                    <w:t>2、严格按照《唐山市养殖水域滩涂规划(2020-2030)》中养殖水域滩涂功能区划划分的禁止养殖区、限制养殖区和养殖区开展养殖开发。</w:t>
                  </w:r>
                </w:p>
              </w:tc>
              <w:tc>
                <w:tcPr>
                  <w:tcW w:w="1351" w:type="dxa"/>
                  <w:vAlign w:val="center"/>
                </w:tcPr>
                <w:p w14:paraId="3FBE65DB">
                  <w:pPr>
                    <w:jc w:val="center"/>
                    <w:rPr>
                      <w:kern w:val="0"/>
                      <w:szCs w:val="21"/>
                    </w:rPr>
                  </w:pPr>
                  <w:r>
                    <w:rPr>
                      <w:kern w:val="0"/>
                      <w:szCs w:val="21"/>
                    </w:rPr>
                    <w:t>本项目不属于工业项目，不属于养殖项目</w:t>
                  </w:r>
                </w:p>
              </w:tc>
              <w:tc>
                <w:tcPr>
                  <w:tcW w:w="523" w:type="dxa"/>
                  <w:vAlign w:val="center"/>
                </w:tcPr>
                <w:p w14:paraId="05CF243D">
                  <w:pPr>
                    <w:jc w:val="center"/>
                    <w:rPr>
                      <w:szCs w:val="21"/>
                    </w:rPr>
                  </w:pPr>
                  <w:r>
                    <w:rPr>
                      <w:szCs w:val="21"/>
                    </w:rPr>
                    <w:t>符合</w:t>
                  </w:r>
                </w:p>
              </w:tc>
            </w:tr>
            <w:tr w14:paraId="3C9D4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continue"/>
                  <w:vAlign w:val="center"/>
                </w:tcPr>
                <w:p w14:paraId="2D85152C">
                  <w:pPr>
                    <w:jc w:val="center"/>
                    <w:rPr>
                      <w:szCs w:val="21"/>
                    </w:rPr>
                  </w:pPr>
                </w:p>
              </w:tc>
              <w:tc>
                <w:tcPr>
                  <w:tcW w:w="751" w:type="dxa"/>
                  <w:vAlign w:val="center"/>
                </w:tcPr>
                <w:p w14:paraId="55FE897E">
                  <w:pPr>
                    <w:jc w:val="center"/>
                    <w:rPr>
                      <w:szCs w:val="21"/>
                    </w:rPr>
                  </w:pPr>
                  <w:r>
                    <w:rPr>
                      <w:szCs w:val="21"/>
                    </w:rPr>
                    <w:t>污染物排放管控</w:t>
                  </w:r>
                </w:p>
              </w:tc>
              <w:tc>
                <w:tcPr>
                  <w:tcW w:w="3242" w:type="dxa"/>
                  <w:vAlign w:val="center"/>
                </w:tcPr>
                <w:p w14:paraId="3405EF20">
                  <w:pPr>
                    <w:jc w:val="center"/>
                    <w:rPr>
                      <w:szCs w:val="21"/>
                    </w:rPr>
                  </w:pPr>
                  <w:r>
                    <w:rPr>
                      <w:szCs w:val="21"/>
                    </w:rPr>
                    <w:t>强化农业面源污染治理。加强农村生态环境保护设施建设，科学合理确定农村污水治理模式，统筹规划建设农村污水处理、垃圾收集处置设施和排水管网，推进农村厕所无害化改造，提高农村生态环境保护公共服务水平，改善农村人居环境。</w:t>
                  </w:r>
                </w:p>
                <w:p w14:paraId="15D78322">
                  <w:pPr>
                    <w:jc w:val="center"/>
                    <w:rPr>
                      <w:szCs w:val="21"/>
                    </w:rPr>
                  </w:pPr>
                  <w:r>
                    <w:rPr>
                      <w:szCs w:val="21"/>
                    </w:rPr>
                    <w:t>科学、合理施用化肥、农药等农业投入品，推进化肥、农药使用减量化，防止造成水污染。严格水产养殖投入品管理，扩大健康养殖规模，规范水产养殖尾水排放和生态环境监管。</w:t>
                  </w:r>
                </w:p>
              </w:tc>
              <w:tc>
                <w:tcPr>
                  <w:tcW w:w="1351" w:type="dxa"/>
                  <w:vAlign w:val="center"/>
                </w:tcPr>
                <w:p w14:paraId="4F9DFE7A">
                  <w:pPr>
                    <w:jc w:val="center"/>
                    <w:rPr>
                      <w:szCs w:val="21"/>
                    </w:rPr>
                  </w:pPr>
                  <w:r>
                    <w:rPr>
                      <w:szCs w:val="21"/>
                    </w:rPr>
                    <w:t>本项目不涉及</w:t>
                  </w:r>
                </w:p>
              </w:tc>
              <w:tc>
                <w:tcPr>
                  <w:tcW w:w="523" w:type="dxa"/>
                  <w:vAlign w:val="center"/>
                </w:tcPr>
                <w:p w14:paraId="73C67F9C">
                  <w:pPr>
                    <w:jc w:val="center"/>
                    <w:rPr>
                      <w:szCs w:val="21"/>
                    </w:rPr>
                  </w:pPr>
                  <w:r>
                    <w:rPr>
                      <w:szCs w:val="21"/>
                    </w:rPr>
                    <w:t>符合</w:t>
                  </w:r>
                </w:p>
              </w:tc>
            </w:tr>
            <w:tr w14:paraId="1BE51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936" w:type="dxa"/>
                  <w:vMerge w:val="continue"/>
                  <w:vAlign w:val="center"/>
                </w:tcPr>
                <w:p w14:paraId="5A354D35">
                  <w:pPr>
                    <w:jc w:val="center"/>
                    <w:rPr>
                      <w:szCs w:val="21"/>
                    </w:rPr>
                  </w:pPr>
                </w:p>
              </w:tc>
              <w:tc>
                <w:tcPr>
                  <w:tcW w:w="751" w:type="dxa"/>
                  <w:vAlign w:val="center"/>
                </w:tcPr>
                <w:p w14:paraId="4F2CD94C">
                  <w:pPr>
                    <w:jc w:val="center"/>
                    <w:rPr>
                      <w:szCs w:val="21"/>
                    </w:rPr>
                  </w:pPr>
                  <w:r>
                    <w:rPr>
                      <w:szCs w:val="21"/>
                    </w:rPr>
                    <w:t>资源利用效率要求</w:t>
                  </w:r>
                </w:p>
              </w:tc>
              <w:tc>
                <w:tcPr>
                  <w:tcW w:w="3242" w:type="dxa"/>
                  <w:vAlign w:val="center"/>
                </w:tcPr>
                <w:p w14:paraId="11F63324">
                  <w:pPr>
                    <w:jc w:val="center"/>
                    <w:rPr>
                      <w:szCs w:val="21"/>
                    </w:rPr>
                  </w:pPr>
                  <w:r>
                    <w:rPr>
                      <w:szCs w:val="21"/>
                    </w:rPr>
                    <w:t>1、禁燃区执行全市资源利用总体管控要求中禁燃区管控要求。</w:t>
                  </w:r>
                </w:p>
                <w:p w14:paraId="0B539C0A">
                  <w:pPr>
                    <w:jc w:val="center"/>
                    <w:rPr>
                      <w:szCs w:val="21"/>
                    </w:rPr>
                  </w:pPr>
                  <w:r>
                    <w:rPr>
                      <w:szCs w:val="21"/>
                    </w:rPr>
                    <w:t>2、滨海镇、孙塘庄镇位于深层地下水限采区，执行全市资源利用总体管控要求中地下水限采区管控要求。</w:t>
                  </w:r>
                </w:p>
                <w:p w14:paraId="45CCDDBE">
                  <w:pPr>
                    <w:jc w:val="center"/>
                    <w:rPr>
                      <w:szCs w:val="21"/>
                    </w:rPr>
                  </w:pPr>
                  <w:r>
                    <w:rPr>
                      <w:szCs w:val="21"/>
                    </w:rPr>
                    <w:t>3、优先实施节水行动，统筹推进工业和生活节水。引足用好外调水，统筹生活、生产和生态用水需求，优化配置本地地表水。统筹防洪安全与雨洪利用，推进“以河代库”行动，通过水库增蓄、河道拦蓄、坑塘拦蓄、河系连通和优化调度，</w:t>
                  </w:r>
                </w:p>
                <w:p w14:paraId="5B5A1FCD">
                  <w:pPr>
                    <w:jc w:val="center"/>
                    <w:rPr>
                      <w:szCs w:val="21"/>
                    </w:rPr>
                  </w:pPr>
                  <w:r>
                    <w:rPr>
                      <w:szCs w:val="21"/>
                    </w:rPr>
                    <w:t>增加雨洪调蓄能力。</w:t>
                  </w:r>
                </w:p>
              </w:tc>
              <w:tc>
                <w:tcPr>
                  <w:tcW w:w="1351" w:type="dxa"/>
                  <w:vAlign w:val="center"/>
                </w:tcPr>
                <w:p w14:paraId="3E572141">
                  <w:pPr>
                    <w:jc w:val="center"/>
                    <w:rPr>
                      <w:szCs w:val="21"/>
                    </w:rPr>
                  </w:pPr>
                  <w:r>
                    <w:rPr>
                      <w:szCs w:val="21"/>
                    </w:rPr>
                    <w:t>本项目不开采地下水</w:t>
                  </w:r>
                </w:p>
              </w:tc>
              <w:tc>
                <w:tcPr>
                  <w:tcW w:w="523" w:type="dxa"/>
                  <w:vAlign w:val="center"/>
                </w:tcPr>
                <w:p w14:paraId="1CA880AD">
                  <w:pPr>
                    <w:jc w:val="center"/>
                    <w:rPr>
                      <w:szCs w:val="21"/>
                    </w:rPr>
                  </w:pPr>
                  <w:r>
                    <w:rPr>
                      <w:szCs w:val="21"/>
                    </w:rPr>
                    <w:t>符合</w:t>
                  </w:r>
                </w:p>
              </w:tc>
            </w:tr>
          </w:tbl>
          <w:p w14:paraId="67B629BE">
            <w:pPr>
              <w:spacing w:line="480" w:lineRule="exact"/>
              <w:ind w:firstLine="480" w:firstLineChars="200"/>
              <w:jc w:val="left"/>
              <w:rPr>
                <w:sz w:val="24"/>
                <w:lang w:val="zh-CN"/>
              </w:rPr>
            </w:pPr>
            <w:r>
              <w:rPr>
                <w:sz w:val="24"/>
                <w:lang w:val="zh-CN"/>
              </w:rPr>
              <w:t>综上所述，本项目的建设符合</w:t>
            </w:r>
            <w:r>
              <w:rPr>
                <w:rFonts w:hint="eastAsia"/>
                <w:sz w:val="24"/>
                <w:lang w:val="zh-CN"/>
              </w:rPr>
              <w:t>唐山市“</w:t>
            </w:r>
            <w:r>
              <w:rPr>
                <w:sz w:val="24"/>
                <w:lang w:val="zh-CN"/>
              </w:rPr>
              <w:t>三线一单</w:t>
            </w:r>
            <w:r>
              <w:rPr>
                <w:rFonts w:hint="eastAsia"/>
                <w:sz w:val="24"/>
                <w:lang w:val="zh-CN"/>
              </w:rPr>
              <w:t>”</w:t>
            </w:r>
            <w:r>
              <w:rPr>
                <w:sz w:val="24"/>
                <w:lang w:val="zh-CN"/>
              </w:rPr>
              <w:t>管控要求。</w:t>
            </w:r>
          </w:p>
          <w:p w14:paraId="4D22DAE9">
            <w:pPr>
              <w:spacing w:line="480" w:lineRule="exact"/>
              <w:ind w:firstLine="482" w:firstLineChars="200"/>
              <w:rPr>
                <w:b/>
                <w:bCs/>
                <w:sz w:val="24"/>
              </w:rPr>
            </w:pPr>
            <w:r>
              <w:rPr>
                <w:rFonts w:hint="eastAsia"/>
                <w:b/>
                <w:bCs/>
                <w:sz w:val="24"/>
              </w:rPr>
              <w:t>3、其他相关要求符合性分析</w:t>
            </w:r>
          </w:p>
          <w:p w14:paraId="01E79D6A">
            <w:pPr>
              <w:spacing w:line="480" w:lineRule="exact"/>
              <w:ind w:firstLine="480" w:firstLineChars="200"/>
              <w:rPr>
                <w:sz w:val="24"/>
                <w:szCs w:val="32"/>
              </w:rPr>
            </w:pPr>
            <w:r>
              <w:rPr>
                <w:sz w:val="24"/>
                <w:szCs w:val="32"/>
              </w:rPr>
              <w:t>本项目与相关政策符合性分析见下表。</w:t>
            </w:r>
          </w:p>
          <w:p w14:paraId="3B30B931">
            <w:pPr>
              <w:tabs>
                <w:tab w:val="left" w:pos="1440"/>
                <w:tab w:val="left" w:pos="2627"/>
              </w:tabs>
              <w:adjustRightInd w:val="0"/>
              <w:snapToGrid w:val="0"/>
              <w:spacing w:line="480" w:lineRule="exact"/>
              <w:jc w:val="center"/>
              <w:outlineLvl w:val="4"/>
              <w:rPr>
                <w:b/>
                <w:lang w:val="zh-CN"/>
              </w:rPr>
            </w:pPr>
            <w:r>
              <w:rPr>
                <w:b/>
                <w:lang w:val="zh-CN"/>
              </w:rPr>
              <w:t>表</w:t>
            </w:r>
            <w:r>
              <w:rPr>
                <w:b/>
              </w:rPr>
              <w:t>1-</w:t>
            </w:r>
            <w:r>
              <w:rPr>
                <w:rFonts w:hint="eastAsia"/>
                <w:b/>
              </w:rPr>
              <w:t xml:space="preserve">4     </w:t>
            </w:r>
            <w:r>
              <w:rPr>
                <w:b/>
              </w:rPr>
              <w:t>项目与</w:t>
            </w:r>
            <w:r>
              <w:rPr>
                <w:rFonts w:hint="eastAsia"/>
                <w:b/>
              </w:rPr>
              <w:t>相关</w:t>
            </w:r>
            <w:r>
              <w:rPr>
                <w:b/>
              </w:rPr>
              <w:t>政策符合性分析一览表</w:t>
            </w:r>
          </w:p>
          <w:tbl>
            <w:tblPr>
              <w:tblStyle w:val="32"/>
              <w:tblW w:w="68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 w:type="dxa"/>
                <w:bottom w:w="0" w:type="dxa"/>
                <w:right w:w="11" w:type="dxa"/>
              </w:tblCellMar>
            </w:tblPr>
            <w:tblGrid>
              <w:gridCol w:w="245"/>
              <w:gridCol w:w="841"/>
              <w:gridCol w:w="3611"/>
              <w:gridCol w:w="1677"/>
              <w:gridCol w:w="429"/>
            </w:tblGrid>
            <w:tr w14:paraId="0FE51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7AD0D2A0">
                  <w:pPr>
                    <w:adjustRightInd w:val="0"/>
                    <w:jc w:val="center"/>
                    <w:textAlignment w:val="baseline"/>
                    <w:rPr>
                      <w:kern w:val="0"/>
                      <w:szCs w:val="21"/>
                    </w:rPr>
                  </w:pPr>
                  <w:r>
                    <w:rPr>
                      <w:kern w:val="0"/>
                      <w:szCs w:val="21"/>
                    </w:rPr>
                    <w:t>序号</w:t>
                  </w:r>
                </w:p>
              </w:tc>
              <w:tc>
                <w:tcPr>
                  <w:tcW w:w="5203" w:type="dxa"/>
                  <w:gridSpan w:val="2"/>
                  <w:vAlign w:val="center"/>
                </w:tcPr>
                <w:p w14:paraId="20EBFBDF">
                  <w:pPr>
                    <w:adjustRightInd w:val="0"/>
                    <w:jc w:val="center"/>
                    <w:textAlignment w:val="baseline"/>
                    <w:rPr>
                      <w:kern w:val="0"/>
                      <w:szCs w:val="21"/>
                    </w:rPr>
                  </w:pPr>
                  <w:r>
                    <w:rPr>
                      <w:kern w:val="0"/>
                      <w:szCs w:val="21"/>
                    </w:rPr>
                    <w:t>政策要求</w:t>
                  </w:r>
                </w:p>
              </w:tc>
              <w:tc>
                <w:tcPr>
                  <w:tcW w:w="1958" w:type="dxa"/>
                  <w:vAlign w:val="center"/>
                </w:tcPr>
                <w:p w14:paraId="323E424A">
                  <w:pPr>
                    <w:adjustRightInd w:val="0"/>
                    <w:jc w:val="center"/>
                    <w:textAlignment w:val="baseline"/>
                    <w:rPr>
                      <w:kern w:val="0"/>
                      <w:szCs w:val="21"/>
                    </w:rPr>
                  </w:pPr>
                  <w:r>
                    <w:rPr>
                      <w:kern w:val="0"/>
                      <w:szCs w:val="21"/>
                    </w:rPr>
                    <w:t>本项目建设情况</w:t>
                  </w:r>
                </w:p>
              </w:tc>
              <w:tc>
                <w:tcPr>
                  <w:tcW w:w="495" w:type="dxa"/>
                  <w:vAlign w:val="center"/>
                </w:tcPr>
                <w:p w14:paraId="1242EFC1">
                  <w:pPr>
                    <w:adjustRightInd w:val="0"/>
                    <w:jc w:val="center"/>
                    <w:textAlignment w:val="baseline"/>
                    <w:rPr>
                      <w:kern w:val="0"/>
                      <w:szCs w:val="21"/>
                    </w:rPr>
                  </w:pPr>
                  <w:r>
                    <w:rPr>
                      <w:kern w:val="0"/>
                      <w:szCs w:val="21"/>
                    </w:rPr>
                    <w:t>符合性</w:t>
                  </w:r>
                </w:p>
              </w:tc>
            </w:tr>
            <w:tr w14:paraId="7F8FE8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6DE3F332">
                  <w:pPr>
                    <w:adjustRightInd w:val="0"/>
                    <w:jc w:val="center"/>
                    <w:textAlignment w:val="baseline"/>
                    <w:rPr>
                      <w:kern w:val="0"/>
                      <w:szCs w:val="21"/>
                    </w:rPr>
                  </w:pPr>
                  <w:r>
                    <w:rPr>
                      <w:kern w:val="0"/>
                      <w:szCs w:val="21"/>
                    </w:rPr>
                    <w:t>1</w:t>
                  </w:r>
                </w:p>
              </w:tc>
              <w:tc>
                <w:tcPr>
                  <w:tcW w:w="978" w:type="dxa"/>
                  <w:vAlign w:val="center"/>
                </w:tcPr>
                <w:p w14:paraId="39282FD7">
                  <w:pPr>
                    <w:adjustRightInd w:val="0"/>
                    <w:jc w:val="center"/>
                    <w:textAlignment w:val="baseline"/>
                    <w:rPr>
                      <w:kern w:val="0"/>
                      <w:szCs w:val="21"/>
                    </w:rPr>
                  </w:pPr>
                  <w:r>
                    <w:rPr>
                      <w:kern w:val="0"/>
                      <w:szCs w:val="21"/>
                    </w:rPr>
                    <w:t>《国家能源局关于2021年风电、光伏发电开发建设有关事项的通知》国能发新能[2021]</w:t>
                  </w:r>
                </w:p>
                <w:p w14:paraId="50EDA77E">
                  <w:pPr>
                    <w:adjustRightInd w:val="0"/>
                    <w:jc w:val="center"/>
                    <w:textAlignment w:val="baseline"/>
                    <w:rPr>
                      <w:kern w:val="0"/>
                      <w:szCs w:val="21"/>
                    </w:rPr>
                  </w:pPr>
                  <w:r>
                    <w:rPr>
                      <w:kern w:val="0"/>
                      <w:szCs w:val="21"/>
                    </w:rPr>
                    <w:t>25号</w:t>
                  </w:r>
                </w:p>
              </w:tc>
              <w:tc>
                <w:tcPr>
                  <w:tcW w:w="4225" w:type="dxa"/>
                  <w:vAlign w:val="center"/>
                </w:tcPr>
                <w:p w14:paraId="41513464">
                  <w:pPr>
                    <w:adjustRightInd w:val="0"/>
                    <w:textAlignment w:val="baseline"/>
                    <w:rPr>
                      <w:kern w:val="0"/>
                      <w:szCs w:val="21"/>
                    </w:rPr>
                  </w:pPr>
                  <w:r>
                    <w:rPr>
                      <w:kern w:val="0"/>
                      <w:szCs w:val="21"/>
                    </w:rPr>
                    <w:t>深入学习贯彻习近平生态文明思想和习近平总书记关于能源安全新战略的重要论述，落实碳达峰、碳中和目标，以及2030年非化石能源占一次能源消费比重达到25%左右、风电太阳能发电总装机容量达到12亿千瓦以上等任务，坚持目标导向，完善发展机制，释放消纳空间，优化发展环境，发挥地方主导作用，调动投资主体积极性，推动风电、光伏发电高质量跃升发展。2021年，全国风电、光伏发电量占全社会用电量的比重达到11%左右，后续逐年提高，确保2025年非化石能源消费占一次能源消费的比重达到20%左右。</w:t>
                  </w:r>
                </w:p>
              </w:tc>
              <w:tc>
                <w:tcPr>
                  <w:tcW w:w="1958" w:type="dxa"/>
                  <w:vMerge w:val="restart"/>
                  <w:vAlign w:val="center"/>
                </w:tcPr>
                <w:p w14:paraId="019C22B2">
                  <w:pPr>
                    <w:adjustRightInd w:val="0"/>
                    <w:jc w:val="center"/>
                    <w:textAlignment w:val="baseline"/>
                    <w:rPr>
                      <w:kern w:val="0"/>
                      <w:szCs w:val="21"/>
                    </w:rPr>
                  </w:pPr>
                  <w:r>
                    <w:rPr>
                      <w:kern w:val="0"/>
                      <w:szCs w:val="21"/>
                    </w:rPr>
                    <w:t>项目为风力发电项目，风电场总装机容量为350MW，项目实施将增大非化石能源占一次能源消费比重</w:t>
                  </w:r>
                </w:p>
                <w:p w14:paraId="25E55CBE">
                  <w:pPr>
                    <w:adjustRightInd w:val="0"/>
                    <w:jc w:val="center"/>
                    <w:textAlignment w:val="baseline"/>
                    <w:rPr>
                      <w:kern w:val="0"/>
                      <w:szCs w:val="21"/>
                    </w:rPr>
                  </w:pPr>
                </w:p>
              </w:tc>
              <w:tc>
                <w:tcPr>
                  <w:tcW w:w="495" w:type="dxa"/>
                  <w:vAlign w:val="center"/>
                </w:tcPr>
                <w:p w14:paraId="10E16AA3">
                  <w:pPr>
                    <w:adjustRightInd w:val="0"/>
                    <w:jc w:val="center"/>
                    <w:textAlignment w:val="baseline"/>
                    <w:rPr>
                      <w:kern w:val="0"/>
                      <w:szCs w:val="21"/>
                    </w:rPr>
                  </w:pPr>
                  <w:r>
                    <w:rPr>
                      <w:kern w:val="0"/>
                      <w:szCs w:val="21"/>
                    </w:rPr>
                    <w:t>符合</w:t>
                  </w:r>
                </w:p>
              </w:tc>
            </w:tr>
            <w:tr w14:paraId="51D39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2A8348D0">
                  <w:pPr>
                    <w:adjustRightInd w:val="0"/>
                    <w:jc w:val="center"/>
                    <w:textAlignment w:val="baseline"/>
                    <w:rPr>
                      <w:kern w:val="0"/>
                      <w:szCs w:val="21"/>
                    </w:rPr>
                  </w:pPr>
                  <w:r>
                    <w:rPr>
                      <w:kern w:val="0"/>
                      <w:szCs w:val="21"/>
                    </w:rPr>
                    <w:t>2</w:t>
                  </w:r>
                </w:p>
              </w:tc>
              <w:tc>
                <w:tcPr>
                  <w:tcW w:w="978" w:type="dxa"/>
                  <w:vAlign w:val="center"/>
                </w:tcPr>
                <w:p w14:paraId="488B105B">
                  <w:pPr>
                    <w:adjustRightInd w:val="0"/>
                    <w:jc w:val="center"/>
                    <w:textAlignment w:val="baseline"/>
                    <w:rPr>
                      <w:kern w:val="0"/>
                      <w:szCs w:val="21"/>
                    </w:rPr>
                  </w:pPr>
                  <w:r>
                    <w:rPr>
                      <w:kern w:val="0"/>
                      <w:szCs w:val="21"/>
                    </w:rPr>
                    <w:t xml:space="preserve">《河北省能源局关于2021年 </w:t>
                  </w:r>
                </w:p>
                <w:p w14:paraId="06BF77E6">
                  <w:pPr>
                    <w:adjustRightInd w:val="0"/>
                    <w:jc w:val="center"/>
                    <w:textAlignment w:val="baseline"/>
                    <w:rPr>
                      <w:kern w:val="0"/>
                      <w:szCs w:val="21"/>
                    </w:rPr>
                  </w:pPr>
                  <w:r>
                    <w:rPr>
                      <w:kern w:val="0"/>
                      <w:szCs w:val="21"/>
                    </w:rPr>
                    <w:t>风电、光伏发电开发建设有关事项的通知》</w:t>
                  </w:r>
                </w:p>
              </w:tc>
              <w:tc>
                <w:tcPr>
                  <w:tcW w:w="4225" w:type="dxa"/>
                  <w:vAlign w:val="center"/>
                </w:tcPr>
                <w:p w14:paraId="0F6AEDB1">
                  <w:pPr>
                    <w:adjustRightInd w:val="0"/>
                    <w:textAlignment w:val="baseline"/>
                    <w:rPr>
                      <w:kern w:val="0"/>
                      <w:szCs w:val="21"/>
                    </w:rPr>
                  </w:pPr>
                  <w:r>
                    <w:rPr>
                      <w:kern w:val="0"/>
                      <w:szCs w:val="21"/>
                    </w:rPr>
                    <w:t>深入贯彻习近平生态文明思想和能源安全新战略的重要论述，落实国家碳达峰、碳中和目标要求，坚持目标导向，完善发展机制，优化发展环境，发挥地方主导作用，调动投资主体积极性，建立保障性并网和市场化并网等并网多元保障机制，推动风电、光伏发电高质量跃升发展，所发电量占全社会用电量比重逐年提高，确保完成国家规定的可再生能源电力消纳。</w:t>
                  </w:r>
                </w:p>
              </w:tc>
              <w:tc>
                <w:tcPr>
                  <w:tcW w:w="1958" w:type="dxa"/>
                  <w:vMerge w:val="continue"/>
                  <w:vAlign w:val="center"/>
                </w:tcPr>
                <w:p w14:paraId="0029DF2E">
                  <w:pPr>
                    <w:adjustRightInd w:val="0"/>
                    <w:jc w:val="center"/>
                    <w:textAlignment w:val="baseline"/>
                    <w:rPr>
                      <w:kern w:val="0"/>
                      <w:szCs w:val="21"/>
                    </w:rPr>
                  </w:pPr>
                </w:p>
              </w:tc>
              <w:tc>
                <w:tcPr>
                  <w:tcW w:w="495" w:type="dxa"/>
                  <w:vAlign w:val="center"/>
                </w:tcPr>
                <w:p w14:paraId="733670F8">
                  <w:pPr>
                    <w:adjustRightInd w:val="0"/>
                    <w:jc w:val="center"/>
                    <w:textAlignment w:val="baseline"/>
                    <w:rPr>
                      <w:kern w:val="0"/>
                      <w:szCs w:val="21"/>
                    </w:rPr>
                  </w:pPr>
                  <w:r>
                    <w:rPr>
                      <w:kern w:val="0"/>
                      <w:szCs w:val="21"/>
                    </w:rPr>
                    <w:t>符合</w:t>
                  </w:r>
                </w:p>
              </w:tc>
            </w:tr>
            <w:tr w14:paraId="0E9ED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12F43EC6">
                  <w:pPr>
                    <w:adjustRightInd w:val="0"/>
                    <w:jc w:val="center"/>
                    <w:textAlignment w:val="baseline"/>
                    <w:rPr>
                      <w:kern w:val="0"/>
                      <w:szCs w:val="21"/>
                    </w:rPr>
                  </w:pPr>
                  <w:r>
                    <w:rPr>
                      <w:kern w:val="0"/>
                      <w:szCs w:val="21"/>
                    </w:rPr>
                    <w:t>3</w:t>
                  </w:r>
                </w:p>
              </w:tc>
              <w:tc>
                <w:tcPr>
                  <w:tcW w:w="978" w:type="dxa"/>
                  <w:vAlign w:val="center"/>
                </w:tcPr>
                <w:p w14:paraId="3D576A24">
                  <w:pPr>
                    <w:adjustRightInd w:val="0"/>
                    <w:jc w:val="center"/>
                    <w:textAlignment w:val="baseline"/>
                    <w:rPr>
                      <w:kern w:val="0"/>
                      <w:szCs w:val="21"/>
                    </w:rPr>
                  </w:pPr>
                  <w:r>
                    <w:rPr>
                      <w:kern w:val="0"/>
                      <w:szCs w:val="21"/>
                    </w:rPr>
                    <w:t xml:space="preserve">《关于大力实施可再生能源 </w:t>
                  </w:r>
                </w:p>
                <w:p w14:paraId="2041CD66">
                  <w:pPr>
                    <w:adjustRightInd w:val="0"/>
                    <w:jc w:val="center"/>
                    <w:textAlignment w:val="baseline"/>
                    <w:rPr>
                      <w:kern w:val="0"/>
                      <w:szCs w:val="21"/>
                    </w:rPr>
                  </w:pPr>
                  <w:r>
                    <w:rPr>
                      <w:kern w:val="0"/>
                      <w:szCs w:val="21"/>
                    </w:rPr>
                    <w:t>替代行动的指导意见》（发改能源〔2024〕1537号）</w:t>
                  </w:r>
                </w:p>
              </w:tc>
              <w:tc>
                <w:tcPr>
                  <w:tcW w:w="4225" w:type="dxa"/>
                  <w:vAlign w:val="center"/>
                </w:tcPr>
                <w:p w14:paraId="3A37ED90">
                  <w:pPr>
                    <w:adjustRightInd w:val="0"/>
                    <w:textAlignment w:val="baseline"/>
                    <w:rPr>
                      <w:kern w:val="0"/>
                      <w:szCs w:val="21"/>
                    </w:rPr>
                  </w:pPr>
                  <w:r>
                    <w:rPr>
                      <w:kern w:val="0"/>
                      <w:szCs w:val="21"/>
                    </w:rPr>
                    <w:t>协同推进可再生能源与工业、交通、建筑、农业农村等领域融合替代，经济高效推进发电、供热、制气、制氢多元发展和替代；</w:t>
                  </w:r>
                </w:p>
              </w:tc>
              <w:tc>
                <w:tcPr>
                  <w:tcW w:w="1958" w:type="dxa"/>
                  <w:vAlign w:val="center"/>
                </w:tcPr>
                <w:p w14:paraId="5FFD39DE">
                  <w:pPr>
                    <w:adjustRightInd w:val="0"/>
                    <w:jc w:val="center"/>
                    <w:textAlignment w:val="baseline"/>
                    <w:rPr>
                      <w:kern w:val="0"/>
                      <w:szCs w:val="21"/>
                    </w:rPr>
                  </w:pPr>
                  <w:r>
                    <w:rPr>
                      <w:kern w:val="0"/>
                      <w:szCs w:val="21"/>
                    </w:rPr>
                    <w:t>本项目建设有利于推进可再生能源与工业、交通、建筑、农业农村等领域融合替代</w:t>
                  </w:r>
                </w:p>
              </w:tc>
              <w:tc>
                <w:tcPr>
                  <w:tcW w:w="495" w:type="dxa"/>
                  <w:vAlign w:val="center"/>
                </w:tcPr>
                <w:p w14:paraId="46B14398">
                  <w:pPr>
                    <w:adjustRightInd w:val="0"/>
                    <w:jc w:val="center"/>
                    <w:textAlignment w:val="baseline"/>
                    <w:rPr>
                      <w:kern w:val="0"/>
                      <w:szCs w:val="21"/>
                    </w:rPr>
                  </w:pPr>
                  <w:r>
                    <w:rPr>
                      <w:kern w:val="0"/>
                      <w:szCs w:val="21"/>
                    </w:rPr>
                    <w:t>符合</w:t>
                  </w:r>
                </w:p>
              </w:tc>
            </w:tr>
            <w:tr w14:paraId="614EC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49B23F65">
                  <w:pPr>
                    <w:adjustRightInd w:val="0"/>
                    <w:jc w:val="center"/>
                    <w:textAlignment w:val="baseline"/>
                    <w:rPr>
                      <w:kern w:val="0"/>
                      <w:szCs w:val="21"/>
                    </w:rPr>
                  </w:pPr>
                  <w:r>
                    <w:rPr>
                      <w:kern w:val="0"/>
                      <w:szCs w:val="21"/>
                    </w:rPr>
                    <w:t>4</w:t>
                  </w:r>
                </w:p>
              </w:tc>
              <w:tc>
                <w:tcPr>
                  <w:tcW w:w="978" w:type="dxa"/>
                  <w:vAlign w:val="center"/>
                </w:tcPr>
                <w:p w14:paraId="180D41CF">
                  <w:pPr>
                    <w:adjustRightInd w:val="0"/>
                    <w:jc w:val="center"/>
                    <w:textAlignment w:val="baseline"/>
                    <w:rPr>
                      <w:kern w:val="0"/>
                      <w:szCs w:val="21"/>
                    </w:rPr>
                  </w:pPr>
                  <w:r>
                    <w:rPr>
                      <w:kern w:val="0"/>
                      <w:szCs w:val="21"/>
                    </w:rPr>
                    <w:t>《国家碳达峰试点实施方案》（发改环资〔2023〕1409号）</w:t>
                  </w:r>
                </w:p>
              </w:tc>
              <w:tc>
                <w:tcPr>
                  <w:tcW w:w="4225" w:type="dxa"/>
                  <w:vAlign w:val="center"/>
                </w:tcPr>
                <w:p w14:paraId="35BF94CB">
                  <w:pPr>
                    <w:adjustRightInd w:val="0"/>
                    <w:textAlignment w:val="baseline"/>
                    <w:rPr>
                      <w:kern w:val="0"/>
                      <w:szCs w:val="21"/>
                    </w:rPr>
                  </w:pPr>
                  <w:r>
                    <w:rPr>
                      <w:kern w:val="0"/>
                      <w:szCs w:val="21"/>
                    </w:rPr>
                    <w:t xml:space="preserve">到2025年，试点城市和园区碳达峰碳中和工作取得积极进展，试点范围内有利于绿色低碳发展的政策机制基本构建，一批可操作、可复制、可推广的创新举措和改革经验初步形成，试点对全国碳达峰碳中和工作的示范引领作用逐步 </w:t>
                  </w:r>
                </w:p>
                <w:p w14:paraId="081D655F">
                  <w:pPr>
                    <w:adjustRightInd w:val="0"/>
                    <w:textAlignment w:val="baseline"/>
                    <w:rPr>
                      <w:kern w:val="0"/>
                      <w:szCs w:val="21"/>
                    </w:rPr>
                  </w:pPr>
                  <w:r>
                    <w:rPr>
                      <w:kern w:val="0"/>
                      <w:szCs w:val="21"/>
                    </w:rPr>
                    <w:t>显现。到2030年，试点城市和园区经济社会发展全面绿色转型取得显著进展，重点任务、重大工程、重要改革如期完成，试点范围内有利于绿色低碳发展的政策机制全面建立，有关创新举措和改革经验对其他城市和园区带动作用明显，为推进碳中和奠定良好实践基础。</w:t>
                  </w:r>
                </w:p>
              </w:tc>
              <w:tc>
                <w:tcPr>
                  <w:tcW w:w="1958" w:type="dxa"/>
                  <w:vAlign w:val="center"/>
                </w:tcPr>
                <w:p w14:paraId="408C31FE">
                  <w:pPr>
                    <w:adjustRightInd w:val="0"/>
                    <w:jc w:val="center"/>
                    <w:textAlignment w:val="baseline"/>
                    <w:rPr>
                      <w:kern w:val="0"/>
                      <w:szCs w:val="21"/>
                    </w:rPr>
                  </w:pPr>
                  <w:r>
                    <w:rPr>
                      <w:kern w:val="0"/>
                      <w:szCs w:val="21"/>
                    </w:rPr>
                    <w:t>本项目开展有利于实现碳达峰发展目标</w:t>
                  </w:r>
                </w:p>
              </w:tc>
              <w:tc>
                <w:tcPr>
                  <w:tcW w:w="495" w:type="dxa"/>
                  <w:vAlign w:val="center"/>
                </w:tcPr>
                <w:p w14:paraId="79228FD8">
                  <w:pPr>
                    <w:adjustRightInd w:val="0"/>
                    <w:jc w:val="center"/>
                    <w:textAlignment w:val="baseline"/>
                    <w:rPr>
                      <w:kern w:val="0"/>
                      <w:szCs w:val="21"/>
                    </w:rPr>
                  </w:pPr>
                  <w:r>
                    <w:rPr>
                      <w:kern w:val="0"/>
                      <w:szCs w:val="21"/>
                    </w:rPr>
                    <w:t>符合</w:t>
                  </w:r>
                </w:p>
              </w:tc>
            </w:tr>
            <w:tr w14:paraId="06BED0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38282CC3">
                  <w:pPr>
                    <w:adjustRightInd w:val="0"/>
                    <w:jc w:val="center"/>
                    <w:textAlignment w:val="baseline"/>
                    <w:rPr>
                      <w:kern w:val="0"/>
                      <w:szCs w:val="21"/>
                    </w:rPr>
                  </w:pPr>
                  <w:r>
                    <w:rPr>
                      <w:kern w:val="0"/>
                      <w:szCs w:val="21"/>
                    </w:rPr>
                    <w:t>5</w:t>
                  </w:r>
                </w:p>
              </w:tc>
              <w:tc>
                <w:tcPr>
                  <w:tcW w:w="978" w:type="dxa"/>
                  <w:vAlign w:val="center"/>
                </w:tcPr>
                <w:p w14:paraId="6ACD65AF">
                  <w:pPr>
                    <w:adjustRightInd w:val="0"/>
                    <w:jc w:val="center"/>
                    <w:textAlignment w:val="baseline"/>
                    <w:rPr>
                      <w:kern w:val="0"/>
                      <w:szCs w:val="21"/>
                    </w:rPr>
                  </w:pPr>
                  <w:r>
                    <w:rPr>
                      <w:kern w:val="0"/>
                      <w:szCs w:val="21"/>
                    </w:rPr>
                    <w:t xml:space="preserve">《国家碳达峰试点（唐山）实 </w:t>
                  </w:r>
                </w:p>
                <w:p w14:paraId="7B60711F">
                  <w:pPr>
                    <w:adjustRightInd w:val="0"/>
                    <w:jc w:val="center"/>
                    <w:textAlignment w:val="baseline"/>
                    <w:rPr>
                      <w:kern w:val="0"/>
                      <w:szCs w:val="21"/>
                    </w:rPr>
                  </w:pPr>
                  <w:r>
                    <w:rPr>
                      <w:kern w:val="0"/>
                      <w:szCs w:val="21"/>
                    </w:rPr>
                    <w:t xml:space="preserve">施方案》（唐政字〔2024〕49 </w:t>
                  </w:r>
                </w:p>
                <w:p w14:paraId="4E0C7366">
                  <w:pPr>
                    <w:adjustRightInd w:val="0"/>
                    <w:jc w:val="center"/>
                    <w:textAlignment w:val="baseline"/>
                    <w:rPr>
                      <w:kern w:val="0"/>
                      <w:szCs w:val="21"/>
                    </w:rPr>
                  </w:pPr>
                  <w:r>
                    <w:rPr>
                      <w:kern w:val="0"/>
                      <w:szCs w:val="21"/>
                    </w:rPr>
                    <w:t>号）</w:t>
                  </w:r>
                </w:p>
              </w:tc>
              <w:tc>
                <w:tcPr>
                  <w:tcW w:w="4225" w:type="dxa"/>
                  <w:vAlign w:val="center"/>
                </w:tcPr>
                <w:p w14:paraId="7EAF82CF">
                  <w:pPr>
                    <w:adjustRightInd w:val="0"/>
                    <w:textAlignment w:val="baseline"/>
                    <w:rPr>
                      <w:kern w:val="0"/>
                      <w:szCs w:val="21"/>
                    </w:rPr>
                  </w:pPr>
                  <w:r>
                    <w:rPr>
                      <w:kern w:val="0"/>
                      <w:szCs w:val="21"/>
                    </w:rPr>
                    <w:t xml:space="preserve">把碳达峰纳入全市经济社会发展全局，以经济社会发展全面绿色转型为引领，以钢铁行业绿色低碳高质量发展为关键，加快形成节约资源和保护环境的产业结构、生产方式、生活方式、空间格局。到2025年，唐山市碳达峰试点城市 </w:t>
                  </w:r>
                </w:p>
                <w:p w14:paraId="46E7DCFB">
                  <w:pPr>
                    <w:adjustRightInd w:val="0"/>
                    <w:textAlignment w:val="baseline"/>
                    <w:rPr>
                      <w:kern w:val="0"/>
                      <w:szCs w:val="21"/>
                    </w:rPr>
                  </w:pPr>
                  <w:r>
                    <w:rPr>
                      <w:kern w:val="0"/>
                      <w:szCs w:val="21"/>
                    </w:rPr>
                    <w:t>工作取得积极进展，非化石能源消费比重达到4%以上，单位地区生产总值能耗、二氧化碳排放完成省下达目标，在钢铁产业低碳转型、能源与资源利用、能源绿色低碳转型等领域初步形成一批可操作、可复制、可推广的创新举措和改革经验，初步构建有利于绿色低碳发展的政策机制，对全国老工业城市碳达峰工作的示范引领作用初步显现。到2030年，唐山市试点城市确定的重点任务、重大工程、重要改革如期完成，非化石能源消费比重达到6%以上，单位地区生产总值能耗和二氧化碳排放在2025年基础上继续大幅下降，2030年前碳达峰目标顺利实现，二氧化碳排放量达到峰值并实现稳中有降，绿色生活方式成为公众自觉选择，有利于绿色低碳发展的政策体系基本健全，经济社会发展全面绿色转型取得显著成效，在钢铁等传统产业梯次达峰、绿色低碳高质量发展和产城融合协调发展方面形成创新举措和改革经验，对全国其他老工业城市起到示范带动作用。</w:t>
                  </w:r>
                </w:p>
              </w:tc>
              <w:tc>
                <w:tcPr>
                  <w:tcW w:w="1958" w:type="dxa"/>
                  <w:vAlign w:val="center"/>
                </w:tcPr>
                <w:p w14:paraId="4A73936C">
                  <w:pPr>
                    <w:adjustRightInd w:val="0"/>
                    <w:jc w:val="center"/>
                    <w:textAlignment w:val="baseline"/>
                    <w:rPr>
                      <w:kern w:val="0"/>
                      <w:szCs w:val="21"/>
                    </w:rPr>
                  </w:pPr>
                  <w:r>
                    <w:rPr>
                      <w:kern w:val="0"/>
                      <w:szCs w:val="21"/>
                    </w:rPr>
                    <w:t>本项目的实施有利于降低非化石能源消费比重，有利于促进绿色低碳发展的政策体系基本健全，经济社会发展全面绿色转型，有利于加快形成节约资源和保护环境的产业结构、生产方</w:t>
                  </w:r>
                </w:p>
                <w:p w14:paraId="37DD3E37">
                  <w:pPr>
                    <w:adjustRightInd w:val="0"/>
                    <w:jc w:val="center"/>
                    <w:textAlignment w:val="baseline"/>
                    <w:rPr>
                      <w:kern w:val="0"/>
                      <w:szCs w:val="21"/>
                    </w:rPr>
                  </w:pPr>
                  <w:r>
                    <w:rPr>
                      <w:kern w:val="0"/>
                      <w:szCs w:val="21"/>
                    </w:rPr>
                    <w:t>式、生活方式、空间格局</w:t>
                  </w:r>
                </w:p>
                <w:p w14:paraId="7E65EE25">
                  <w:pPr>
                    <w:adjustRightInd w:val="0"/>
                    <w:jc w:val="center"/>
                    <w:textAlignment w:val="baseline"/>
                    <w:rPr>
                      <w:kern w:val="0"/>
                      <w:szCs w:val="21"/>
                    </w:rPr>
                  </w:pPr>
                </w:p>
              </w:tc>
              <w:tc>
                <w:tcPr>
                  <w:tcW w:w="495" w:type="dxa"/>
                  <w:vAlign w:val="center"/>
                </w:tcPr>
                <w:p w14:paraId="7E50B17D">
                  <w:pPr>
                    <w:adjustRightInd w:val="0"/>
                    <w:jc w:val="center"/>
                    <w:textAlignment w:val="baseline"/>
                    <w:rPr>
                      <w:kern w:val="0"/>
                      <w:szCs w:val="21"/>
                    </w:rPr>
                  </w:pPr>
                  <w:r>
                    <w:rPr>
                      <w:kern w:val="0"/>
                      <w:szCs w:val="21"/>
                    </w:rPr>
                    <w:t>符合</w:t>
                  </w:r>
                </w:p>
              </w:tc>
            </w:tr>
            <w:tr w14:paraId="4BFE30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201B7AFF">
                  <w:pPr>
                    <w:adjustRightInd w:val="0"/>
                    <w:jc w:val="center"/>
                    <w:textAlignment w:val="baseline"/>
                    <w:rPr>
                      <w:kern w:val="0"/>
                      <w:szCs w:val="21"/>
                    </w:rPr>
                  </w:pPr>
                  <w:r>
                    <w:rPr>
                      <w:kern w:val="0"/>
                      <w:szCs w:val="21"/>
                    </w:rPr>
                    <w:t>6</w:t>
                  </w:r>
                </w:p>
              </w:tc>
              <w:tc>
                <w:tcPr>
                  <w:tcW w:w="978" w:type="dxa"/>
                  <w:vAlign w:val="center"/>
                </w:tcPr>
                <w:p w14:paraId="0334E9DD">
                  <w:pPr>
                    <w:adjustRightInd w:val="0"/>
                    <w:jc w:val="center"/>
                    <w:textAlignment w:val="baseline"/>
                    <w:rPr>
                      <w:kern w:val="0"/>
                      <w:szCs w:val="21"/>
                    </w:rPr>
                  </w:pPr>
                  <w:r>
                    <w:rPr>
                      <w:kern w:val="0"/>
                      <w:szCs w:val="21"/>
                    </w:rPr>
                    <w:t>《风力发电场设计规范》（GB51096-2015）</w:t>
                  </w:r>
                </w:p>
              </w:tc>
              <w:tc>
                <w:tcPr>
                  <w:tcW w:w="4225" w:type="dxa"/>
                  <w:vAlign w:val="center"/>
                </w:tcPr>
                <w:p w14:paraId="3043E3BC">
                  <w:pPr>
                    <w:adjustRightInd w:val="0"/>
                    <w:textAlignment w:val="baseline"/>
                    <w:rPr>
                      <w:kern w:val="0"/>
                      <w:szCs w:val="21"/>
                    </w:rPr>
                  </w:pPr>
                  <w:r>
                    <w:rPr>
                      <w:kern w:val="0"/>
                      <w:szCs w:val="21"/>
                    </w:rPr>
                    <w:t xml:space="preserve">①集电线路的电压等级宜采用10kV~35kV，应根据风力发电场规模及接入条件等，经技术经济比较确定。②集电线路宜采用架空线路形式。③应与风力发电场总体设计相结合，综合考虑 </w:t>
                  </w:r>
                </w:p>
                <w:p w14:paraId="1C4C2BC6">
                  <w:pPr>
                    <w:adjustRightInd w:val="0"/>
                    <w:textAlignment w:val="baseline"/>
                    <w:rPr>
                      <w:kern w:val="0"/>
                      <w:szCs w:val="21"/>
                    </w:rPr>
                  </w:pPr>
                  <w:r>
                    <w:rPr>
                      <w:kern w:val="0"/>
                      <w:szCs w:val="21"/>
                    </w:rPr>
                    <w:t>机位分布、地形、地貌、运行、施工、交通条件及路径长度等因素，宜布置在同一走廊内，对位于同一路径走廊的架空线路应采用多回路共架。④应避开洼地、冲刷地带、不良地质区以及影响安全运行的其他区域。⑤架空线路与道路间距应满足风力发电机组运输及吊装设备转场的要求；⑥架空线路的终端杆（塔）应靠近机组变电单元，但与风力发电机组的距离应大于杆(塔)的高度，且边导线与风机塔筒及叶片间的距离应满足电气安全距离的要求。</w:t>
                  </w:r>
                </w:p>
              </w:tc>
              <w:tc>
                <w:tcPr>
                  <w:tcW w:w="1958" w:type="dxa"/>
                  <w:vAlign w:val="center"/>
                </w:tcPr>
                <w:p w14:paraId="76E5B03B">
                  <w:pPr>
                    <w:adjustRightInd w:val="0"/>
                    <w:jc w:val="center"/>
                    <w:textAlignment w:val="baseline"/>
                    <w:rPr>
                      <w:kern w:val="0"/>
                      <w:szCs w:val="21"/>
                    </w:rPr>
                  </w:pPr>
                  <w:r>
                    <w:rPr>
                      <w:kern w:val="0"/>
                      <w:szCs w:val="21"/>
                    </w:rPr>
                    <w:t>①本项目集电线路为35kV；②风电场部分电缆采用直埋或穿管，升压站部分采用电缆沟及埋管方式敷设，风机与风机之间集电线路采用架空和地埋方式敷设；③项目机位分布合理、项目所在区域为平原，架空集电线路采用多回路共架与单回路共架相结合的形式；④集电线路路径均为平地，不涉及洼地、冲刷地带、不良地质区以及影响安全运行的其他区域；⑤架空线路与道路间距满足风力发电机组运输及吊装设备转场的要求；⑥架空线路的终端杆（塔）靠近机组变电单元，与风力发电机组的距离大于杆（塔）的高度，边导线与风机塔筒及叶片间的</w:t>
                  </w:r>
                  <w:r>
                    <w:rPr>
                      <w:rFonts w:hint="eastAsia"/>
                      <w:kern w:val="0"/>
                      <w:szCs w:val="21"/>
                    </w:rPr>
                    <w:t>最小</w:t>
                  </w:r>
                  <w:r>
                    <w:rPr>
                      <w:kern w:val="0"/>
                      <w:szCs w:val="21"/>
                    </w:rPr>
                    <w:t>距离满足电气安全距离（35kV：1m）的要求</w:t>
                  </w:r>
                </w:p>
              </w:tc>
              <w:tc>
                <w:tcPr>
                  <w:tcW w:w="495" w:type="dxa"/>
                  <w:vAlign w:val="center"/>
                </w:tcPr>
                <w:p w14:paraId="3C352009">
                  <w:pPr>
                    <w:adjustRightInd w:val="0"/>
                    <w:jc w:val="center"/>
                    <w:textAlignment w:val="baseline"/>
                    <w:rPr>
                      <w:kern w:val="0"/>
                      <w:szCs w:val="21"/>
                    </w:rPr>
                  </w:pPr>
                  <w:r>
                    <w:rPr>
                      <w:kern w:val="0"/>
                      <w:szCs w:val="21"/>
                    </w:rPr>
                    <w:t>符合</w:t>
                  </w:r>
                </w:p>
              </w:tc>
            </w:tr>
            <w:tr w14:paraId="0215E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5E361C4C">
                  <w:pPr>
                    <w:adjustRightInd w:val="0"/>
                    <w:jc w:val="center"/>
                    <w:textAlignment w:val="baseline"/>
                    <w:rPr>
                      <w:kern w:val="0"/>
                      <w:szCs w:val="21"/>
                    </w:rPr>
                  </w:pPr>
                  <w:r>
                    <w:rPr>
                      <w:kern w:val="0"/>
                      <w:szCs w:val="21"/>
                    </w:rPr>
                    <w:t>7</w:t>
                  </w:r>
                </w:p>
              </w:tc>
              <w:tc>
                <w:tcPr>
                  <w:tcW w:w="978" w:type="dxa"/>
                  <w:vAlign w:val="center"/>
                </w:tcPr>
                <w:p w14:paraId="586EDD8A">
                  <w:pPr>
                    <w:adjustRightInd w:val="0"/>
                    <w:jc w:val="center"/>
                    <w:textAlignment w:val="baseline"/>
                    <w:rPr>
                      <w:kern w:val="0"/>
                      <w:szCs w:val="21"/>
                    </w:rPr>
                  </w:pPr>
                  <w:r>
                    <w:rPr>
                      <w:kern w:val="0"/>
                      <w:szCs w:val="21"/>
                    </w:rPr>
                    <w:t>《国家林业和草原局关于规范风电场项目建设使用林地的通知》（林资发〔2019〕17号）</w:t>
                  </w:r>
                </w:p>
              </w:tc>
              <w:tc>
                <w:tcPr>
                  <w:tcW w:w="4225" w:type="dxa"/>
                  <w:vAlign w:val="center"/>
                </w:tcPr>
                <w:p w14:paraId="1CD8BD16">
                  <w:pPr>
                    <w:adjustRightInd w:val="0"/>
                    <w:textAlignment w:val="baseline"/>
                    <w:rPr>
                      <w:kern w:val="0"/>
                      <w:szCs w:val="21"/>
                    </w:rPr>
                  </w:pPr>
                  <w:r>
                    <w:rPr>
                      <w:kern w:val="0"/>
                      <w:szCs w:val="21"/>
                    </w:rPr>
                    <w:t>①严格保护生态功能重要、生态脆弱敏感区域的林地。</w:t>
                  </w:r>
                </w:p>
                <w:p w14:paraId="51CF8CC1">
                  <w:pPr>
                    <w:adjustRightInd w:val="0"/>
                    <w:textAlignment w:val="baseline"/>
                    <w:rPr>
                      <w:kern w:val="0"/>
                      <w:szCs w:val="21"/>
                    </w:rPr>
                  </w:pPr>
                  <w:r>
                    <w:rPr>
                      <w:kern w:val="0"/>
                      <w:szCs w:val="21"/>
                    </w:rPr>
                    <w:t>②不得占用年降雨量400毫米以下区域的有林地和一级国家级公益林地，避让二级国家级公益林中有林地集中区域。</w:t>
                  </w:r>
                </w:p>
                <w:p w14:paraId="4D65A5C8">
                  <w:pPr>
                    <w:adjustRightInd w:val="0"/>
                    <w:textAlignment w:val="baseline"/>
                    <w:rPr>
                      <w:kern w:val="0"/>
                      <w:szCs w:val="21"/>
                    </w:rPr>
                  </w:pPr>
                  <w:r>
                    <w:rPr>
                      <w:kern w:val="0"/>
                      <w:szCs w:val="21"/>
                    </w:rPr>
                    <w:t>③风电场施工和检修道路，应尽可能利用现有森林防火道路、林区道路、乡村道路等道路，在其基础上扩建的风电场道路原则上不得改变现有道路性质。</w:t>
                  </w:r>
                </w:p>
              </w:tc>
              <w:tc>
                <w:tcPr>
                  <w:tcW w:w="1958" w:type="dxa"/>
                  <w:vAlign w:val="center"/>
                </w:tcPr>
                <w:p w14:paraId="1B9C42E3">
                  <w:pPr>
                    <w:adjustRightInd w:val="0"/>
                    <w:jc w:val="center"/>
                    <w:textAlignment w:val="baseline"/>
                    <w:rPr>
                      <w:kern w:val="0"/>
                      <w:szCs w:val="21"/>
                    </w:rPr>
                  </w:pPr>
                  <w:r>
                    <w:rPr>
                      <w:kern w:val="0"/>
                      <w:szCs w:val="21"/>
                    </w:rPr>
                    <w:t>①本项目占地不涉及保护生态功能重要、生态脆弱敏感区域的林地；②本项目不占用林地；③风电场施工和检修道路利用现有乡村道路，施工期对现有道路进行扩建，无道路地区新建道路，项目不改变现有道路性质</w:t>
                  </w:r>
                </w:p>
              </w:tc>
              <w:tc>
                <w:tcPr>
                  <w:tcW w:w="495" w:type="dxa"/>
                  <w:vAlign w:val="center"/>
                </w:tcPr>
                <w:p w14:paraId="77DF97AC">
                  <w:pPr>
                    <w:adjustRightInd w:val="0"/>
                    <w:jc w:val="center"/>
                    <w:textAlignment w:val="baseline"/>
                    <w:rPr>
                      <w:kern w:val="0"/>
                      <w:szCs w:val="21"/>
                    </w:rPr>
                  </w:pPr>
                  <w:r>
                    <w:rPr>
                      <w:kern w:val="0"/>
                      <w:szCs w:val="21"/>
                    </w:rPr>
                    <w:t>符合</w:t>
                  </w:r>
                </w:p>
              </w:tc>
            </w:tr>
            <w:tr w14:paraId="5E8B8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52FB4E98">
                  <w:pPr>
                    <w:adjustRightInd w:val="0"/>
                    <w:jc w:val="center"/>
                    <w:textAlignment w:val="baseline"/>
                    <w:rPr>
                      <w:kern w:val="0"/>
                      <w:szCs w:val="21"/>
                    </w:rPr>
                  </w:pPr>
                  <w:r>
                    <w:rPr>
                      <w:kern w:val="0"/>
                      <w:szCs w:val="21"/>
                    </w:rPr>
                    <w:t>8</w:t>
                  </w:r>
                </w:p>
              </w:tc>
              <w:tc>
                <w:tcPr>
                  <w:tcW w:w="978" w:type="dxa"/>
                  <w:vAlign w:val="center"/>
                </w:tcPr>
                <w:p w14:paraId="1E5E198F">
                  <w:pPr>
                    <w:adjustRightInd w:val="0"/>
                    <w:jc w:val="center"/>
                    <w:textAlignment w:val="baseline"/>
                    <w:rPr>
                      <w:kern w:val="0"/>
                      <w:szCs w:val="21"/>
                    </w:rPr>
                  </w:pPr>
                  <w:r>
                    <w:rPr>
                      <w:kern w:val="0"/>
                      <w:szCs w:val="21"/>
                    </w:rPr>
                    <w:t>《水利部关于加强河湖水域岸线空间管控的指导意见》（水河湖〔2022〕216号）</w:t>
                  </w:r>
                </w:p>
              </w:tc>
              <w:tc>
                <w:tcPr>
                  <w:tcW w:w="4225" w:type="dxa"/>
                  <w:vAlign w:val="center"/>
                </w:tcPr>
                <w:p w14:paraId="1D702A8B">
                  <w:pPr>
                    <w:adjustRightInd w:val="0"/>
                    <w:textAlignment w:val="baseline"/>
                    <w:rPr>
                      <w:kern w:val="0"/>
                      <w:szCs w:val="21"/>
                    </w:rPr>
                  </w:pPr>
                  <w:r>
                    <w:rPr>
                      <w:kern w:val="0"/>
                      <w:szCs w:val="21"/>
                    </w:rPr>
                    <w:t>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tc>
              <w:tc>
                <w:tcPr>
                  <w:tcW w:w="1958" w:type="dxa"/>
                  <w:vAlign w:val="center"/>
                </w:tcPr>
                <w:p w14:paraId="22738F68">
                  <w:pPr>
                    <w:adjustRightInd w:val="0"/>
                    <w:jc w:val="center"/>
                    <w:textAlignment w:val="baseline"/>
                    <w:rPr>
                      <w:kern w:val="0"/>
                      <w:szCs w:val="21"/>
                    </w:rPr>
                  </w:pPr>
                  <w:r>
                    <w:rPr>
                      <w:kern w:val="0"/>
                      <w:szCs w:val="21"/>
                    </w:rPr>
                    <w:t>项目不在河道、湖泊、水库内建设，项目建设不会对地表水环境、水生态、水环境产生影响</w:t>
                  </w:r>
                </w:p>
              </w:tc>
              <w:tc>
                <w:tcPr>
                  <w:tcW w:w="495" w:type="dxa"/>
                  <w:vAlign w:val="center"/>
                </w:tcPr>
                <w:p w14:paraId="38CAA883">
                  <w:pPr>
                    <w:adjustRightInd w:val="0"/>
                    <w:jc w:val="center"/>
                    <w:textAlignment w:val="baseline"/>
                    <w:rPr>
                      <w:kern w:val="0"/>
                      <w:szCs w:val="21"/>
                    </w:rPr>
                  </w:pPr>
                  <w:r>
                    <w:rPr>
                      <w:kern w:val="0"/>
                      <w:szCs w:val="21"/>
                    </w:rPr>
                    <w:t>符合</w:t>
                  </w:r>
                </w:p>
              </w:tc>
            </w:tr>
            <w:tr w14:paraId="2FA90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69" w:hRule="atLeast"/>
                <w:jc w:val="center"/>
              </w:trPr>
              <w:tc>
                <w:tcPr>
                  <w:tcW w:w="281" w:type="dxa"/>
                  <w:vAlign w:val="center"/>
                </w:tcPr>
                <w:p w14:paraId="0ADC5872">
                  <w:pPr>
                    <w:adjustRightInd w:val="0"/>
                    <w:jc w:val="center"/>
                    <w:textAlignment w:val="baseline"/>
                    <w:rPr>
                      <w:kern w:val="0"/>
                      <w:szCs w:val="21"/>
                    </w:rPr>
                  </w:pPr>
                  <w:r>
                    <w:rPr>
                      <w:kern w:val="0"/>
                      <w:szCs w:val="21"/>
                    </w:rPr>
                    <w:t>9</w:t>
                  </w:r>
                </w:p>
              </w:tc>
              <w:tc>
                <w:tcPr>
                  <w:tcW w:w="978" w:type="dxa"/>
                  <w:vAlign w:val="center"/>
                </w:tcPr>
                <w:p w14:paraId="55DBE54C">
                  <w:pPr>
                    <w:adjustRightInd w:val="0"/>
                    <w:jc w:val="center"/>
                    <w:textAlignment w:val="baseline"/>
                    <w:rPr>
                      <w:kern w:val="0"/>
                      <w:szCs w:val="21"/>
                    </w:rPr>
                  </w:pPr>
                  <w:r>
                    <w:rPr>
                      <w:kern w:val="0"/>
                      <w:szCs w:val="21"/>
                    </w:rPr>
                    <w:t>《河北省基本农田保护条例》</w:t>
                  </w:r>
                </w:p>
              </w:tc>
              <w:tc>
                <w:tcPr>
                  <w:tcW w:w="4225" w:type="dxa"/>
                  <w:vAlign w:val="center"/>
                </w:tcPr>
                <w:p w14:paraId="3068E651">
                  <w:pPr>
                    <w:adjustRightInd w:val="0"/>
                    <w:textAlignment w:val="baseline"/>
                    <w:rPr>
                      <w:kern w:val="0"/>
                      <w:szCs w:val="21"/>
                    </w:rPr>
                  </w:pPr>
                  <w:r>
                    <w:rPr>
                      <w:kern w:val="0"/>
                      <w:szCs w:val="21"/>
                    </w:rPr>
                    <w:t>基本农田保护区经依法划定后，任何单位和个人不得改变或者占用，不得设立除农业园区之外的各类开发区。国家能源、交通、水利、军事设施等重点建设项目选址确实无法避开基本农田保护区，需占用基本农田的，应当向省人民政府土地行政主管部门提出申请，经省人民政府审核同意后，报国务院批准。</w:t>
                  </w:r>
                </w:p>
              </w:tc>
              <w:tc>
                <w:tcPr>
                  <w:tcW w:w="1958" w:type="dxa"/>
                  <w:vAlign w:val="center"/>
                </w:tcPr>
                <w:p w14:paraId="253A1A64">
                  <w:pPr>
                    <w:adjustRightInd w:val="0"/>
                    <w:jc w:val="center"/>
                    <w:textAlignment w:val="baseline"/>
                    <w:rPr>
                      <w:kern w:val="0"/>
                      <w:szCs w:val="21"/>
                    </w:rPr>
                  </w:pPr>
                  <w:r>
                    <w:rPr>
                      <w:kern w:val="0"/>
                      <w:szCs w:val="21"/>
                    </w:rPr>
                    <w:t>项目占地不占用基本农田保护区</w:t>
                  </w:r>
                </w:p>
              </w:tc>
              <w:tc>
                <w:tcPr>
                  <w:tcW w:w="495" w:type="dxa"/>
                  <w:vAlign w:val="center"/>
                </w:tcPr>
                <w:p w14:paraId="65F40C06">
                  <w:pPr>
                    <w:adjustRightInd w:val="0"/>
                    <w:jc w:val="center"/>
                    <w:textAlignment w:val="baseline"/>
                    <w:rPr>
                      <w:kern w:val="0"/>
                      <w:szCs w:val="21"/>
                    </w:rPr>
                  </w:pPr>
                  <w:r>
                    <w:rPr>
                      <w:kern w:val="0"/>
                      <w:szCs w:val="21"/>
                    </w:rPr>
                    <w:t>符合</w:t>
                  </w:r>
                </w:p>
              </w:tc>
            </w:tr>
          </w:tbl>
          <w:p w14:paraId="7E260A53">
            <w:pPr>
              <w:spacing w:line="480" w:lineRule="exact"/>
              <w:ind w:firstLine="480" w:firstLineChars="200"/>
              <w:rPr>
                <w:sz w:val="24"/>
              </w:rPr>
            </w:pPr>
            <w:r>
              <w:rPr>
                <w:rFonts w:hint="eastAsia"/>
                <w:sz w:val="24"/>
              </w:rPr>
              <w:t>结合上表可知，本项目实施后可满足相关文件要求。</w:t>
            </w:r>
          </w:p>
          <w:p w14:paraId="65754E8A">
            <w:pPr>
              <w:widowControl/>
              <w:spacing w:line="480" w:lineRule="exact"/>
              <w:ind w:firstLine="482" w:firstLineChars="200"/>
              <w:jc w:val="left"/>
              <w:rPr>
                <w:sz w:val="24"/>
              </w:rPr>
            </w:pPr>
            <w:r>
              <w:rPr>
                <w:rFonts w:hint="eastAsia" w:ascii="宋体" w:hAnsi="宋体" w:cs="宋体"/>
                <w:b/>
                <w:bCs/>
                <w:kern w:val="0"/>
                <w:sz w:val="24"/>
              </w:rPr>
              <w:t xml:space="preserve">4、沙区符合性分析 </w:t>
            </w:r>
          </w:p>
          <w:p w14:paraId="1F52AD29">
            <w:pPr>
              <w:spacing w:line="480" w:lineRule="exact"/>
              <w:ind w:firstLine="480" w:firstLineChars="200"/>
              <w:rPr>
                <w:sz w:val="24"/>
              </w:rPr>
            </w:pPr>
            <w:r>
              <w:rPr>
                <w:rFonts w:hint="eastAsia"/>
                <w:sz w:val="24"/>
              </w:rPr>
              <w:t>本项目位于唐山市曹妃甸区，根据河北省</w:t>
            </w:r>
            <w:r>
              <w:rPr>
                <w:sz w:val="24"/>
              </w:rPr>
              <w:t>“</w:t>
            </w:r>
            <w:r>
              <w:rPr>
                <w:rFonts w:hint="eastAsia"/>
                <w:sz w:val="24"/>
              </w:rPr>
              <w:t>三线一单</w:t>
            </w:r>
            <w:r>
              <w:rPr>
                <w:sz w:val="24"/>
              </w:rPr>
              <w:t>”</w:t>
            </w:r>
            <w:r>
              <w:rPr>
                <w:rFonts w:hint="eastAsia"/>
                <w:sz w:val="24"/>
              </w:rPr>
              <w:t>信息管理平台</w:t>
            </w:r>
            <w:r>
              <w:rPr>
                <w:sz w:val="24"/>
              </w:rPr>
              <w:t>—</w:t>
            </w:r>
            <w:r>
              <w:rPr>
                <w:rFonts w:hint="eastAsia"/>
                <w:sz w:val="24"/>
              </w:rPr>
              <w:t>河北省沙化土地分布图，本项目在沙化土地范围内。按照《全国防沙治沙规划</w:t>
            </w:r>
            <w:r>
              <w:rPr>
                <w:sz w:val="24"/>
              </w:rPr>
              <w:t>(2021-2030</w:t>
            </w:r>
            <w:r>
              <w:rPr>
                <w:rFonts w:hint="eastAsia"/>
                <w:sz w:val="24"/>
              </w:rPr>
              <w:t>年</w:t>
            </w:r>
            <w:r>
              <w:rPr>
                <w:sz w:val="24"/>
              </w:rPr>
              <w:t>)</w:t>
            </w:r>
            <w:r>
              <w:rPr>
                <w:rFonts w:hint="eastAsia"/>
                <w:sz w:val="24"/>
              </w:rPr>
              <w:t>》，曹妃甸区为海岸带沙地综合治理区，属一般县，该区域</w:t>
            </w:r>
            <w:r>
              <w:rPr>
                <w:sz w:val="24"/>
              </w:rPr>
              <w:t>“</w:t>
            </w:r>
            <w:r>
              <w:rPr>
                <w:rFonts w:hint="eastAsia"/>
                <w:sz w:val="24"/>
              </w:rPr>
              <w:t>防风固沙成效明显，风沙危害较轻。加强沿海防护林带保护，制止滥采沙、挖虾池，切实巩固建设成果；对于滨海前沿风口，因害设防，采取工程、生物措施，加强防风固沙林、护岸林和水土保持林建设；加强森林抚育、更新改造，提升生态防护功能；适度利用特色沙地资源，开展绿化、美化，发展生态旅游。</w:t>
            </w:r>
            <w:r>
              <w:rPr>
                <w:sz w:val="24"/>
              </w:rPr>
              <w:t>”</w:t>
            </w:r>
            <w:r>
              <w:rPr>
                <w:rFonts w:hint="eastAsia"/>
                <w:sz w:val="24"/>
              </w:rPr>
              <w:t xml:space="preserve">等措施。 </w:t>
            </w:r>
          </w:p>
          <w:p w14:paraId="4129A532">
            <w:pPr>
              <w:pStyle w:val="70"/>
              <w:adjustRightInd w:val="0"/>
              <w:snapToGrid w:val="0"/>
              <w:spacing w:line="480" w:lineRule="exact"/>
              <w:ind w:firstLine="436" w:firstLineChars="182"/>
            </w:pPr>
            <w:r>
              <w:rPr>
                <w:rFonts w:hint="eastAsia"/>
              </w:rPr>
              <w:t>项目拟采取下列措施进行防沙治沙：临时堆土采用编织袋装土拦挡和苫布覆盖、设置临时排水导流系统等措施；临时道路采取土石方临时挡护措施、边坡防护、排水导流措施等；在主进场道路两侧设置乔灌草绿化等；项目施工结束对短期临时占地（如吊装场地等）进行恢复植被；服务期满后对长期租赁占地进行恢复植被。</w:t>
            </w:r>
          </w:p>
          <w:p w14:paraId="4F52BDAB">
            <w:pPr>
              <w:pStyle w:val="70"/>
              <w:adjustRightInd w:val="0"/>
              <w:snapToGrid w:val="0"/>
              <w:spacing w:line="480" w:lineRule="exact"/>
              <w:ind w:firstLine="439" w:firstLineChars="182"/>
            </w:pPr>
            <w:r>
              <w:rPr>
                <w:rFonts w:hint="eastAsia"/>
                <w:b/>
                <w:bCs/>
              </w:rPr>
              <w:t>5、降碳效益分析</w:t>
            </w:r>
          </w:p>
          <w:p w14:paraId="465B32D2">
            <w:pPr>
              <w:pStyle w:val="70"/>
              <w:adjustRightInd w:val="0"/>
              <w:snapToGrid w:val="0"/>
              <w:spacing w:line="480" w:lineRule="exact"/>
              <w:ind w:firstLine="436" w:firstLineChars="182"/>
            </w:pPr>
            <w:r>
              <w:rPr>
                <w:rFonts w:hint="eastAsia"/>
              </w:rPr>
              <w:t>本项目装机容量为350MW。新能源发电项目属于清洁、可再生能源项目之一，本项目建设符合可持续发展的原则，是国家能源战略、双碳目标的重要体现。</w:t>
            </w:r>
            <w:r>
              <w:t>预计项目年上网电量为95089.47万kW·h，年等效满负荷小时数为2581h</w:t>
            </w:r>
            <w:r>
              <w:rPr>
                <w:rFonts w:hint="eastAsia"/>
              </w:rPr>
              <w:t>。</w:t>
            </w:r>
          </w:p>
          <w:p w14:paraId="3717560E">
            <w:pPr>
              <w:pStyle w:val="70"/>
              <w:adjustRightInd w:val="0"/>
              <w:snapToGrid w:val="0"/>
              <w:spacing w:line="480" w:lineRule="exact"/>
              <w:ind w:firstLine="465" w:firstLineChars="182"/>
            </w:pPr>
            <w:r>
              <w:rPr>
                <w:rFonts w:hint="eastAsia"/>
                <w:spacing w:val="8"/>
                <w:shd w:val="clear" w:color="auto" w:fill="FFFFFF"/>
              </w:rPr>
              <w:t>根据《关于发布2021年电力二氧化碳排放因子的公告》（公告2024年第12号），</w:t>
            </w:r>
            <w:r>
              <w:rPr>
                <w:spacing w:val="8"/>
                <w:shd w:val="clear" w:color="auto" w:fill="FFFFFF"/>
              </w:rPr>
              <w:t>本项目</w:t>
            </w:r>
            <w:r>
              <w:rPr>
                <w:rFonts w:hint="eastAsia"/>
                <w:spacing w:val="8"/>
                <w:shd w:val="clear" w:color="auto" w:fill="FFFFFF"/>
              </w:rPr>
              <w:t>位于河北省，电力平均二氧化碳排放因子</w:t>
            </w:r>
            <w:r>
              <w:rPr>
                <w:spacing w:val="8"/>
                <w:shd w:val="clear" w:color="auto" w:fill="FFFFFF"/>
              </w:rPr>
              <w:t>取值0.</w:t>
            </w:r>
            <w:r>
              <w:rPr>
                <w:rFonts w:hint="eastAsia"/>
                <w:spacing w:val="8"/>
                <w:shd w:val="clear" w:color="auto" w:fill="FFFFFF"/>
              </w:rPr>
              <w:t>7901</w:t>
            </w:r>
            <w:r>
              <w:rPr>
                <w:spacing w:val="8"/>
                <w:shd w:val="clear" w:color="auto" w:fill="FFFFFF"/>
              </w:rPr>
              <w:t>tCO</w:t>
            </w:r>
            <w:r>
              <w:rPr>
                <w:spacing w:val="8"/>
                <w:shd w:val="clear" w:color="auto" w:fill="FFFFFF"/>
                <w:vertAlign w:val="subscript"/>
              </w:rPr>
              <w:t>2</w:t>
            </w:r>
            <w:r>
              <w:rPr>
                <w:spacing w:val="8"/>
                <w:shd w:val="clear" w:color="auto" w:fill="FFFFFF"/>
              </w:rPr>
              <w:t>/MWh。本项目</w:t>
            </w:r>
            <w:r>
              <w:t>年上网电量为95089.47万kW·h，由</w:t>
            </w:r>
            <w:r>
              <w:rPr>
                <w:rFonts w:hint="eastAsia"/>
              </w:rPr>
              <w:t>此</w:t>
            </w:r>
            <w:r>
              <w:t>计算</w:t>
            </w:r>
            <w:r>
              <w:rPr>
                <w:rFonts w:hint="eastAsia"/>
              </w:rPr>
              <w:t>本项目实施后可减少温室气体CO</w:t>
            </w:r>
            <w:r>
              <w:rPr>
                <w:rFonts w:hint="eastAsia"/>
                <w:vertAlign w:val="subscript"/>
              </w:rPr>
              <w:t>2</w:t>
            </w:r>
            <w:r>
              <w:rPr>
                <w:spacing w:val="8"/>
                <w:shd w:val="clear" w:color="auto" w:fill="FFFFFF"/>
              </w:rPr>
              <w:t>排放量为</w:t>
            </w:r>
            <w:r>
              <w:rPr>
                <w:rFonts w:hint="eastAsia"/>
                <w:spacing w:val="8"/>
                <w:shd w:val="clear" w:color="auto" w:fill="FFFFFF"/>
              </w:rPr>
              <w:t>751301.9</w:t>
            </w:r>
            <w:r>
              <w:rPr>
                <w:spacing w:val="8"/>
                <w:shd w:val="clear" w:color="auto" w:fill="FFFFFF"/>
              </w:rPr>
              <w:t>tCO</w:t>
            </w:r>
            <w:r>
              <w:rPr>
                <w:spacing w:val="8"/>
                <w:shd w:val="clear" w:color="auto" w:fill="FFFFFF"/>
                <w:vertAlign w:val="subscript"/>
              </w:rPr>
              <w:t>2</w:t>
            </w:r>
            <w:r>
              <w:rPr>
                <w:rFonts w:hint="eastAsia"/>
                <w:spacing w:val="8"/>
                <w:shd w:val="clear" w:color="auto" w:fill="FFFFFF"/>
              </w:rPr>
              <w:t>/a</w:t>
            </w:r>
            <w:r>
              <w:rPr>
                <w:spacing w:val="8"/>
                <w:shd w:val="clear" w:color="auto" w:fill="FFFFFF"/>
              </w:rPr>
              <w:t>。</w:t>
            </w:r>
          </w:p>
          <w:p w14:paraId="29F35984">
            <w:pPr>
              <w:pStyle w:val="70"/>
              <w:adjustRightInd w:val="0"/>
              <w:snapToGrid w:val="0"/>
              <w:spacing w:line="480" w:lineRule="exact"/>
              <w:ind w:firstLine="436" w:firstLineChars="182"/>
            </w:pPr>
            <w:r>
              <w:rPr>
                <w:rFonts w:hint="eastAsia"/>
              </w:rPr>
              <w:t>与燃煤电厂相比，以发电标煤煤耗0.3015kgce/kWh计，则本项目实施后每年可节约标煤28.67万吨。与相同发电量的火电相比，烟尘排放量按0.017g/</w:t>
            </w:r>
            <w:r>
              <w:t>kW·h</w:t>
            </w:r>
            <w:r>
              <w:rPr>
                <w:rFonts w:hint="eastAsia"/>
              </w:rPr>
              <w:t>计，SO</w:t>
            </w:r>
            <w:r>
              <w:rPr>
                <w:rFonts w:hint="eastAsia"/>
                <w:vertAlign w:val="subscript"/>
              </w:rPr>
              <w:t>2</w:t>
            </w:r>
            <w:r>
              <w:rPr>
                <w:rFonts w:hint="eastAsia"/>
              </w:rPr>
              <w:t>排放量按0.083g/</w:t>
            </w:r>
            <w:r>
              <w:t>kW·h</w:t>
            </w:r>
            <w:r>
              <w:rPr>
                <w:rFonts w:hint="eastAsia"/>
              </w:rPr>
              <w:t>计，NO</w:t>
            </w:r>
            <w:r>
              <w:rPr>
                <w:rFonts w:hint="eastAsia"/>
                <w:vertAlign w:val="subscript"/>
              </w:rPr>
              <w:t>X</w:t>
            </w:r>
            <w:r>
              <w:rPr>
                <w:rFonts w:hint="eastAsia"/>
              </w:rPr>
              <w:t>排放量按0.133g/</w:t>
            </w:r>
            <w:r>
              <w:t>kW·h</w:t>
            </w:r>
            <w:r>
              <w:rPr>
                <w:rFonts w:hint="eastAsia"/>
              </w:rPr>
              <w:t>计，该项目每年可减少烟尘排放量约16.165t，减少SO</w:t>
            </w:r>
            <w:r>
              <w:rPr>
                <w:rFonts w:hint="eastAsia"/>
                <w:vertAlign w:val="subscript"/>
              </w:rPr>
              <w:t>2</w:t>
            </w:r>
            <w:r>
              <w:rPr>
                <w:rFonts w:hint="eastAsia"/>
              </w:rPr>
              <w:t>排放量约78.924t，NO</w:t>
            </w:r>
            <w:r>
              <w:rPr>
                <w:rFonts w:hint="eastAsia"/>
                <w:vertAlign w:val="subscript"/>
              </w:rPr>
              <w:t>X</w:t>
            </w:r>
            <w:r>
              <w:rPr>
                <w:rFonts w:hint="eastAsia"/>
              </w:rPr>
              <w:t>排放量约126.469t。由此可见本项目建设的环境效益十分显著。</w:t>
            </w:r>
          </w:p>
          <w:p w14:paraId="181C4081">
            <w:pPr>
              <w:pStyle w:val="70"/>
              <w:adjustRightInd w:val="0"/>
              <w:snapToGrid w:val="0"/>
              <w:spacing w:line="480" w:lineRule="exact"/>
              <w:ind w:firstLine="436" w:firstLineChars="182"/>
            </w:pPr>
            <w:r>
              <w:rPr>
                <w:rFonts w:hint="eastAsia"/>
              </w:rPr>
              <w:t>本着合理利用资源、提高能源利用效率的原则，严格依据国家合理用能标准和节能设计规范进行设计。从风电场总体布置和设计方案比选、风力发电机组选型以及相关耗能设备的选择设计上均应贯彻“节能、生态、经济”的设计理念，在设计方案选择、设备及材料选取时充分考虑节能、生态保护要求，达到风电场建设目的，将本工程建设为“资源节约、环境友好”的工程。</w:t>
            </w:r>
          </w:p>
          <w:p w14:paraId="53E254C2">
            <w:pPr>
              <w:pStyle w:val="70"/>
              <w:adjustRightInd w:val="0"/>
              <w:snapToGrid w:val="0"/>
              <w:spacing w:line="480" w:lineRule="exact"/>
              <w:ind w:firstLine="436" w:firstLineChars="182"/>
            </w:pPr>
          </w:p>
          <w:p w14:paraId="1CBF65AF">
            <w:pPr>
              <w:pStyle w:val="70"/>
              <w:adjustRightInd w:val="0"/>
              <w:snapToGrid w:val="0"/>
              <w:spacing w:line="480" w:lineRule="exact"/>
              <w:ind w:firstLine="436" w:firstLineChars="182"/>
            </w:pPr>
          </w:p>
          <w:p w14:paraId="6E1C938F">
            <w:pPr>
              <w:pStyle w:val="70"/>
              <w:adjustRightInd w:val="0"/>
              <w:snapToGrid w:val="0"/>
              <w:spacing w:line="480" w:lineRule="exact"/>
              <w:ind w:firstLine="436" w:firstLineChars="182"/>
            </w:pPr>
          </w:p>
          <w:p w14:paraId="494CBE65">
            <w:pPr>
              <w:pStyle w:val="70"/>
              <w:adjustRightInd w:val="0"/>
              <w:snapToGrid w:val="0"/>
              <w:spacing w:line="480" w:lineRule="exact"/>
              <w:ind w:firstLine="0" w:firstLineChars="0"/>
            </w:pPr>
          </w:p>
        </w:tc>
      </w:tr>
    </w:tbl>
    <w:p w14:paraId="3756204C">
      <w:pPr>
        <w:spacing w:line="360" w:lineRule="auto"/>
        <w:jc w:val="center"/>
        <w:outlineLvl w:val="0"/>
        <w:rPr>
          <w:sz w:val="30"/>
        </w:rPr>
      </w:pPr>
      <w:r>
        <w:rPr>
          <w:sz w:val="30"/>
        </w:rPr>
        <w:br w:type="page"/>
      </w:r>
      <w:r>
        <w:rPr>
          <w:b/>
          <w:bCs/>
          <w:snapToGrid w:val="0"/>
          <w:sz w:val="30"/>
          <w:szCs w:val="30"/>
        </w:rPr>
        <w:t>二、建设内容</w:t>
      </w:r>
    </w:p>
    <w:tbl>
      <w:tblPr>
        <w:tblStyle w:val="32"/>
        <w:tblW w:w="87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16"/>
      </w:tblGrid>
      <w:tr w14:paraId="6D73B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24EA364A">
            <w:pPr>
              <w:adjustRightInd w:val="0"/>
              <w:snapToGrid w:val="0"/>
              <w:jc w:val="center"/>
              <w:rPr>
                <w:kern w:val="0"/>
                <w:sz w:val="24"/>
              </w:rPr>
            </w:pPr>
            <w:r>
              <w:rPr>
                <w:kern w:val="0"/>
                <w:sz w:val="24"/>
              </w:rPr>
              <w:t>地理位置</w:t>
            </w:r>
          </w:p>
        </w:tc>
        <w:tc>
          <w:tcPr>
            <w:tcW w:w="8332" w:type="dxa"/>
            <w:vAlign w:val="center"/>
          </w:tcPr>
          <w:p w14:paraId="06AD833A">
            <w:pPr>
              <w:adjustRightInd w:val="0"/>
              <w:snapToGrid w:val="0"/>
              <w:spacing w:line="480" w:lineRule="exact"/>
              <w:ind w:firstLine="480" w:firstLineChars="200"/>
              <w:rPr>
                <w:kern w:val="0"/>
                <w:sz w:val="24"/>
              </w:rPr>
            </w:pPr>
            <w:r>
              <w:rPr>
                <w:kern w:val="0"/>
                <w:sz w:val="24"/>
              </w:rPr>
              <w:t>本项目选址位于</w:t>
            </w:r>
            <w:r>
              <w:rPr>
                <w:sz w:val="24"/>
              </w:rPr>
              <w:t>唐山市曹妃甸区</w:t>
            </w:r>
            <w:r>
              <w:rPr>
                <w:kern w:val="0"/>
                <w:sz w:val="24"/>
              </w:rPr>
              <w:t>，根据《建设项目用地预审与选址意见书》（证书编号：用字第1302092025XS0001522号），项目拟选位置为：唐山市曹妃甸区孙塘庄镇、双井镇、柳赞镇和唐海镇。本项目地理位置见附图1，周边环境详见附图</w:t>
            </w:r>
            <w:r>
              <w:rPr>
                <w:rFonts w:hint="eastAsia"/>
                <w:kern w:val="0"/>
                <w:sz w:val="24"/>
              </w:rPr>
              <w:t>3</w:t>
            </w:r>
            <w:r>
              <w:rPr>
                <w:kern w:val="0"/>
                <w:sz w:val="24"/>
              </w:rPr>
              <w:t>。</w:t>
            </w:r>
          </w:p>
          <w:p w14:paraId="1001F1DB">
            <w:pPr>
              <w:adjustRightInd w:val="0"/>
              <w:snapToGrid w:val="0"/>
              <w:spacing w:line="480" w:lineRule="exact"/>
              <w:ind w:firstLine="480" w:firstLineChars="200"/>
              <w:rPr>
                <w:kern w:val="0"/>
                <w:sz w:val="24"/>
              </w:rPr>
            </w:pPr>
            <w:r>
              <w:rPr>
                <w:kern w:val="0"/>
                <w:sz w:val="24"/>
              </w:rPr>
              <w:t>项目规划安装46台单机容量7700kW的风力发电机组，总装机容量350MW，并配套建设一座220kV升压站。</w:t>
            </w:r>
          </w:p>
          <w:p w14:paraId="07E111CE">
            <w:pPr>
              <w:adjustRightInd w:val="0"/>
              <w:snapToGrid w:val="0"/>
              <w:spacing w:line="480" w:lineRule="exact"/>
              <w:ind w:firstLine="480" w:firstLineChars="200"/>
              <w:rPr>
                <w:kern w:val="0"/>
                <w:sz w:val="24"/>
              </w:rPr>
            </w:pPr>
            <w:r>
              <w:rPr>
                <w:kern w:val="0"/>
                <w:sz w:val="24"/>
              </w:rPr>
              <w:t>本项目风电机组和升压站选址中心坐标如下表。</w:t>
            </w:r>
          </w:p>
          <w:p w14:paraId="1A2DFF3C">
            <w:pPr>
              <w:adjustRightInd w:val="0"/>
              <w:snapToGrid w:val="0"/>
              <w:spacing w:line="480" w:lineRule="exact"/>
              <w:ind w:firstLine="422" w:firstLineChars="200"/>
              <w:jc w:val="center"/>
              <w:rPr>
                <w:b/>
                <w:bCs/>
                <w:szCs w:val="21"/>
              </w:rPr>
            </w:pPr>
            <w:r>
              <w:rPr>
                <w:b/>
                <w:bCs/>
                <w:szCs w:val="21"/>
              </w:rPr>
              <w:t xml:space="preserve">表2-1  </w:t>
            </w:r>
            <w:r>
              <w:rPr>
                <w:b/>
                <w:bCs/>
              </w:rPr>
              <w:t>本项目风电机组和升压站中心点坐标及现状情况表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44"/>
              <w:gridCol w:w="749"/>
              <w:gridCol w:w="400"/>
              <w:gridCol w:w="671"/>
              <w:gridCol w:w="1971"/>
              <w:gridCol w:w="1826"/>
              <w:gridCol w:w="1513"/>
              <w:gridCol w:w="1030"/>
            </w:tblGrid>
            <w:tr w14:paraId="466B8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tcBorders>
                    <w:tl2br w:val="nil"/>
                    <w:tr2bl w:val="nil"/>
                  </w:tcBorders>
                  <w:vAlign w:val="center"/>
                </w:tcPr>
                <w:p w14:paraId="660F1751">
                  <w:pPr>
                    <w:adjustRightInd w:val="0"/>
                    <w:snapToGrid w:val="0"/>
                    <w:spacing w:line="0" w:lineRule="atLeast"/>
                    <w:jc w:val="center"/>
                    <w:rPr>
                      <w:b/>
                      <w:bCs/>
                      <w:szCs w:val="21"/>
                    </w:rPr>
                  </w:pPr>
                  <w:r>
                    <w:rPr>
                      <w:b/>
                      <w:bCs/>
                      <w:szCs w:val="21"/>
                    </w:rPr>
                    <w:t>县区</w:t>
                  </w:r>
                </w:p>
              </w:tc>
              <w:tc>
                <w:tcPr>
                  <w:tcW w:w="441" w:type="pct"/>
                  <w:tcBorders>
                    <w:tl2br w:val="nil"/>
                    <w:tr2bl w:val="nil"/>
                  </w:tcBorders>
                  <w:vAlign w:val="center"/>
                </w:tcPr>
                <w:p w14:paraId="370B3739">
                  <w:pPr>
                    <w:adjustRightInd w:val="0"/>
                    <w:snapToGrid w:val="0"/>
                    <w:spacing w:line="0" w:lineRule="atLeast"/>
                    <w:jc w:val="center"/>
                    <w:rPr>
                      <w:b/>
                      <w:bCs/>
                      <w:szCs w:val="21"/>
                    </w:rPr>
                  </w:pPr>
                  <w:r>
                    <w:rPr>
                      <w:b/>
                      <w:bCs/>
                      <w:szCs w:val="21"/>
                    </w:rPr>
                    <w:t>项目</w:t>
                  </w:r>
                </w:p>
              </w:tc>
              <w:tc>
                <w:tcPr>
                  <w:tcW w:w="235" w:type="pct"/>
                  <w:tcBorders>
                    <w:tl2br w:val="nil"/>
                    <w:tr2bl w:val="nil"/>
                  </w:tcBorders>
                  <w:vAlign w:val="center"/>
                </w:tcPr>
                <w:p w14:paraId="601E85B5">
                  <w:pPr>
                    <w:adjustRightInd w:val="0"/>
                    <w:snapToGrid w:val="0"/>
                    <w:spacing w:line="0" w:lineRule="atLeast"/>
                    <w:jc w:val="center"/>
                    <w:rPr>
                      <w:b/>
                      <w:bCs/>
                      <w:szCs w:val="21"/>
                    </w:rPr>
                  </w:pPr>
                  <w:r>
                    <w:rPr>
                      <w:b/>
                      <w:bCs/>
                      <w:szCs w:val="21"/>
                    </w:rPr>
                    <w:t>序号</w:t>
                  </w:r>
                </w:p>
              </w:tc>
              <w:tc>
                <w:tcPr>
                  <w:tcW w:w="394" w:type="pct"/>
                  <w:tcBorders>
                    <w:tl2br w:val="nil"/>
                    <w:tr2bl w:val="nil"/>
                  </w:tcBorders>
                  <w:vAlign w:val="center"/>
                </w:tcPr>
                <w:p w14:paraId="6C64C6A0">
                  <w:pPr>
                    <w:adjustRightInd w:val="0"/>
                    <w:snapToGrid w:val="0"/>
                    <w:spacing w:line="0" w:lineRule="atLeast"/>
                    <w:jc w:val="center"/>
                    <w:rPr>
                      <w:b/>
                      <w:bCs/>
                      <w:szCs w:val="21"/>
                    </w:rPr>
                  </w:pPr>
                  <w:r>
                    <w:rPr>
                      <w:b/>
                      <w:bCs/>
                      <w:szCs w:val="21"/>
                    </w:rPr>
                    <w:t>机位号</w:t>
                  </w:r>
                </w:p>
              </w:tc>
              <w:tc>
                <w:tcPr>
                  <w:tcW w:w="1158" w:type="pct"/>
                  <w:tcBorders>
                    <w:tl2br w:val="nil"/>
                    <w:tr2bl w:val="nil"/>
                  </w:tcBorders>
                  <w:vAlign w:val="center"/>
                </w:tcPr>
                <w:p w14:paraId="6A519001">
                  <w:pPr>
                    <w:adjustRightInd w:val="0"/>
                    <w:snapToGrid w:val="0"/>
                    <w:spacing w:line="0" w:lineRule="atLeast"/>
                    <w:jc w:val="center"/>
                    <w:rPr>
                      <w:b/>
                      <w:bCs/>
                      <w:szCs w:val="21"/>
                    </w:rPr>
                  </w:pPr>
                  <w:r>
                    <w:rPr>
                      <w:b/>
                      <w:bCs/>
                      <w:szCs w:val="21"/>
                    </w:rPr>
                    <w:t>经度</w:t>
                  </w:r>
                </w:p>
              </w:tc>
              <w:tc>
                <w:tcPr>
                  <w:tcW w:w="1073" w:type="pct"/>
                  <w:tcBorders>
                    <w:tl2br w:val="nil"/>
                    <w:tr2bl w:val="nil"/>
                  </w:tcBorders>
                  <w:vAlign w:val="center"/>
                </w:tcPr>
                <w:p w14:paraId="1E1EA395">
                  <w:pPr>
                    <w:adjustRightInd w:val="0"/>
                    <w:snapToGrid w:val="0"/>
                    <w:spacing w:line="0" w:lineRule="atLeast"/>
                    <w:jc w:val="center"/>
                    <w:rPr>
                      <w:b/>
                      <w:bCs/>
                      <w:szCs w:val="21"/>
                    </w:rPr>
                  </w:pPr>
                  <w:r>
                    <w:rPr>
                      <w:b/>
                      <w:bCs/>
                      <w:szCs w:val="21"/>
                    </w:rPr>
                    <w:t>纬度</w:t>
                  </w:r>
                </w:p>
              </w:tc>
              <w:tc>
                <w:tcPr>
                  <w:tcW w:w="889" w:type="pct"/>
                  <w:tcBorders>
                    <w:tl2br w:val="nil"/>
                    <w:tr2bl w:val="nil"/>
                  </w:tcBorders>
                  <w:vAlign w:val="center"/>
                </w:tcPr>
                <w:p w14:paraId="7540CF12">
                  <w:pPr>
                    <w:adjustRightInd w:val="0"/>
                    <w:snapToGrid w:val="0"/>
                    <w:spacing w:line="0" w:lineRule="atLeast"/>
                    <w:jc w:val="center"/>
                    <w:rPr>
                      <w:b/>
                      <w:bCs/>
                      <w:szCs w:val="21"/>
                    </w:rPr>
                  </w:pPr>
                  <w:r>
                    <w:rPr>
                      <w:b/>
                      <w:bCs/>
                      <w:szCs w:val="21"/>
                    </w:rPr>
                    <w:t>用地现状</w:t>
                  </w:r>
                </w:p>
              </w:tc>
              <w:tc>
                <w:tcPr>
                  <w:tcW w:w="605" w:type="pct"/>
                  <w:tcBorders>
                    <w:tl2br w:val="nil"/>
                    <w:tr2bl w:val="nil"/>
                  </w:tcBorders>
                  <w:vAlign w:val="center"/>
                </w:tcPr>
                <w:p w14:paraId="73C92174">
                  <w:pPr>
                    <w:adjustRightInd w:val="0"/>
                    <w:snapToGrid w:val="0"/>
                    <w:spacing w:line="0" w:lineRule="atLeast"/>
                    <w:jc w:val="center"/>
                    <w:rPr>
                      <w:b/>
                      <w:bCs/>
                      <w:szCs w:val="21"/>
                    </w:rPr>
                  </w:pPr>
                  <w:r>
                    <w:rPr>
                      <w:b/>
                      <w:bCs/>
                      <w:szCs w:val="21"/>
                    </w:rPr>
                    <w:t>塔架形式</w:t>
                  </w:r>
                </w:p>
              </w:tc>
            </w:tr>
            <w:tr w14:paraId="556CE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restart"/>
                  <w:tcBorders>
                    <w:tl2br w:val="nil"/>
                    <w:tr2bl w:val="nil"/>
                  </w:tcBorders>
                  <w:textDirection w:val="tbRlV"/>
                  <w:vAlign w:val="center"/>
                </w:tcPr>
                <w:p w14:paraId="232369B9">
                  <w:pPr>
                    <w:tabs>
                      <w:tab w:val="left" w:pos="683"/>
                    </w:tabs>
                    <w:ind w:left="113" w:right="113"/>
                    <w:jc w:val="center"/>
                    <w:rPr>
                      <w:szCs w:val="21"/>
                    </w:rPr>
                  </w:pPr>
                  <w:r>
                    <w:rPr>
                      <w:szCs w:val="21"/>
                    </w:rPr>
                    <w:t>曹妃甸区</w:t>
                  </w:r>
                </w:p>
              </w:tc>
              <w:tc>
                <w:tcPr>
                  <w:tcW w:w="441" w:type="pct"/>
                  <w:tcBorders>
                    <w:tl2br w:val="nil"/>
                    <w:tr2bl w:val="nil"/>
                  </w:tcBorders>
                  <w:vAlign w:val="center"/>
                </w:tcPr>
                <w:p w14:paraId="153291B7">
                  <w:pPr>
                    <w:adjustRightInd w:val="0"/>
                    <w:snapToGrid w:val="0"/>
                    <w:spacing w:line="0" w:lineRule="atLeast"/>
                    <w:jc w:val="center"/>
                    <w:rPr>
                      <w:b/>
                      <w:bCs/>
                      <w:szCs w:val="21"/>
                    </w:rPr>
                  </w:pPr>
                  <w:r>
                    <w:rPr>
                      <w:szCs w:val="21"/>
                    </w:rPr>
                    <w:t>220kV升压站中心坐标</w:t>
                  </w:r>
                </w:p>
              </w:tc>
              <w:tc>
                <w:tcPr>
                  <w:tcW w:w="235" w:type="pct"/>
                  <w:tcBorders>
                    <w:tl2br w:val="nil"/>
                    <w:tr2bl w:val="nil"/>
                  </w:tcBorders>
                  <w:vAlign w:val="center"/>
                </w:tcPr>
                <w:p w14:paraId="1B8B4060">
                  <w:pPr>
                    <w:adjustRightInd w:val="0"/>
                    <w:snapToGrid w:val="0"/>
                    <w:spacing w:line="0" w:lineRule="atLeast"/>
                    <w:jc w:val="center"/>
                    <w:rPr>
                      <w:b/>
                      <w:bCs/>
                      <w:szCs w:val="21"/>
                    </w:rPr>
                  </w:pPr>
                  <w:r>
                    <w:rPr>
                      <w:b/>
                      <w:bCs/>
                      <w:szCs w:val="21"/>
                    </w:rPr>
                    <w:t>\</w:t>
                  </w:r>
                </w:p>
              </w:tc>
              <w:tc>
                <w:tcPr>
                  <w:tcW w:w="394" w:type="pct"/>
                  <w:tcBorders>
                    <w:tl2br w:val="nil"/>
                    <w:tr2bl w:val="nil"/>
                  </w:tcBorders>
                  <w:vAlign w:val="center"/>
                </w:tcPr>
                <w:p w14:paraId="24FDE6F0">
                  <w:pPr>
                    <w:adjustRightInd w:val="0"/>
                    <w:snapToGrid w:val="0"/>
                    <w:spacing w:line="0" w:lineRule="atLeast"/>
                    <w:jc w:val="center"/>
                    <w:rPr>
                      <w:b/>
                      <w:bCs/>
                      <w:szCs w:val="21"/>
                    </w:rPr>
                  </w:pPr>
                  <w:r>
                    <w:rPr>
                      <w:b/>
                      <w:bCs/>
                      <w:szCs w:val="21"/>
                    </w:rPr>
                    <w:t>\</w:t>
                  </w:r>
                </w:p>
              </w:tc>
              <w:tc>
                <w:tcPr>
                  <w:tcW w:w="1158" w:type="pct"/>
                  <w:tcBorders>
                    <w:tl2br w:val="nil"/>
                    <w:tr2bl w:val="nil"/>
                  </w:tcBorders>
                  <w:vAlign w:val="center"/>
                </w:tcPr>
                <w:p w14:paraId="06A27CE7">
                  <w:pPr>
                    <w:widowControl/>
                    <w:jc w:val="center"/>
                    <w:textAlignment w:val="center"/>
                    <w:rPr>
                      <w:b/>
                      <w:bCs/>
                      <w:szCs w:val="21"/>
                    </w:rPr>
                  </w:pPr>
                  <w:r>
                    <w:rPr>
                      <w:kern w:val="0"/>
                      <w:szCs w:val="21"/>
                    </w:rPr>
                    <w:t>E118°21′55.534″</w:t>
                  </w:r>
                </w:p>
              </w:tc>
              <w:tc>
                <w:tcPr>
                  <w:tcW w:w="1073" w:type="pct"/>
                  <w:tcBorders>
                    <w:tl2br w:val="nil"/>
                    <w:tr2bl w:val="nil"/>
                  </w:tcBorders>
                  <w:vAlign w:val="center"/>
                </w:tcPr>
                <w:p w14:paraId="35B46A24">
                  <w:pPr>
                    <w:widowControl/>
                    <w:jc w:val="center"/>
                    <w:textAlignment w:val="center"/>
                    <w:rPr>
                      <w:b/>
                      <w:bCs/>
                      <w:szCs w:val="21"/>
                    </w:rPr>
                  </w:pPr>
                  <w:r>
                    <w:rPr>
                      <w:kern w:val="0"/>
                      <w:szCs w:val="21"/>
                    </w:rPr>
                    <w:t>N39°17′30.044″</w:t>
                  </w:r>
                </w:p>
              </w:tc>
              <w:tc>
                <w:tcPr>
                  <w:tcW w:w="889" w:type="pct"/>
                  <w:tcBorders>
                    <w:tl2br w:val="nil"/>
                    <w:tr2bl w:val="nil"/>
                  </w:tcBorders>
                  <w:vAlign w:val="center"/>
                </w:tcPr>
                <w:p w14:paraId="18FE7AB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47ADB1A4">
                  <w:pPr>
                    <w:adjustRightInd w:val="0"/>
                    <w:snapToGrid w:val="0"/>
                    <w:spacing w:line="0" w:lineRule="atLeast"/>
                    <w:jc w:val="center"/>
                    <w:rPr>
                      <w:szCs w:val="21"/>
                    </w:rPr>
                  </w:pPr>
                  <w:r>
                    <w:rPr>
                      <w:b/>
                      <w:bCs/>
                      <w:szCs w:val="21"/>
                    </w:rPr>
                    <w:t>\</w:t>
                  </w:r>
                </w:p>
              </w:tc>
            </w:tr>
            <w:tr w14:paraId="66AEB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17A1A421">
                  <w:pPr>
                    <w:tabs>
                      <w:tab w:val="left" w:pos="683"/>
                    </w:tabs>
                    <w:ind w:left="113" w:right="113"/>
                    <w:jc w:val="center"/>
                    <w:rPr>
                      <w:szCs w:val="21"/>
                    </w:rPr>
                  </w:pPr>
                </w:p>
              </w:tc>
              <w:tc>
                <w:tcPr>
                  <w:tcW w:w="441" w:type="pct"/>
                  <w:vMerge w:val="restart"/>
                  <w:tcBorders>
                    <w:tl2br w:val="nil"/>
                    <w:tr2bl w:val="nil"/>
                  </w:tcBorders>
                  <w:vAlign w:val="center"/>
                </w:tcPr>
                <w:p w14:paraId="7F89CE4C">
                  <w:pPr>
                    <w:adjustRightInd w:val="0"/>
                    <w:snapToGrid w:val="0"/>
                    <w:spacing w:line="0" w:lineRule="atLeast"/>
                    <w:jc w:val="center"/>
                    <w:rPr>
                      <w:szCs w:val="21"/>
                    </w:rPr>
                  </w:pPr>
                  <w:r>
                    <w:rPr>
                      <w:szCs w:val="21"/>
                    </w:rPr>
                    <w:t>风机中心点位</w:t>
                  </w:r>
                </w:p>
              </w:tc>
              <w:tc>
                <w:tcPr>
                  <w:tcW w:w="235" w:type="pct"/>
                  <w:tcBorders>
                    <w:tl2br w:val="nil"/>
                    <w:tr2bl w:val="nil"/>
                  </w:tcBorders>
                  <w:vAlign w:val="center"/>
                </w:tcPr>
                <w:p w14:paraId="38ADFD39">
                  <w:pPr>
                    <w:widowControl/>
                    <w:jc w:val="center"/>
                    <w:textAlignment w:val="center"/>
                    <w:rPr>
                      <w:szCs w:val="21"/>
                    </w:rPr>
                  </w:pPr>
                  <w:r>
                    <w:rPr>
                      <w:kern w:val="0"/>
                      <w:szCs w:val="21"/>
                    </w:rPr>
                    <w:t>1</w:t>
                  </w:r>
                </w:p>
              </w:tc>
              <w:tc>
                <w:tcPr>
                  <w:tcW w:w="394" w:type="pct"/>
                  <w:tcBorders>
                    <w:tl2br w:val="nil"/>
                    <w:tr2bl w:val="nil"/>
                  </w:tcBorders>
                  <w:vAlign w:val="center"/>
                </w:tcPr>
                <w:p w14:paraId="236819E3">
                  <w:pPr>
                    <w:widowControl/>
                    <w:jc w:val="center"/>
                    <w:textAlignment w:val="center"/>
                    <w:rPr>
                      <w:szCs w:val="21"/>
                    </w:rPr>
                  </w:pPr>
                  <w:r>
                    <w:rPr>
                      <w:kern w:val="0"/>
                      <w:szCs w:val="21"/>
                    </w:rPr>
                    <w:t>J01</w:t>
                  </w:r>
                </w:p>
              </w:tc>
              <w:tc>
                <w:tcPr>
                  <w:tcW w:w="1158" w:type="pct"/>
                  <w:tcBorders>
                    <w:tl2br w:val="nil"/>
                    <w:tr2bl w:val="nil"/>
                  </w:tcBorders>
                  <w:vAlign w:val="center"/>
                </w:tcPr>
                <w:p w14:paraId="4D82F3BD">
                  <w:pPr>
                    <w:widowControl/>
                    <w:jc w:val="center"/>
                    <w:textAlignment w:val="center"/>
                    <w:rPr>
                      <w:szCs w:val="21"/>
                    </w:rPr>
                  </w:pPr>
                  <w:r>
                    <w:rPr>
                      <w:kern w:val="0"/>
                      <w:szCs w:val="21"/>
                    </w:rPr>
                    <w:t>E118°12′28.368″</w:t>
                  </w:r>
                </w:p>
              </w:tc>
              <w:tc>
                <w:tcPr>
                  <w:tcW w:w="1073" w:type="pct"/>
                  <w:tcBorders>
                    <w:tl2br w:val="nil"/>
                    <w:tr2bl w:val="nil"/>
                  </w:tcBorders>
                  <w:vAlign w:val="center"/>
                </w:tcPr>
                <w:p w14:paraId="2A149C83">
                  <w:pPr>
                    <w:widowControl/>
                    <w:jc w:val="center"/>
                    <w:textAlignment w:val="center"/>
                    <w:rPr>
                      <w:szCs w:val="21"/>
                    </w:rPr>
                  </w:pPr>
                  <w:r>
                    <w:rPr>
                      <w:kern w:val="0"/>
                      <w:szCs w:val="21"/>
                    </w:rPr>
                    <w:t>N39°25′13.591″</w:t>
                  </w:r>
                </w:p>
              </w:tc>
              <w:tc>
                <w:tcPr>
                  <w:tcW w:w="889" w:type="pct"/>
                  <w:tcBorders>
                    <w:tl2br w:val="nil"/>
                    <w:tr2bl w:val="nil"/>
                  </w:tcBorders>
                  <w:vAlign w:val="center"/>
                </w:tcPr>
                <w:p w14:paraId="2FF0A870">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3D0B76B9">
                  <w:pPr>
                    <w:adjustRightInd w:val="0"/>
                    <w:snapToGrid w:val="0"/>
                    <w:spacing w:line="0" w:lineRule="atLeast"/>
                    <w:jc w:val="center"/>
                    <w:rPr>
                      <w:szCs w:val="21"/>
                    </w:rPr>
                  </w:pPr>
                  <w:r>
                    <w:rPr>
                      <w:szCs w:val="21"/>
                    </w:rPr>
                    <w:t>混塔</w:t>
                  </w:r>
                </w:p>
              </w:tc>
            </w:tr>
            <w:tr w14:paraId="62271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E70C3FC">
                  <w:pPr>
                    <w:tabs>
                      <w:tab w:val="left" w:pos="683"/>
                    </w:tabs>
                    <w:ind w:left="113" w:right="113"/>
                    <w:jc w:val="center"/>
                    <w:rPr>
                      <w:szCs w:val="21"/>
                    </w:rPr>
                  </w:pPr>
                </w:p>
              </w:tc>
              <w:tc>
                <w:tcPr>
                  <w:tcW w:w="441" w:type="pct"/>
                  <w:vMerge w:val="continue"/>
                  <w:tcBorders>
                    <w:tl2br w:val="nil"/>
                    <w:tr2bl w:val="nil"/>
                  </w:tcBorders>
                  <w:vAlign w:val="center"/>
                </w:tcPr>
                <w:p w14:paraId="13E7ECF8">
                  <w:pPr>
                    <w:adjustRightInd w:val="0"/>
                    <w:snapToGrid w:val="0"/>
                    <w:spacing w:line="0" w:lineRule="atLeast"/>
                    <w:jc w:val="center"/>
                    <w:rPr>
                      <w:szCs w:val="21"/>
                    </w:rPr>
                  </w:pPr>
                </w:p>
              </w:tc>
              <w:tc>
                <w:tcPr>
                  <w:tcW w:w="235" w:type="pct"/>
                  <w:tcBorders>
                    <w:tl2br w:val="nil"/>
                    <w:tr2bl w:val="nil"/>
                  </w:tcBorders>
                  <w:vAlign w:val="center"/>
                </w:tcPr>
                <w:p w14:paraId="343C2A7D">
                  <w:pPr>
                    <w:widowControl/>
                    <w:jc w:val="center"/>
                    <w:textAlignment w:val="center"/>
                    <w:rPr>
                      <w:szCs w:val="21"/>
                    </w:rPr>
                  </w:pPr>
                  <w:r>
                    <w:rPr>
                      <w:kern w:val="0"/>
                      <w:szCs w:val="21"/>
                    </w:rPr>
                    <w:t>2</w:t>
                  </w:r>
                </w:p>
              </w:tc>
              <w:tc>
                <w:tcPr>
                  <w:tcW w:w="394" w:type="pct"/>
                  <w:tcBorders>
                    <w:tl2br w:val="nil"/>
                    <w:tr2bl w:val="nil"/>
                  </w:tcBorders>
                  <w:vAlign w:val="center"/>
                </w:tcPr>
                <w:p w14:paraId="6AD68D8D">
                  <w:pPr>
                    <w:widowControl/>
                    <w:jc w:val="center"/>
                    <w:textAlignment w:val="center"/>
                    <w:rPr>
                      <w:szCs w:val="21"/>
                    </w:rPr>
                  </w:pPr>
                  <w:r>
                    <w:rPr>
                      <w:kern w:val="0"/>
                      <w:szCs w:val="21"/>
                    </w:rPr>
                    <w:t>J02</w:t>
                  </w:r>
                </w:p>
              </w:tc>
              <w:tc>
                <w:tcPr>
                  <w:tcW w:w="1158" w:type="pct"/>
                  <w:tcBorders>
                    <w:tl2br w:val="nil"/>
                    <w:tr2bl w:val="nil"/>
                  </w:tcBorders>
                  <w:vAlign w:val="center"/>
                </w:tcPr>
                <w:p w14:paraId="46002454">
                  <w:pPr>
                    <w:widowControl/>
                    <w:jc w:val="center"/>
                    <w:textAlignment w:val="center"/>
                    <w:rPr>
                      <w:szCs w:val="21"/>
                    </w:rPr>
                  </w:pPr>
                  <w:r>
                    <w:rPr>
                      <w:kern w:val="0"/>
                      <w:szCs w:val="21"/>
                    </w:rPr>
                    <w:t>E118°18′21.582″</w:t>
                  </w:r>
                </w:p>
              </w:tc>
              <w:tc>
                <w:tcPr>
                  <w:tcW w:w="1073" w:type="pct"/>
                  <w:tcBorders>
                    <w:tl2br w:val="nil"/>
                    <w:tr2bl w:val="nil"/>
                  </w:tcBorders>
                  <w:vAlign w:val="center"/>
                </w:tcPr>
                <w:p w14:paraId="1713A872">
                  <w:pPr>
                    <w:widowControl/>
                    <w:jc w:val="center"/>
                    <w:textAlignment w:val="center"/>
                    <w:rPr>
                      <w:szCs w:val="21"/>
                    </w:rPr>
                  </w:pPr>
                  <w:r>
                    <w:rPr>
                      <w:kern w:val="0"/>
                      <w:szCs w:val="21"/>
                    </w:rPr>
                    <w:t>N39°24′02.927″</w:t>
                  </w:r>
                </w:p>
              </w:tc>
              <w:tc>
                <w:tcPr>
                  <w:tcW w:w="889" w:type="pct"/>
                  <w:tcBorders>
                    <w:tl2br w:val="nil"/>
                    <w:tr2bl w:val="nil"/>
                  </w:tcBorders>
                  <w:vAlign w:val="center"/>
                </w:tcPr>
                <w:p w14:paraId="1EC848B3">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11F4760C">
                  <w:pPr>
                    <w:adjustRightInd w:val="0"/>
                    <w:snapToGrid w:val="0"/>
                    <w:spacing w:line="0" w:lineRule="atLeast"/>
                    <w:jc w:val="center"/>
                    <w:rPr>
                      <w:szCs w:val="21"/>
                    </w:rPr>
                  </w:pPr>
                  <w:r>
                    <w:rPr>
                      <w:szCs w:val="21"/>
                    </w:rPr>
                    <w:t>混塔</w:t>
                  </w:r>
                </w:p>
              </w:tc>
            </w:tr>
            <w:tr w14:paraId="0870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25C41468">
                  <w:pPr>
                    <w:tabs>
                      <w:tab w:val="left" w:pos="683"/>
                    </w:tabs>
                    <w:ind w:left="113" w:right="113"/>
                    <w:jc w:val="center"/>
                    <w:rPr>
                      <w:szCs w:val="21"/>
                    </w:rPr>
                  </w:pPr>
                </w:p>
              </w:tc>
              <w:tc>
                <w:tcPr>
                  <w:tcW w:w="441" w:type="pct"/>
                  <w:vMerge w:val="continue"/>
                  <w:tcBorders>
                    <w:tl2br w:val="nil"/>
                    <w:tr2bl w:val="nil"/>
                  </w:tcBorders>
                  <w:vAlign w:val="center"/>
                </w:tcPr>
                <w:p w14:paraId="093C923A">
                  <w:pPr>
                    <w:adjustRightInd w:val="0"/>
                    <w:snapToGrid w:val="0"/>
                    <w:spacing w:line="0" w:lineRule="atLeast"/>
                    <w:jc w:val="center"/>
                    <w:rPr>
                      <w:szCs w:val="21"/>
                    </w:rPr>
                  </w:pPr>
                </w:p>
              </w:tc>
              <w:tc>
                <w:tcPr>
                  <w:tcW w:w="235" w:type="pct"/>
                  <w:tcBorders>
                    <w:tl2br w:val="nil"/>
                    <w:tr2bl w:val="nil"/>
                  </w:tcBorders>
                  <w:vAlign w:val="center"/>
                </w:tcPr>
                <w:p w14:paraId="589AAC80">
                  <w:pPr>
                    <w:widowControl/>
                    <w:jc w:val="center"/>
                    <w:textAlignment w:val="center"/>
                    <w:rPr>
                      <w:szCs w:val="21"/>
                    </w:rPr>
                  </w:pPr>
                  <w:r>
                    <w:rPr>
                      <w:kern w:val="0"/>
                      <w:szCs w:val="21"/>
                    </w:rPr>
                    <w:t>3</w:t>
                  </w:r>
                </w:p>
              </w:tc>
              <w:tc>
                <w:tcPr>
                  <w:tcW w:w="394" w:type="pct"/>
                  <w:tcBorders>
                    <w:tl2br w:val="nil"/>
                    <w:tr2bl w:val="nil"/>
                  </w:tcBorders>
                  <w:vAlign w:val="center"/>
                </w:tcPr>
                <w:p w14:paraId="4F8D94C0">
                  <w:pPr>
                    <w:widowControl/>
                    <w:jc w:val="center"/>
                    <w:textAlignment w:val="center"/>
                    <w:rPr>
                      <w:szCs w:val="21"/>
                    </w:rPr>
                  </w:pPr>
                  <w:r>
                    <w:rPr>
                      <w:kern w:val="0"/>
                      <w:szCs w:val="21"/>
                    </w:rPr>
                    <w:t>J03</w:t>
                  </w:r>
                </w:p>
              </w:tc>
              <w:tc>
                <w:tcPr>
                  <w:tcW w:w="1158" w:type="pct"/>
                  <w:tcBorders>
                    <w:tl2br w:val="nil"/>
                    <w:tr2bl w:val="nil"/>
                  </w:tcBorders>
                  <w:vAlign w:val="center"/>
                </w:tcPr>
                <w:p w14:paraId="4A106787">
                  <w:pPr>
                    <w:widowControl/>
                    <w:jc w:val="center"/>
                    <w:textAlignment w:val="center"/>
                    <w:rPr>
                      <w:szCs w:val="21"/>
                    </w:rPr>
                  </w:pPr>
                  <w:r>
                    <w:rPr>
                      <w:kern w:val="0"/>
                      <w:szCs w:val="21"/>
                    </w:rPr>
                    <w:t>E118°15′56.981″</w:t>
                  </w:r>
                </w:p>
              </w:tc>
              <w:tc>
                <w:tcPr>
                  <w:tcW w:w="1073" w:type="pct"/>
                  <w:tcBorders>
                    <w:tl2br w:val="nil"/>
                    <w:tr2bl w:val="nil"/>
                  </w:tcBorders>
                  <w:vAlign w:val="center"/>
                </w:tcPr>
                <w:p w14:paraId="329D6AA1">
                  <w:pPr>
                    <w:widowControl/>
                    <w:jc w:val="center"/>
                    <w:textAlignment w:val="center"/>
                    <w:rPr>
                      <w:szCs w:val="21"/>
                    </w:rPr>
                  </w:pPr>
                  <w:r>
                    <w:rPr>
                      <w:kern w:val="0"/>
                      <w:szCs w:val="21"/>
                    </w:rPr>
                    <w:t>N39°23′40.585″</w:t>
                  </w:r>
                </w:p>
              </w:tc>
              <w:tc>
                <w:tcPr>
                  <w:tcW w:w="889" w:type="pct"/>
                  <w:tcBorders>
                    <w:tl2br w:val="nil"/>
                    <w:tr2bl w:val="nil"/>
                  </w:tcBorders>
                  <w:vAlign w:val="center"/>
                </w:tcPr>
                <w:p w14:paraId="53808E1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3E0977DC">
                  <w:pPr>
                    <w:adjustRightInd w:val="0"/>
                    <w:snapToGrid w:val="0"/>
                    <w:spacing w:line="0" w:lineRule="atLeast"/>
                    <w:jc w:val="center"/>
                    <w:rPr>
                      <w:szCs w:val="21"/>
                    </w:rPr>
                  </w:pPr>
                  <w:r>
                    <w:rPr>
                      <w:szCs w:val="21"/>
                    </w:rPr>
                    <w:t>混塔</w:t>
                  </w:r>
                </w:p>
              </w:tc>
            </w:tr>
            <w:tr w14:paraId="0D06A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7C3FFCFC">
                  <w:pPr>
                    <w:tabs>
                      <w:tab w:val="left" w:pos="683"/>
                    </w:tabs>
                    <w:ind w:left="113" w:right="113"/>
                    <w:jc w:val="center"/>
                    <w:rPr>
                      <w:szCs w:val="21"/>
                    </w:rPr>
                  </w:pPr>
                </w:p>
              </w:tc>
              <w:tc>
                <w:tcPr>
                  <w:tcW w:w="441" w:type="pct"/>
                  <w:vMerge w:val="continue"/>
                  <w:tcBorders>
                    <w:tl2br w:val="nil"/>
                    <w:tr2bl w:val="nil"/>
                  </w:tcBorders>
                  <w:vAlign w:val="center"/>
                </w:tcPr>
                <w:p w14:paraId="778276B8">
                  <w:pPr>
                    <w:adjustRightInd w:val="0"/>
                    <w:snapToGrid w:val="0"/>
                    <w:spacing w:line="0" w:lineRule="atLeast"/>
                    <w:jc w:val="center"/>
                    <w:rPr>
                      <w:szCs w:val="21"/>
                    </w:rPr>
                  </w:pPr>
                </w:p>
              </w:tc>
              <w:tc>
                <w:tcPr>
                  <w:tcW w:w="235" w:type="pct"/>
                  <w:tcBorders>
                    <w:tl2br w:val="nil"/>
                    <w:tr2bl w:val="nil"/>
                  </w:tcBorders>
                  <w:vAlign w:val="center"/>
                </w:tcPr>
                <w:p w14:paraId="11E352E9">
                  <w:pPr>
                    <w:widowControl/>
                    <w:jc w:val="center"/>
                    <w:textAlignment w:val="center"/>
                    <w:rPr>
                      <w:szCs w:val="21"/>
                    </w:rPr>
                  </w:pPr>
                  <w:r>
                    <w:rPr>
                      <w:kern w:val="0"/>
                      <w:szCs w:val="21"/>
                    </w:rPr>
                    <w:t>4</w:t>
                  </w:r>
                </w:p>
              </w:tc>
              <w:tc>
                <w:tcPr>
                  <w:tcW w:w="394" w:type="pct"/>
                  <w:tcBorders>
                    <w:tl2br w:val="nil"/>
                    <w:tr2bl w:val="nil"/>
                  </w:tcBorders>
                  <w:vAlign w:val="center"/>
                </w:tcPr>
                <w:p w14:paraId="125EF9E1">
                  <w:pPr>
                    <w:widowControl/>
                    <w:jc w:val="center"/>
                    <w:textAlignment w:val="center"/>
                    <w:rPr>
                      <w:szCs w:val="21"/>
                    </w:rPr>
                  </w:pPr>
                  <w:r>
                    <w:rPr>
                      <w:kern w:val="0"/>
                      <w:szCs w:val="21"/>
                    </w:rPr>
                    <w:t>J04</w:t>
                  </w:r>
                </w:p>
              </w:tc>
              <w:tc>
                <w:tcPr>
                  <w:tcW w:w="1158" w:type="pct"/>
                  <w:tcBorders>
                    <w:tl2br w:val="nil"/>
                    <w:tr2bl w:val="nil"/>
                  </w:tcBorders>
                  <w:vAlign w:val="center"/>
                </w:tcPr>
                <w:p w14:paraId="44A281A4">
                  <w:pPr>
                    <w:widowControl/>
                    <w:jc w:val="center"/>
                    <w:textAlignment w:val="center"/>
                    <w:rPr>
                      <w:szCs w:val="21"/>
                    </w:rPr>
                  </w:pPr>
                  <w:r>
                    <w:rPr>
                      <w:kern w:val="0"/>
                      <w:szCs w:val="21"/>
                    </w:rPr>
                    <w:t>E118°12′50.807″</w:t>
                  </w:r>
                </w:p>
              </w:tc>
              <w:tc>
                <w:tcPr>
                  <w:tcW w:w="1073" w:type="pct"/>
                  <w:tcBorders>
                    <w:tl2br w:val="nil"/>
                    <w:tr2bl w:val="nil"/>
                  </w:tcBorders>
                  <w:vAlign w:val="center"/>
                </w:tcPr>
                <w:p w14:paraId="60D334B3">
                  <w:pPr>
                    <w:widowControl/>
                    <w:jc w:val="center"/>
                    <w:textAlignment w:val="center"/>
                    <w:rPr>
                      <w:szCs w:val="21"/>
                    </w:rPr>
                  </w:pPr>
                  <w:r>
                    <w:rPr>
                      <w:kern w:val="0"/>
                      <w:szCs w:val="21"/>
                    </w:rPr>
                    <w:t>N39°23′29.893″</w:t>
                  </w:r>
                </w:p>
              </w:tc>
              <w:tc>
                <w:tcPr>
                  <w:tcW w:w="889" w:type="pct"/>
                  <w:tcBorders>
                    <w:tl2br w:val="nil"/>
                    <w:tr2bl w:val="nil"/>
                  </w:tcBorders>
                  <w:vAlign w:val="center"/>
                </w:tcPr>
                <w:p w14:paraId="4EAFB4C5">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16BA6974">
                  <w:pPr>
                    <w:adjustRightInd w:val="0"/>
                    <w:snapToGrid w:val="0"/>
                    <w:spacing w:line="0" w:lineRule="atLeast"/>
                    <w:jc w:val="center"/>
                    <w:rPr>
                      <w:szCs w:val="21"/>
                    </w:rPr>
                  </w:pPr>
                  <w:r>
                    <w:rPr>
                      <w:szCs w:val="21"/>
                    </w:rPr>
                    <w:t>混塔</w:t>
                  </w:r>
                </w:p>
              </w:tc>
            </w:tr>
            <w:tr w14:paraId="79D6E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2932F03">
                  <w:pPr>
                    <w:tabs>
                      <w:tab w:val="left" w:pos="683"/>
                    </w:tabs>
                    <w:ind w:left="113" w:right="113"/>
                    <w:jc w:val="center"/>
                    <w:rPr>
                      <w:szCs w:val="21"/>
                    </w:rPr>
                  </w:pPr>
                </w:p>
              </w:tc>
              <w:tc>
                <w:tcPr>
                  <w:tcW w:w="441" w:type="pct"/>
                  <w:vMerge w:val="continue"/>
                  <w:tcBorders>
                    <w:tl2br w:val="nil"/>
                    <w:tr2bl w:val="nil"/>
                  </w:tcBorders>
                  <w:vAlign w:val="center"/>
                </w:tcPr>
                <w:p w14:paraId="4A9AF99D">
                  <w:pPr>
                    <w:adjustRightInd w:val="0"/>
                    <w:snapToGrid w:val="0"/>
                    <w:spacing w:line="0" w:lineRule="atLeast"/>
                    <w:jc w:val="center"/>
                    <w:rPr>
                      <w:szCs w:val="21"/>
                    </w:rPr>
                  </w:pPr>
                </w:p>
              </w:tc>
              <w:tc>
                <w:tcPr>
                  <w:tcW w:w="235" w:type="pct"/>
                  <w:tcBorders>
                    <w:tl2br w:val="nil"/>
                    <w:tr2bl w:val="nil"/>
                  </w:tcBorders>
                  <w:vAlign w:val="center"/>
                </w:tcPr>
                <w:p w14:paraId="7DED7E3C">
                  <w:pPr>
                    <w:widowControl/>
                    <w:jc w:val="center"/>
                    <w:textAlignment w:val="center"/>
                    <w:rPr>
                      <w:szCs w:val="21"/>
                    </w:rPr>
                  </w:pPr>
                  <w:r>
                    <w:rPr>
                      <w:kern w:val="0"/>
                      <w:szCs w:val="21"/>
                    </w:rPr>
                    <w:t>5</w:t>
                  </w:r>
                </w:p>
              </w:tc>
              <w:tc>
                <w:tcPr>
                  <w:tcW w:w="394" w:type="pct"/>
                  <w:tcBorders>
                    <w:tl2br w:val="nil"/>
                    <w:tr2bl w:val="nil"/>
                  </w:tcBorders>
                  <w:vAlign w:val="center"/>
                </w:tcPr>
                <w:p w14:paraId="667E7508">
                  <w:pPr>
                    <w:widowControl/>
                    <w:jc w:val="center"/>
                    <w:textAlignment w:val="center"/>
                    <w:rPr>
                      <w:szCs w:val="21"/>
                    </w:rPr>
                  </w:pPr>
                  <w:r>
                    <w:rPr>
                      <w:kern w:val="0"/>
                      <w:szCs w:val="21"/>
                    </w:rPr>
                    <w:t>J05</w:t>
                  </w:r>
                </w:p>
              </w:tc>
              <w:tc>
                <w:tcPr>
                  <w:tcW w:w="1158" w:type="pct"/>
                  <w:tcBorders>
                    <w:tl2br w:val="nil"/>
                    <w:tr2bl w:val="nil"/>
                  </w:tcBorders>
                  <w:vAlign w:val="center"/>
                </w:tcPr>
                <w:p w14:paraId="642DA62C">
                  <w:pPr>
                    <w:widowControl/>
                    <w:jc w:val="center"/>
                    <w:textAlignment w:val="center"/>
                    <w:rPr>
                      <w:szCs w:val="21"/>
                    </w:rPr>
                  </w:pPr>
                  <w:r>
                    <w:rPr>
                      <w:kern w:val="0"/>
                      <w:szCs w:val="21"/>
                    </w:rPr>
                    <w:t>E118°14′42.626″</w:t>
                  </w:r>
                </w:p>
              </w:tc>
              <w:tc>
                <w:tcPr>
                  <w:tcW w:w="1073" w:type="pct"/>
                  <w:tcBorders>
                    <w:tl2br w:val="nil"/>
                    <w:tr2bl w:val="nil"/>
                  </w:tcBorders>
                  <w:vAlign w:val="center"/>
                </w:tcPr>
                <w:p w14:paraId="3454ED22">
                  <w:pPr>
                    <w:widowControl/>
                    <w:jc w:val="center"/>
                    <w:textAlignment w:val="center"/>
                    <w:rPr>
                      <w:szCs w:val="21"/>
                    </w:rPr>
                  </w:pPr>
                  <w:r>
                    <w:rPr>
                      <w:kern w:val="0"/>
                      <w:szCs w:val="21"/>
                    </w:rPr>
                    <w:t>N39°23′23.539″</w:t>
                  </w:r>
                </w:p>
              </w:tc>
              <w:tc>
                <w:tcPr>
                  <w:tcW w:w="889" w:type="pct"/>
                  <w:tcBorders>
                    <w:tl2br w:val="nil"/>
                    <w:tr2bl w:val="nil"/>
                  </w:tcBorders>
                  <w:vAlign w:val="center"/>
                </w:tcPr>
                <w:p w14:paraId="47659356">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5382BE4">
                  <w:pPr>
                    <w:adjustRightInd w:val="0"/>
                    <w:snapToGrid w:val="0"/>
                    <w:spacing w:line="0" w:lineRule="atLeast"/>
                    <w:jc w:val="center"/>
                    <w:rPr>
                      <w:szCs w:val="21"/>
                    </w:rPr>
                  </w:pPr>
                  <w:r>
                    <w:rPr>
                      <w:szCs w:val="21"/>
                    </w:rPr>
                    <w:t>混塔</w:t>
                  </w:r>
                </w:p>
              </w:tc>
            </w:tr>
            <w:tr w14:paraId="6BB9A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6BC0FF58">
                  <w:pPr>
                    <w:tabs>
                      <w:tab w:val="left" w:pos="683"/>
                    </w:tabs>
                    <w:ind w:left="113" w:right="113"/>
                    <w:jc w:val="center"/>
                    <w:rPr>
                      <w:szCs w:val="21"/>
                    </w:rPr>
                  </w:pPr>
                </w:p>
              </w:tc>
              <w:tc>
                <w:tcPr>
                  <w:tcW w:w="441" w:type="pct"/>
                  <w:vMerge w:val="continue"/>
                  <w:tcBorders>
                    <w:tl2br w:val="nil"/>
                    <w:tr2bl w:val="nil"/>
                  </w:tcBorders>
                  <w:vAlign w:val="center"/>
                </w:tcPr>
                <w:p w14:paraId="3DEA2400">
                  <w:pPr>
                    <w:adjustRightInd w:val="0"/>
                    <w:snapToGrid w:val="0"/>
                    <w:spacing w:line="0" w:lineRule="atLeast"/>
                    <w:jc w:val="center"/>
                    <w:rPr>
                      <w:szCs w:val="21"/>
                    </w:rPr>
                  </w:pPr>
                </w:p>
              </w:tc>
              <w:tc>
                <w:tcPr>
                  <w:tcW w:w="235" w:type="pct"/>
                  <w:tcBorders>
                    <w:tl2br w:val="nil"/>
                    <w:tr2bl w:val="nil"/>
                  </w:tcBorders>
                  <w:vAlign w:val="center"/>
                </w:tcPr>
                <w:p w14:paraId="505426F5">
                  <w:pPr>
                    <w:widowControl/>
                    <w:jc w:val="center"/>
                    <w:textAlignment w:val="center"/>
                    <w:rPr>
                      <w:szCs w:val="21"/>
                    </w:rPr>
                  </w:pPr>
                  <w:r>
                    <w:rPr>
                      <w:kern w:val="0"/>
                      <w:szCs w:val="21"/>
                    </w:rPr>
                    <w:t>6</w:t>
                  </w:r>
                </w:p>
              </w:tc>
              <w:tc>
                <w:tcPr>
                  <w:tcW w:w="394" w:type="pct"/>
                  <w:tcBorders>
                    <w:tl2br w:val="nil"/>
                    <w:tr2bl w:val="nil"/>
                  </w:tcBorders>
                  <w:vAlign w:val="center"/>
                </w:tcPr>
                <w:p w14:paraId="1EEBF77F">
                  <w:pPr>
                    <w:widowControl/>
                    <w:jc w:val="center"/>
                    <w:textAlignment w:val="center"/>
                    <w:rPr>
                      <w:szCs w:val="21"/>
                    </w:rPr>
                  </w:pPr>
                  <w:r>
                    <w:rPr>
                      <w:kern w:val="0"/>
                      <w:szCs w:val="21"/>
                    </w:rPr>
                    <w:t>J06</w:t>
                  </w:r>
                </w:p>
              </w:tc>
              <w:tc>
                <w:tcPr>
                  <w:tcW w:w="1158" w:type="pct"/>
                  <w:tcBorders>
                    <w:tl2br w:val="nil"/>
                    <w:tr2bl w:val="nil"/>
                  </w:tcBorders>
                  <w:vAlign w:val="center"/>
                </w:tcPr>
                <w:p w14:paraId="31F02951">
                  <w:pPr>
                    <w:widowControl/>
                    <w:jc w:val="center"/>
                    <w:textAlignment w:val="center"/>
                    <w:rPr>
                      <w:szCs w:val="21"/>
                    </w:rPr>
                  </w:pPr>
                  <w:r>
                    <w:rPr>
                      <w:kern w:val="0"/>
                      <w:szCs w:val="21"/>
                    </w:rPr>
                    <w:t>E118°15′57.744″</w:t>
                  </w:r>
                </w:p>
              </w:tc>
              <w:tc>
                <w:tcPr>
                  <w:tcW w:w="1073" w:type="pct"/>
                  <w:tcBorders>
                    <w:tl2br w:val="nil"/>
                    <w:tr2bl w:val="nil"/>
                  </w:tcBorders>
                  <w:vAlign w:val="center"/>
                </w:tcPr>
                <w:p w14:paraId="6F12C54F">
                  <w:pPr>
                    <w:widowControl/>
                    <w:jc w:val="center"/>
                    <w:textAlignment w:val="center"/>
                    <w:rPr>
                      <w:szCs w:val="21"/>
                    </w:rPr>
                  </w:pPr>
                  <w:r>
                    <w:rPr>
                      <w:kern w:val="0"/>
                      <w:szCs w:val="21"/>
                    </w:rPr>
                    <w:t>N39°23′20.389″</w:t>
                  </w:r>
                </w:p>
              </w:tc>
              <w:tc>
                <w:tcPr>
                  <w:tcW w:w="889" w:type="pct"/>
                  <w:tcBorders>
                    <w:tl2br w:val="nil"/>
                    <w:tr2bl w:val="nil"/>
                  </w:tcBorders>
                  <w:vAlign w:val="center"/>
                </w:tcPr>
                <w:p w14:paraId="27E0B019">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82A8D86">
                  <w:pPr>
                    <w:adjustRightInd w:val="0"/>
                    <w:snapToGrid w:val="0"/>
                    <w:spacing w:line="0" w:lineRule="atLeast"/>
                    <w:jc w:val="center"/>
                    <w:rPr>
                      <w:szCs w:val="21"/>
                    </w:rPr>
                  </w:pPr>
                  <w:r>
                    <w:rPr>
                      <w:szCs w:val="21"/>
                    </w:rPr>
                    <w:t>混塔</w:t>
                  </w:r>
                </w:p>
              </w:tc>
            </w:tr>
            <w:tr w14:paraId="17E2B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202" w:type="pct"/>
                  <w:vMerge w:val="continue"/>
                  <w:tcBorders>
                    <w:tl2br w:val="nil"/>
                    <w:tr2bl w:val="nil"/>
                  </w:tcBorders>
                  <w:textDirection w:val="tbRlV"/>
                  <w:vAlign w:val="center"/>
                </w:tcPr>
                <w:p w14:paraId="5F79D69A">
                  <w:pPr>
                    <w:tabs>
                      <w:tab w:val="left" w:pos="683"/>
                    </w:tabs>
                    <w:ind w:left="113" w:right="113"/>
                    <w:jc w:val="center"/>
                    <w:rPr>
                      <w:szCs w:val="21"/>
                    </w:rPr>
                  </w:pPr>
                </w:p>
              </w:tc>
              <w:tc>
                <w:tcPr>
                  <w:tcW w:w="441" w:type="pct"/>
                  <w:vMerge w:val="continue"/>
                  <w:tcBorders>
                    <w:tl2br w:val="nil"/>
                    <w:tr2bl w:val="nil"/>
                  </w:tcBorders>
                  <w:vAlign w:val="center"/>
                </w:tcPr>
                <w:p w14:paraId="2320EE5F">
                  <w:pPr>
                    <w:adjustRightInd w:val="0"/>
                    <w:snapToGrid w:val="0"/>
                    <w:spacing w:line="0" w:lineRule="atLeast"/>
                    <w:jc w:val="center"/>
                    <w:rPr>
                      <w:szCs w:val="21"/>
                    </w:rPr>
                  </w:pPr>
                </w:p>
              </w:tc>
              <w:tc>
                <w:tcPr>
                  <w:tcW w:w="235" w:type="pct"/>
                  <w:tcBorders>
                    <w:tl2br w:val="nil"/>
                    <w:tr2bl w:val="nil"/>
                  </w:tcBorders>
                  <w:vAlign w:val="center"/>
                </w:tcPr>
                <w:p w14:paraId="3D2D510D">
                  <w:pPr>
                    <w:widowControl/>
                    <w:jc w:val="center"/>
                    <w:textAlignment w:val="center"/>
                    <w:rPr>
                      <w:szCs w:val="21"/>
                    </w:rPr>
                  </w:pPr>
                  <w:r>
                    <w:rPr>
                      <w:kern w:val="0"/>
                      <w:szCs w:val="21"/>
                    </w:rPr>
                    <w:t>7</w:t>
                  </w:r>
                </w:p>
              </w:tc>
              <w:tc>
                <w:tcPr>
                  <w:tcW w:w="394" w:type="pct"/>
                  <w:tcBorders>
                    <w:tl2br w:val="nil"/>
                    <w:tr2bl w:val="nil"/>
                  </w:tcBorders>
                  <w:vAlign w:val="center"/>
                </w:tcPr>
                <w:p w14:paraId="4972A1D3">
                  <w:pPr>
                    <w:widowControl/>
                    <w:jc w:val="center"/>
                    <w:textAlignment w:val="center"/>
                    <w:rPr>
                      <w:szCs w:val="21"/>
                    </w:rPr>
                  </w:pPr>
                  <w:r>
                    <w:rPr>
                      <w:kern w:val="0"/>
                      <w:szCs w:val="21"/>
                    </w:rPr>
                    <w:t>J07</w:t>
                  </w:r>
                </w:p>
              </w:tc>
              <w:tc>
                <w:tcPr>
                  <w:tcW w:w="1158" w:type="pct"/>
                  <w:tcBorders>
                    <w:tl2br w:val="nil"/>
                    <w:tr2bl w:val="nil"/>
                  </w:tcBorders>
                  <w:vAlign w:val="center"/>
                </w:tcPr>
                <w:p w14:paraId="39465B49">
                  <w:pPr>
                    <w:widowControl/>
                    <w:jc w:val="center"/>
                    <w:textAlignment w:val="center"/>
                    <w:rPr>
                      <w:szCs w:val="21"/>
                    </w:rPr>
                  </w:pPr>
                  <w:r>
                    <w:rPr>
                      <w:kern w:val="0"/>
                      <w:szCs w:val="21"/>
                    </w:rPr>
                    <w:t>E118°13′43.169″</w:t>
                  </w:r>
                </w:p>
              </w:tc>
              <w:tc>
                <w:tcPr>
                  <w:tcW w:w="1073" w:type="pct"/>
                  <w:tcBorders>
                    <w:tl2br w:val="nil"/>
                    <w:tr2bl w:val="nil"/>
                  </w:tcBorders>
                  <w:vAlign w:val="center"/>
                </w:tcPr>
                <w:p w14:paraId="278EEA0E">
                  <w:pPr>
                    <w:widowControl/>
                    <w:jc w:val="center"/>
                    <w:textAlignment w:val="center"/>
                    <w:rPr>
                      <w:szCs w:val="21"/>
                    </w:rPr>
                  </w:pPr>
                  <w:r>
                    <w:rPr>
                      <w:kern w:val="0"/>
                      <w:szCs w:val="21"/>
                    </w:rPr>
                    <w:t>N39°23′20.594″</w:t>
                  </w:r>
                </w:p>
              </w:tc>
              <w:tc>
                <w:tcPr>
                  <w:tcW w:w="889" w:type="pct"/>
                  <w:tcBorders>
                    <w:tl2br w:val="nil"/>
                    <w:tr2bl w:val="nil"/>
                  </w:tcBorders>
                  <w:vAlign w:val="center"/>
                </w:tcPr>
                <w:p w14:paraId="37BBAAB7">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D67FB15">
                  <w:pPr>
                    <w:adjustRightInd w:val="0"/>
                    <w:snapToGrid w:val="0"/>
                    <w:spacing w:line="0" w:lineRule="atLeast"/>
                    <w:jc w:val="center"/>
                    <w:rPr>
                      <w:szCs w:val="21"/>
                    </w:rPr>
                  </w:pPr>
                  <w:r>
                    <w:rPr>
                      <w:szCs w:val="21"/>
                    </w:rPr>
                    <w:t>混塔</w:t>
                  </w:r>
                </w:p>
              </w:tc>
            </w:tr>
            <w:tr w14:paraId="5EB97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7F9DF862">
                  <w:pPr>
                    <w:adjustRightInd w:val="0"/>
                    <w:snapToGrid w:val="0"/>
                    <w:spacing w:line="0" w:lineRule="atLeast"/>
                    <w:jc w:val="center"/>
                    <w:rPr>
                      <w:szCs w:val="21"/>
                    </w:rPr>
                  </w:pPr>
                </w:p>
              </w:tc>
              <w:tc>
                <w:tcPr>
                  <w:tcW w:w="441" w:type="pct"/>
                  <w:vMerge w:val="continue"/>
                  <w:tcBorders>
                    <w:tl2br w:val="nil"/>
                    <w:tr2bl w:val="nil"/>
                  </w:tcBorders>
                  <w:vAlign w:val="center"/>
                </w:tcPr>
                <w:p w14:paraId="2A119DD7">
                  <w:pPr>
                    <w:adjustRightInd w:val="0"/>
                    <w:snapToGrid w:val="0"/>
                    <w:spacing w:line="0" w:lineRule="atLeast"/>
                    <w:jc w:val="center"/>
                    <w:rPr>
                      <w:szCs w:val="21"/>
                    </w:rPr>
                  </w:pPr>
                </w:p>
              </w:tc>
              <w:tc>
                <w:tcPr>
                  <w:tcW w:w="235" w:type="pct"/>
                  <w:tcBorders>
                    <w:tl2br w:val="nil"/>
                    <w:tr2bl w:val="nil"/>
                  </w:tcBorders>
                  <w:vAlign w:val="center"/>
                </w:tcPr>
                <w:p w14:paraId="1DEF78D0">
                  <w:pPr>
                    <w:widowControl/>
                    <w:jc w:val="center"/>
                    <w:textAlignment w:val="center"/>
                    <w:rPr>
                      <w:szCs w:val="21"/>
                    </w:rPr>
                  </w:pPr>
                  <w:r>
                    <w:rPr>
                      <w:kern w:val="0"/>
                      <w:szCs w:val="21"/>
                    </w:rPr>
                    <w:t>8</w:t>
                  </w:r>
                </w:p>
              </w:tc>
              <w:tc>
                <w:tcPr>
                  <w:tcW w:w="394" w:type="pct"/>
                  <w:tcBorders>
                    <w:tl2br w:val="nil"/>
                    <w:tr2bl w:val="nil"/>
                  </w:tcBorders>
                  <w:vAlign w:val="center"/>
                </w:tcPr>
                <w:p w14:paraId="50E841F4">
                  <w:pPr>
                    <w:widowControl/>
                    <w:jc w:val="center"/>
                    <w:textAlignment w:val="center"/>
                    <w:rPr>
                      <w:szCs w:val="21"/>
                    </w:rPr>
                  </w:pPr>
                  <w:r>
                    <w:rPr>
                      <w:kern w:val="0"/>
                      <w:szCs w:val="21"/>
                    </w:rPr>
                    <w:t>J08</w:t>
                  </w:r>
                </w:p>
              </w:tc>
              <w:tc>
                <w:tcPr>
                  <w:tcW w:w="1158" w:type="pct"/>
                  <w:tcBorders>
                    <w:tl2br w:val="nil"/>
                    <w:tr2bl w:val="nil"/>
                  </w:tcBorders>
                  <w:vAlign w:val="center"/>
                </w:tcPr>
                <w:p w14:paraId="362C067C">
                  <w:pPr>
                    <w:widowControl/>
                    <w:jc w:val="center"/>
                    <w:textAlignment w:val="center"/>
                    <w:rPr>
                      <w:szCs w:val="21"/>
                    </w:rPr>
                  </w:pPr>
                  <w:r>
                    <w:rPr>
                      <w:kern w:val="0"/>
                      <w:szCs w:val="21"/>
                    </w:rPr>
                    <w:t>E118°14′06.058″</w:t>
                  </w:r>
                </w:p>
              </w:tc>
              <w:tc>
                <w:tcPr>
                  <w:tcW w:w="1073" w:type="pct"/>
                  <w:tcBorders>
                    <w:tl2br w:val="nil"/>
                    <w:tr2bl w:val="nil"/>
                  </w:tcBorders>
                  <w:vAlign w:val="center"/>
                </w:tcPr>
                <w:p w14:paraId="4F92FE54">
                  <w:pPr>
                    <w:widowControl/>
                    <w:jc w:val="center"/>
                    <w:textAlignment w:val="center"/>
                    <w:rPr>
                      <w:szCs w:val="21"/>
                    </w:rPr>
                  </w:pPr>
                  <w:r>
                    <w:rPr>
                      <w:kern w:val="0"/>
                      <w:szCs w:val="21"/>
                    </w:rPr>
                    <w:t>N39°23′17.542″</w:t>
                  </w:r>
                </w:p>
              </w:tc>
              <w:tc>
                <w:tcPr>
                  <w:tcW w:w="889" w:type="pct"/>
                  <w:tcBorders>
                    <w:tl2br w:val="nil"/>
                    <w:tr2bl w:val="nil"/>
                  </w:tcBorders>
                  <w:vAlign w:val="center"/>
                </w:tcPr>
                <w:p w14:paraId="13D0068F">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F860FEE">
                  <w:pPr>
                    <w:adjustRightInd w:val="0"/>
                    <w:snapToGrid w:val="0"/>
                    <w:spacing w:line="0" w:lineRule="atLeast"/>
                    <w:jc w:val="center"/>
                    <w:rPr>
                      <w:szCs w:val="21"/>
                    </w:rPr>
                  </w:pPr>
                  <w:r>
                    <w:rPr>
                      <w:szCs w:val="21"/>
                    </w:rPr>
                    <w:t>混塔</w:t>
                  </w:r>
                </w:p>
              </w:tc>
            </w:tr>
            <w:tr w14:paraId="4DB5A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FF5FB94">
                  <w:pPr>
                    <w:adjustRightInd w:val="0"/>
                    <w:snapToGrid w:val="0"/>
                    <w:spacing w:line="0" w:lineRule="atLeast"/>
                    <w:jc w:val="center"/>
                    <w:rPr>
                      <w:szCs w:val="21"/>
                    </w:rPr>
                  </w:pPr>
                </w:p>
              </w:tc>
              <w:tc>
                <w:tcPr>
                  <w:tcW w:w="441" w:type="pct"/>
                  <w:vMerge w:val="continue"/>
                  <w:tcBorders>
                    <w:tl2br w:val="nil"/>
                    <w:tr2bl w:val="nil"/>
                  </w:tcBorders>
                  <w:vAlign w:val="center"/>
                </w:tcPr>
                <w:p w14:paraId="1650757F">
                  <w:pPr>
                    <w:adjustRightInd w:val="0"/>
                    <w:snapToGrid w:val="0"/>
                    <w:spacing w:line="0" w:lineRule="atLeast"/>
                    <w:jc w:val="center"/>
                    <w:rPr>
                      <w:szCs w:val="21"/>
                    </w:rPr>
                  </w:pPr>
                </w:p>
              </w:tc>
              <w:tc>
                <w:tcPr>
                  <w:tcW w:w="235" w:type="pct"/>
                  <w:tcBorders>
                    <w:tl2br w:val="nil"/>
                    <w:tr2bl w:val="nil"/>
                  </w:tcBorders>
                  <w:vAlign w:val="center"/>
                </w:tcPr>
                <w:p w14:paraId="3A1B877D">
                  <w:pPr>
                    <w:widowControl/>
                    <w:jc w:val="center"/>
                    <w:textAlignment w:val="center"/>
                    <w:rPr>
                      <w:szCs w:val="21"/>
                    </w:rPr>
                  </w:pPr>
                  <w:r>
                    <w:rPr>
                      <w:kern w:val="0"/>
                      <w:szCs w:val="21"/>
                    </w:rPr>
                    <w:t>9</w:t>
                  </w:r>
                </w:p>
              </w:tc>
              <w:tc>
                <w:tcPr>
                  <w:tcW w:w="394" w:type="pct"/>
                  <w:tcBorders>
                    <w:tl2br w:val="nil"/>
                    <w:tr2bl w:val="nil"/>
                  </w:tcBorders>
                  <w:vAlign w:val="center"/>
                </w:tcPr>
                <w:p w14:paraId="6AC9B2AB">
                  <w:pPr>
                    <w:widowControl/>
                    <w:jc w:val="center"/>
                    <w:textAlignment w:val="center"/>
                    <w:rPr>
                      <w:szCs w:val="21"/>
                    </w:rPr>
                  </w:pPr>
                  <w:r>
                    <w:rPr>
                      <w:kern w:val="0"/>
                      <w:szCs w:val="21"/>
                    </w:rPr>
                    <w:t>J09</w:t>
                  </w:r>
                </w:p>
              </w:tc>
              <w:tc>
                <w:tcPr>
                  <w:tcW w:w="1158" w:type="pct"/>
                  <w:tcBorders>
                    <w:tl2br w:val="nil"/>
                    <w:tr2bl w:val="nil"/>
                  </w:tcBorders>
                  <w:vAlign w:val="center"/>
                </w:tcPr>
                <w:p w14:paraId="3108F2F1">
                  <w:pPr>
                    <w:widowControl/>
                    <w:jc w:val="center"/>
                    <w:textAlignment w:val="center"/>
                    <w:rPr>
                      <w:szCs w:val="21"/>
                    </w:rPr>
                  </w:pPr>
                  <w:r>
                    <w:rPr>
                      <w:kern w:val="0"/>
                      <w:szCs w:val="21"/>
                    </w:rPr>
                    <w:t>E118°19′08.054″</w:t>
                  </w:r>
                </w:p>
              </w:tc>
              <w:tc>
                <w:tcPr>
                  <w:tcW w:w="1073" w:type="pct"/>
                  <w:tcBorders>
                    <w:tl2br w:val="nil"/>
                    <w:tr2bl w:val="nil"/>
                  </w:tcBorders>
                  <w:vAlign w:val="center"/>
                </w:tcPr>
                <w:p w14:paraId="64EBE6C3">
                  <w:pPr>
                    <w:widowControl/>
                    <w:jc w:val="center"/>
                    <w:textAlignment w:val="center"/>
                    <w:rPr>
                      <w:szCs w:val="21"/>
                    </w:rPr>
                  </w:pPr>
                  <w:r>
                    <w:rPr>
                      <w:kern w:val="0"/>
                      <w:szCs w:val="21"/>
                    </w:rPr>
                    <w:t>N39°21′00.792″</w:t>
                  </w:r>
                </w:p>
              </w:tc>
              <w:tc>
                <w:tcPr>
                  <w:tcW w:w="889" w:type="pct"/>
                  <w:tcBorders>
                    <w:tl2br w:val="nil"/>
                    <w:tr2bl w:val="nil"/>
                  </w:tcBorders>
                  <w:vAlign w:val="center"/>
                </w:tcPr>
                <w:p w14:paraId="744F7D7E">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4109FA4">
                  <w:pPr>
                    <w:adjustRightInd w:val="0"/>
                    <w:snapToGrid w:val="0"/>
                    <w:spacing w:line="0" w:lineRule="atLeast"/>
                    <w:jc w:val="center"/>
                    <w:rPr>
                      <w:szCs w:val="21"/>
                    </w:rPr>
                  </w:pPr>
                  <w:r>
                    <w:rPr>
                      <w:szCs w:val="21"/>
                    </w:rPr>
                    <w:t>混塔</w:t>
                  </w:r>
                </w:p>
              </w:tc>
            </w:tr>
            <w:tr w14:paraId="4769C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02" w:type="pct"/>
                  <w:vMerge w:val="continue"/>
                  <w:tcBorders>
                    <w:tl2br w:val="nil"/>
                    <w:tr2bl w:val="nil"/>
                  </w:tcBorders>
                  <w:vAlign w:val="center"/>
                </w:tcPr>
                <w:p w14:paraId="543901F7">
                  <w:pPr>
                    <w:adjustRightInd w:val="0"/>
                    <w:snapToGrid w:val="0"/>
                    <w:spacing w:line="0" w:lineRule="atLeast"/>
                    <w:jc w:val="center"/>
                    <w:rPr>
                      <w:szCs w:val="21"/>
                    </w:rPr>
                  </w:pPr>
                </w:p>
              </w:tc>
              <w:tc>
                <w:tcPr>
                  <w:tcW w:w="441" w:type="pct"/>
                  <w:vMerge w:val="continue"/>
                  <w:tcBorders>
                    <w:tl2br w:val="nil"/>
                    <w:tr2bl w:val="nil"/>
                  </w:tcBorders>
                  <w:vAlign w:val="center"/>
                </w:tcPr>
                <w:p w14:paraId="385CFD7C">
                  <w:pPr>
                    <w:adjustRightInd w:val="0"/>
                    <w:snapToGrid w:val="0"/>
                    <w:spacing w:line="0" w:lineRule="atLeast"/>
                    <w:jc w:val="center"/>
                    <w:rPr>
                      <w:szCs w:val="21"/>
                    </w:rPr>
                  </w:pPr>
                </w:p>
              </w:tc>
              <w:tc>
                <w:tcPr>
                  <w:tcW w:w="235" w:type="pct"/>
                  <w:tcBorders>
                    <w:tl2br w:val="nil"/>
                    <w:tr2bl w:val="nil"/>
                  </w:tcBorders>
                  <w:vAlign w:val="center"/>
                </w:tcPr>
                <w:p w14:paraId="43314BB3">
                  <w:pPr>
                    <w:widowControl/>
                    <w:jc w:val="center"/>
                    <w:textAlignment w:val="center"/>
                    <w:rPr>
                      <w:szCs w:val="21"/>
                    </w:rPr>
                  </w:pPr>
                  <w:r>
                    <w:rPr>
                      <w:kern w:val="0"/>
                      <w:szCs w:val="21"/>
                    </w:rPr>
                    <w:t>10</w:t>
                  </w:r>
                </w:p>
              </w:tc>
              <w:tc>
                <w:tcPr>
                  <w:tcW w:w="394" w:type="pct"/>
                  <w:tcBorders>
                    <w:tl2br w:val="nil"/>
                    <w:tr2bl w:val="nil"/>
                  </w:tcBorders>
                  <w:vAlign w:val="center"/>
                </w:tcPr>
                <w:p w14:paraId="52D5F386">
                  <w:pPr>
                    <w:widowControl/>
                    <w:jc w:val="center"/>
                    <w:textAlignment w:val="center"/>
                    <w:rPr>
                      <w:szCs w:val="21"/>
                    </w:rPr>
                  </w:pPr>
                  <w:r>
                    <w:rPr>
                      <w:kern w:val="0"/>
                      <w:szCs w:val="21"/>
                    </w:rPr>
                    <w:t>J10</w:t>
                  </w:r>
                </w:p>
              </w:tc>
              <w:tc>
                <w:tcPr>
                  <w:tcW w:w="1158" w:type="pct"/>
                  <w:tcBorders>
                    <w:tl2br w:val="nil"/>
                    <w:tr2bl w:val="nil"/>
                  </w:tcBorders>
                  <w:vAlign w:val="center"/>
                </w:tcPr>
                <w:p w14:paraId="12109CCC">
                  <w:pPr>
                    <w:widowControl/>
                    <w:jc w:val="center"/>
                    <w:textAlignment w:val="center"/>
                    <w:rPr>
                      <w:szCs w:val="21"/>
                    </w:rPr>
                  </w:pPr>
                  <w:r>
                    <w:rPr>
                      <w:kern w:val="0"/>
                      <w:szCs w:val="21"/>
                    </w:rPr>
                    <w:t>E118°19′32.912″</w:t>
                  </w:r>
                </w:p>
              </w:tc>
              <w:tc>
                <w:tcPr>
                  <w:tcW w:w="1073" w:type="pct"/>
                  <w:tcBorders>
                    <w:tl2br w:val="nil"/>
                    <w:tr2bl w:val="nil"/>
                  </w:tcBorders>
                  <w:vAlign w:val="center"/>
                </w:tcPr>
                <w:p w14:paraId="0314EB92">
                  <w:pPr>
                    <w:widowControl/>
                    <w:jc w:val="center"/>
                    <w:textAlignment w:val="center"/>
                    <w:rPr>
                      <w:szCs w:val="21"/>
                    </w:rPr>
                  </w:pPr>
                  <w:r>
                    <w:rPr>
                      <w:kern w:val="0"/>
                      <w:szCs w:val="21"/>
                    </w:rPr>
                    <w:t>N39°20′41.017″</w:t>
                  </w:r>
                </w:p>
              </w:tc>
              <w:tc>
                <w:tcPr>
                  <w:tcW w:w="889" w:type="pct"/>
                  <w:tcBorders>
                    <w:tl2br w:val="nil"/>
                    <w:tr2bl w:val="nil"/>
                  </w:tcBorders>
                  <w:vAlign w:val="center"/>
                </w:tcPr>
                <w:p w14:paraId="1196DF4B">
                  <w:pPr>
                    <w:adjustRightInd w:val="0"/>
                    <w:snapToGrid w:val="0"/>
                    <w:spacing w:line="0" w:lineRule="atLeast"/>
                    <w:jc w:val="center"/>
                    <w:rPr>
                      <w:szCs w:val="21"/>
                    </w:rPr>
                  </w:pPr>
                  <w:r>
                    <w:rPr>
                      <w:szCs w:val="21"/>
                    </w:rPr>
                    <w:t>果园、设施农用地</w:t>
                  </w:r>
                </w:p>
              </w:tc>
              <w:tc>
                <w:tcPr>
                  <w:tcW w:w="605" w:type="pct"/>
                  <w:tcBorders>
                    <w:tl2br w:val="nil"/>
                    <w:tr2bl w:val="nil"/>
                  </w:tcBorders>
                  <w:vAlign w:val="center"/>
                </w:tcPr>
                <w:p w14:paraId="5BAB4938">
                  <w:pPr>
                    <w:adjustRightInd w:val="0"/>
                    <w:snapToGrid w:val="0"/>
                    <w:spacing w:line="0" w:lineRule="atLeast"/>
                    <w:jc w:val="center"/>
                    <w:rPr>
                      <w:szCs w:val="21"/>
                    </w:rPr>
                  </w:pPr>
                  <w:r>
                    <w:rPr>
                      <w:szCs w:val="21"/>
                    </w:rPr>
                    <w:t>混塔</w:t>
                  </w:r>
                </w:p>
              </w:tc>
            </w:tr>
            <w:tr w14:paraId="790DF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3B37F1F">
                  <w:pPr>
                    <w:adjustRightInd w:val="0"/>
                    <w:snapToGrid w:val="0"/>
                    <w:spacing w:line="0" w:lineRule="atLeast"/>
                    <w:jc w:val="center"/>
                    <w:rPr>
                      <w:szCs w:val="21"/>
                    </w:rPr>
                  </w:pPr>
                </w:p>
              </w:tc>
              <w:tc>
                <w:tcPr>
                  <w:tcW w:w="441" w:type="pct"/>
                  <w:vMerge w:val="continue"/>
                  <w:tcBorders>
                    <w:tl2br w:val="nil"/>
                    <w:tr2bl w:val="nil"/>
                  </w:tcBorders>
                  <w:vAlign w:val="center"/>
                </w:tcPr>
                <w:p w14:paraId="4F571879">
                  <w:pPr>
                    <w:adjustRightInd w:val="0"/>
                    <w:snapToGrid w:val="0"/>
                    <w:spacing w:line="0" w:lineRule="atLeast"/>
                    <w:jc w:val="center"/>
                    <w:rPr>
                      <w:szCs w:val="21"/>
                    </w:rPr>
                  </w:pPr>
                </w:p>
              </w:tc>
              <w:tc>
                <w:tcPr>
                  <w:tcW w:w="235" w:type="pct"/>
                  <w:tcBorders>
                    <w:tl2br w:val="nil"/>
                    <w:tr2bl w:val="nil"/>
                  </w:tcBorders>
                  <w:vAlign w:val="center"/>
                </w:tcPr>
                <w:p w14:paraId="2E3CF66B">
                  <w:pPr>
                    <w:widowControl/>
                    <w:jc w:val="center"/>
                    <w:textAlignment w:val="center"/>
                    <w:rPr>
                      <w:szCs w:val="21"/>
                    </w:rPr>
                  </w:pPr>
                  <w:r>
                    <w:rPr>
                      <w:kern w:val="0"/>
                      <w:szCs w:val="21"/>
                    </w:rPr>
                    <w:t>11</w:t>
                  </w:r>
                </w:p>
              </w:tc>
              <w:tc>
                <w:tcPr>
                  <w:tcW w:w="394" w:type="pct"/>
                  <w:tcBorders>
                    <w:tl2br w:val="nil"/>
                    <w:tr2bl w:val="nil"/>
                  </w:tcBorders>
                  <w:vAlign w:val="center"/>
                </w:tcPr>
                <w:p w14:paraId="5DAE5192">
                  <w:pPr>
                    <w:widowControl/>
                    <w:jc w:val="center"/>
                    <w:textAlignment w:val="center"/>
                    <w:rPr>
                      <w:szCs w:val="21"/>
                    </w:rPr>
                  </w:pPr>
                  <w:r>
                    <w:rPr>
                      <w:kern w:val="0"/>
                      <w:szCs w:val="21"/>
                    </w:rPr>
                    <w:t>J11</w:t>
                  </w:r>
                </w:p>
              </w:tc>
              <w:tc>
                <w:tcPr>
                  <w:tcW w:w="1158" w:type="pct"/>
                  <w:tcBorders>
                    <w:tl2br w:val="nil"/>
                    <w:tr2bl w:val="nil"/>
                  </w:tcBorders>
                  <w:vAlign w:val="center"/>
                </w:tcPr>
                <w:p w14:paraId="7C28D680">
                  <w:pPr>
                    <w:widowControl/>
                    <w:jc w:val="center"/>
                    <w:textAlignment w:val="center"/>
                    <w:rPr>
                      <w:szCs w:val="21"/>
                    </w:rPr>
                  </w:pPr>
                  <w:r>
                    <w:rPr>
                      <w:kern w:val="0"/>
                      <w:szCs w:val="21"/>
                    </w:rPr>
                    <w:t>E118°19′22.469″</w:t>
                  </w:r>
                </w:p>
              </w:tc>
              <w:tc>
                <w:tcPr>
                  <w:tcW w:w="1073" w:type="pct"/>
                  <w:tcBorders>
                    <w:tl2br w:val="nil"/>
                    <w:tr2bl w:val="nil"/>
                  </w:tcBorders>
                  <w:vAlign w:val="center"/>
                </w:tcPr>
                <w:p w14:paraId="1622B5FA">
                  <w:pPr>
                    <w:widowControl/>
                    <w:jc w:val="center"/>
                    <w:textAlignment w:val="center"/>
                    <w:rPr>
                      <w:szCs w:val="21"/>
                    </w:rPr>
                  </w:pPr>
                  <w:r>
                    <w:rPr>
                      <w:kern w:val="0"/>
                      <w:szCs w:val="21"/>
                    </w:rPr>
                    <w:t>N39°19′49.382″</w:t>
                  </w:r>
                </w:p>
              </w:tc>
              <w:tc>
                <w:tcPr>
                  <w:tcW w:w="889" w:type="pct"/>
                  <w:tcBorders>
                    <w:tl2br w:val="nil"/>
                    <w:tr2bl w:val="nil"/>
                  </w:tcBorders>
                  <w:vAlign w:val="center"/>
                </w:tcPr>
                <w:p w14:paraId="36E31991">
                  <w:pPr>
                    <w:adjustRightInd w:val="0"/>
                    <w:snapToGrid w:val="0"/>
                    <w:spacing w:line="0" w:lineRule="atLeast"/>
                    <w:jc w:val="center"/>
                    <w:rPr>
                      <w:szCs w:val="21"/>
                    </w:rPr>
                  </w:pPr>
                  <w:r>
                    <w:rPr>
                      <w:szCs w:val="21"/>
                    </w:rPr>
                    <w:t>旱地</w:t>
                  </w:r>
                </w:p>
              </w:tc>
              <w:tc>
                <w:tcPr>
                  <w:tcW w:w="605" w:type="pct"/>
                  <w:tcBorders>
                    <w:tl2br w:val="nil"/>
                    <w:tr2bl w:val="nil"/>
                  </w:tcBorders>
                  <w:vAlign w:val="center"/>
                </w:tcPr>
                <w:p w14:paraId="4669E3DF">
                  <w:pPr>
                    <w:adjustRightInd w:val="0"/>
                    <w:snapToGrid w:val="0"/>
                    <w:spacing w:line="0" w:lineRule="atLeast"/>
                    <w:jc w:val="center"/>
                    <w:rPr>
                      <w:szCs w:val="21"/>
                    </w:rPr>
                  </w:pPr>
                  <w:r>
                    <w:rPr>
                      <w:szCs w:val="21"/>
                    </w:rPr>
                    <w:t>混塔</w:t>
                  </w:r>
                </w:p>
              </w:tc>
            </w:tr>
            <w:tr w14:paraId="71169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02" w:type="pct"/>
                  <w:vMerge w:val="continue"/>
                  <w:tcBorders>
                    <w:tl2br w:val="nil"/>
                    <w:tr2bl w:val="nil"/>
                  </w:tcBorders>
                  <w:vAlign w:val="center"/>
                </w:tcPr>
                <w:p w14:paraId="02BCD085">
                  <w:pPr>
                    <w:adjustRightInd w:val="0"/>
                    <w:snapToGrid w:val="0"/>
                    <w:spacing w:line="0" w:lineRule="atLeast"/>
                    <w:jc w:val="center"/>
                    <w:rPr>
                      <w:szCs w:val="21"/>
                    </w:rPr>
                  </w:pPr>
                </w:p>
              </w:tc>
              <w:tc>
                <w:tcPr>
                  <w:tcW w:w="441" w:type="pct"/>
                  <w:vMerge w:val="continue"/>
                  <w:tcBorders>
                    <w:tl2br w:val="nil"/>
                    <w:tr2bl w:val="nil"/>
                  </w:tcBorders>
                  <w:vAlign w:val="center"/>
                </w:tcPr>
                <w:p w14:paraId="0EC19CEA">
                  <w:pPr>
                    <w:adjustRightInd w:val="0"/>
                    <w:snapToGrid w:val="0"/>
                    <w:spacing w:line="0" w:lineRule="atLeast"/>
                    <w:jc w:val="center"/>
                    <w:rPr>
                      <w:szCs w:val="21"/>
                    </w:rPr>
                  </w:pPr>
                </w:p>
              </w:tc>
              <w:tc>
                <w:tcPr>
                  <w:tcW w:w="235" w:type="pct"/>
                  <w:tcBorders>
                    <w:tl2br w:val="nil"/>
                    <w:tr2bl w:val="nil"/>
                  </w:tcBorders>
                  <w:vAlign w:val="center"/>
                </w:tcPr>
                <w:p w14:paraId="614BBEA0">
                  <w:pPr>
                    <w:widowControl/>
                    <w:jc w:val="center"/>
                    <w:textAlignment w:val="center"/>
                    <w:rPr>
                      <w:szCs w:val="21"/>
                    </w:rPr>
                  </w:pPr>
                  <w:r>
                    <w:rPr>
                      <w:kern w:val="0"/>
                      <w:szCs w:val="21"/>
                    </w:rPr>
                    <w:t>12</w:t>
                  </w:r>
                </w:p>
              </w:tc>
              <w:tc>
                <w:tcPr>
                  <w:tcW w:w="394" w:type="pct"/>
                  <w:tcBorders>
                    <w:tl2br w:val="nil"/>
                    <w:tr2bl w:val="nil"/>
                  </w:tcBorders>
                  <w:vAlign w:val="center"/>
                </w:tcPr>
                <w:p w14:paraId="24F9DAE0">
                  <w:pPr>
                    <w:widowControl/>
                    <w:jc w:val="center"/>
                    <w:textAlignment w:val="center"/>
                    <w:rPr>
                      <w:szCs w:val="21"/>
                    </w:rPr>
                  </w:pPr>
                  <w:r>
                    <w:rPr>
                      <w:kern w:val="0"/>
                      <w:szCs w:val="21"/>
                    </w:rPr>
                    <w:t>J12</w:t>
                  </w:r>
                </w:p>
              </w:tc>
              <w:tc>
                <w:tcPr>
                  <w:tcW w:w="1158" w:type="pct"/>
                  <w:tcBorders>
                    <w:tl2br w:val="nil"/>
                    <w:tr2bl w:val="nil"/>
                  </w:tcBorders>
                  <w:vAlign w:val="center"/>
                </w:tcPr>
                <w:p w14:paraId="3017A4EA">
                  <w:pPr>
                    <w:widowControl/>
                    <w:jc w:val="center"/>
                    <w:textAlignment w:val="center"/>
                    <w:rPr>
                      <w:szCs w:val="21"/>
                    </w:rPr>
                  </w:pPr>
                  <w:r>
                    <w:rPr>
                      <w:kern w:val="0"/>
                      <w:szCs w:val="21"/>
                    </w:rPr>
                    <w:t>E118°22′31.724″</w:t>
                  </w:r>
                </w:p>
              </w:tc>
              <w:tc>
                <w:tcPr>
                  <w:tcW w:w="1073" w:type="pct"/>
                  <w:tcBorders>
                    <w:tl2br w:val="nil"/>
                    <w:tr2bl w:val="nil"/>
                  </w:tcBorders>
                  <w:vAlign w:val="center"/>
                </w:tcPr>
                <w:p w14:paraId="65F56504">
                  <w:pPr>
                    <w:widowControl/>
                    <w:jc w:val="center"/>
                    <w:textAlignment w:val="center"/>
                    <w:rPr>
                      <w:szCs w:val="21"/>
                    </w:rPr>
                  </w:pPr>
                  <w:r>
                    <w:rPr>
                      <w:kern w:val="0"/>
                      <w:szCs w:val="21"/>
                    </w:rPr>
                    <w:t>N39°19′19.801″</w:t>
                  </w:r>
                </w:p>
              </w:tc>
              <w:tc>
                <w:tcPr>
                  <w:tcW w:w="889" w:type="pct"/>
                  <w:tcBorders>
                    <w:tl2br w:val="nil"/>
                    <w:tr2bl w:val="nil"/>
                  </w:tcBorders>
                  <w:vAlign w:val="center"/>
                </w:tcPr>
                <w:p w14:paraId="214A5B7A">
                  <w:pPr>
                    <w:adjustRightInd w:val="0"/>
                    <w:snapToGrid w:val="0"/>
                    <w:spacing w:line="0" w:lineRule="atLeast"/>
                    <w:jc w:val="center"/>
                    <w:rPr>
                      <w:szCs w:val="21"/>
                    </w:rPr>
                  </w:pPr>
                  <w:r>
                    <w:rPr>
                      <w:szCs w:val="21"/>
                    </w:rPr>
                    <w:t>水田、坑塘水面、沟渠</w:t>
                  </w:r>
                </w:p>
              </w:tc>
              <w:tc>
                <w:tcPr>
                  <w:tcW w:w="605" w:type="pct"/>
                  <w:tcBorders>
                    <w:tl2br w:val="nil"/>
                    <w:tr2bl w:val="nil"/>
                  </w:tcBorders>
                  <w:vAlign w:val="center"/>
                </w:tcPr>
                <w:p w14:paraId="37A66473">
                  <w:pPr>
                    <w:adjustRightInd w:val="0"/>
                    <w:snapToGrid w:val="0"/>
                    <w:spacing w:line="0" w:lineRule="atLeast"/>
                    <w:jc w:val="center"/>
                    <w:rPr>
                      <w:szCs w:val="21"/>
                    </w:rPr>
                  </w:pPr>
                  <w:r>
                    <w:rPr>
                      <w:szCs w:val="21"/>
                    </w:rPr>
                    <w:t>混塔</w:t>
                  </w:r>
                </w:p>
              </w:tc>
            </w:tr>
            <w:tr w14:paraId="3E224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7E49922">
                  <w:pPr>
                    <w:adjustRightInd w:val="0"/>
                    <w:snapToGrid w:val="0"/>
                    <w:spacing w:line="0" w:lineRule="atLeast"/>
                    <w:jc w:val="center"/>
                    <w:rPr>
                      <w:szCs w:val="21"/>
                    </w:rPr>
                  </w:pPr>
                </w:p>
              </w:tc>
              <w:tc>
                <w:tcPr>
                  <w:tcW w:w="441" w:type="pct"/>
                  <w:vMerge w:val="continue"/>
                  <w:tcBorders>
                    <w:tl2br w:val="nil"/>
                    <w:tr2bl w:val="nil"/>
                  </w:tcBorders>
                  <w:vAlign w:val="center"/>
                </w:tcPr>
                <w:p w14:paraId="75BBB6EA">
                  <w:pPr>
                    <w:adjustRightInd w:val="0"/>
                    <w:snapToGrid w:val="0"/>
                    <w:spacing w:line="0" w:lineRule="atLeast"/>
                    <w:jc w:val="center"/>
                    <w:rPr>
                      <w:szCs w:val="21"/>
                    </w:rPr>
                  </w:pPr>
                </w:p>
              </w:tc>
              <w:tc>
                <w:tcPr>
                  <w:tcW w:w="235" w:type="pct"/>
                  <w:tcBorders>
                    <w:tl2br w:val="nil"/>
                    <w:tr2bl w:val="nil"/>
                  </w:tcBorders>
                  <w:vAlign w:val="center"/>
                </w:tcPr>
                <w:p w14:paraId="656ADB21">
                  <w:pPr>
                    <w:widowControl/>
                    <w:jc w:val="center"/>
                    <w:textAlignment w:val="center"/>
                    <w:rPr>
                      <w:szCs w:val="21"/>
                    </w:rPr>
                  </w:pPr>
                  <w:r>
                    <w:rPr>
                      <w:kern w:val="0"/>
                      <w:szCs w:val="21"/>
                    </w:rPr>
                    <w:t>13</w:t>
                  </w:r>
                </w:p>
              </w:tc>
              <w:tc>
                <w:tcPr>
                  <w:tcW w:w="394" w:type="pct"/>
                  <w:tcBorders>
                    <w:tl2br w:val="nil"/>
                    <w:tr2bl w:val="nil"/>
                  </w:tcBorders>
                  <w:vAlign w:val="center"/>
                </w:tcPr>
                <w:p w14:paraId="7A743088">
                  <w:pPr>
                    <w:widowControl/>
                    <w:jc w:val="center"/>
                    <w:textAlignment w:val="center"/>
                    <w:rPr>
                      <w:szCs w:val="21"/>
                    </w:rPr>
                  </w:pPr>
                  <w:r>
                    <w:rPr>
                      <w:kern w:val="0"/>
                      <w:szCs w:val="21"/>
                    </w:rPr>
                    <w:t>J13</w:t>
                  </w:r>
                </w:p>
              </w:tc>
              <w:tc>
                <w:tcPr>
                  <w:tcW w:w="1158" w:type="pct"/>
                  <w:tcBorders>
                    <w:tl2br w:val="nil"/>
                    <w:tr2bl w:val="nil"/>
                  </w:tcBorders>
                  <w:vAlign w:val="center"/>
                </w:tcPr>
                <w:p w14:paraId="3EFFF735">
                  <w:pPr>
                    <w:widowControl/>
                    <w:jc w:val="center"/>
                    <w:textAlignment w:val="center"/>
                    <w:rPr>
                      <w:szCs w:val="21"/>
                    </w:rPr>
                  </w:pPr>
                  <w:r>
                    <w:rPr>
                      <w:kern w:val="0"/>
                      <w:szCs w:val="21"/>
                    </w:rPr>
                    <w:t>E118°22′32.340″</w:t>
                  </w:r>
                </w:p>
              </w:tc>
              <w:tc>
                <w:tcPr>
                  <w:tcW w:w="1073" w:type="pct"/>
                  <w:tcBorders>
                    <w:tl2br w:val="nil"/>
                    <w:tr2bl w:val="nil"/>
                  </w:tcBorders>
                  <w:vAlign w:val="center"/>
                </w:tcPr>
                <w:p w14:paraId="11BC4F81">
                  <w:pPr>
                    <w:widowControl/>
                    <w:jc w:val="center"/>
                    <w:textAlignment w:val="center"/>
                    <w:rPr>
                      <w:szCs w:val="21"/>
                    </w:rPr>
                  </w:pPr>
                  <w:r>
                    <w:rPr>
                      <w:kern w:val="0"/>
                      <w:szCs w:val="21"/>
                    </w:rPr>
                    <w:t>N39°19′01.985″</w:t>
                  </w:r>
                </w:p>
              </w:tc>
              <w:tc>
                <w:tcPr>
                  <w:tcW w:w="889" w:type="pct"/>
                  <w:tcBorders>
                    <w:tl2br w:val="nil"/>
                    <w:tr2bl w:val="nil"/>
                  </w:tcBorders>
                  <w:vAlign w:val="center"/>
                </w:tcPr>
                <w:p w14:paraId="627A4DF2">
                  <w:pPr>
                    <w:adjustRightInd w:val="0"/>
                    <w:snapToGrid w:val="0"/>
                    <w:spacing w:line="0" w:lineRule="atLeast"/>
                    <w:jc w:val="center"/>
                    <w:rPr>
                      <w:szCs w:val="21"/>
                    </w:rPr>
                  </w:pPr>
                  <w:r>
                    <w:rPr>
                      <w:szCs w:val="21"/>
                    </w:rPr>
                    <w:t>坑塘水面、沟渠</w:t>
                  </w:r>
                </w:p>
              </w:tc>
              <w:tc>
                <w:tcPr>
                  <w:tcW w:w="605" w:type="pct"/>
                  <w:tcBorders>
                    <w:tl2br w:val="nil"/>
                    <w:tr2bl w:val="nil"/>
                  </w:tcBorders>
                  <w:vAlign w:val="center"/>
                </w:tcPr>
                <w:p w14:paraId="373EF19E">
                  <w:pPr>
                    <w:adjustRightInd w:val="0"/>
                    <w:snapToGrid w:val="0"/>
                    <w:spacing w:line="0" w:lineRule="atLeast"/>
                    <w:jc w:val="center"/>
                    <w:rPr>
                      <w:szCs w:val="21"/>
                    </w:rPr>
                  </w:pPr>
                  <w:r>
                    <w:rPr>
                      <w:szCs w:val="21"/>
                    </w:rPr>
                    <w:t>混塔</w:t>
                  </w:r>
                </w:p>
              </w:tc>
            </w:tr>
            <w:tr w14:paraId="4AE87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24B8D5A8">
                  <w:pPr>
                    <w:adjustRightInd w:val="0"/>
                    <w:snapToGrid w:val="0"/>
                    <w:spacing w:line="0" w:lineRule="atLeast"/>
                    <w:jc w:val="center"/>
                    <w:rPr>
                      <w:szCs w:val="21"/>
                    </w:rPr>
                  </w:pPr>
                </w:p>
              </w:tc>
              <w:tc>
                <w:tcPr>
                  <w:tcW w:w="441" w:type="pct"/>
                  <w:vMerge w:val="continue"/>
                  <w:tcBorders>
                    <w:tl2br w:val="nil"/>
                    <w:tr2bl w:val="nil"/>
                  </w:tcBorders>
                  <w:vAlign w:val="center"/>
                </w:tcPr>
                <w:p w14:paraId="555B9FC7">
                  <w:pPr>
                    <w:adjustRightInd w:val="0"/>
                    <w:snapToGrid w:val="0"/>
                    <w:spacing w:line="0" w:lineRule="atLeast"/>
                    <w:jc w:val="center"/>
                    <w:rPr>
                      <w:szCs w:val="21"/>
                    </w:rPr>
                  </w:pPr>
                </w:p>
              </w:tc>
              <w:tc>
                <w:tcPr>
                  <w:tcW w:w="235" w:type="pct"/>
                  <w:tcBorders>
                    <w:tl2br w:val="nil"/>
                    <w:tr2bl w:val="nil"/>
                  </w:tcBorders>
                  <w:vAlign w:val="center"/>
                </w:tcPr>
                <w:p w14:paraId="00D3A465">
                  <w:pPr>
                    <w:widowControl/>
                    <w:jc w:val="center"/>
                    <w:textAlignment w:val="center"/>
                    <w:rPr>
                      <w:szCs w:val="21"/>
                    </w:rPr>
                  </w:pPr>
                  <w:r>
                    <w:rPr>
                      <w:kern w:val="0"/>
                      <w:szCs w:val="21"/>
                    </w:rPr>
                    <w:t>14</w:t>
                  </w:r>
                </w:p>
              </w:tc>
              <w:tc>
                <w:tcPr>
                  <w:tcW w:w="394" w:type="pct"/>
                  <w:tcBorders>
                    <w:tl2br w:val="nil"/>
                    <w:tr2bl w:val="nil"/>
                  </w:tcBorders>
                  <w:vAlign w:val="center"/>
                </w:tcPr>
                <w:p w14:paraId="16846D82">
                  <w:pPr>
                    <w:widowControl/>
                    <w:jc w:val="center"/>
                    <w:textAlignment w:val="center"/>
                    <w:rPr>
                      <w:szCs w:val="21"/>
                    </w:rPr>
                  </w:pPr>
                  <w:r>
                    <w:rPr>
                      <w:kern w:val="0"/>
                      <w:szCs w:val="21"/>
                    </w:rPr>
                    <w:t>J14</w:t>
                  </w:r>
                </w:p>
              </w:tc>
              <w:tc>
                <w:tcPr>
                  <w:tcW w:w="1158" w:type="pct"/>
                  <w:tcBorders>
                    <w:tl2br w:val="nil"/>
                    <w:tr2bl w:val="nil"/>
                  </w:tcBorders>
                  <w:vAlign w:val="center"/>
                </w:tcPr>
                <w:p w14:paraId="01F0C462">
                  <w:pPr>
                    <w:widowControl/>
                    <w:jc w:val="center"/>
                    <w:textAlignment w:val="center"/>
                    <w:rPr>
                      <w:szCs w:val="21"/>
                    </w:rPr>
                  </w:pPr>
                  <w:r>
                    <w:rPr>
                      <w:kern w:val="0"/>
                      <w:szCs w:val="21"/>
                    </w:rPr>
                    <w:t>E118°22′33.341″</w:t>
                  </w:r>
                </w:p>
              </w:tc>
              <w:tc>
                <w:tcPr>
                  <w:tcW w:w="1073" w:type="pct"/>
                  <w:tcBorders>
                    <w:tl2br w:val="nil"/>
                    <w:tr2bl w:val="nil"/>
                  </w:tcBorders>
                  <w:vAlign w:val="center"/>
                </w:tcPr>
                <w:p w14:paraId="6DAF5E9D">
                  <w:pPr>
                    <w:widowControl/>
                    <w:jc w:val="center"/>
                    <w:textAlignment w:val="center"/>
                    <w:rPr>
                      <w:szCs w:val="21"/>
                    </w:rPr>
                  </w:pPr>
                  <w:r>
                    <w:rPr>
                      <w:kern w:val="0"/>
                      <w:szCs w:val="21"/>
                    </w:rPr>
                    <w:t>N39°18′44.600″</w:t>
                  </w:r>
                </w:p>
              </w:tc>
              <w:tc>
                <w:tcPr>
                  <w:tcW w:w="889" w:type="pct"/>
                  <w:tcBorders>
                    <w:tl2br w:val="nil"/>
                    <w:tr2bl w:val="nil"/>
                  </w:tcBorders>
                  <w:vAlign w:val="center"/>
                </w:tcPr>
                <w:p w14:paraId="18A6EF83">
                  <w:pPr>
                    <w:adjustRightInd w:val="0"/>
                    <w:snapToGrid w:val="0"/>
                    <w:spacing w:line="0" w:lineRule="atLeast"/>
                    <w:jc w:val="center"/>
                    <w:rPr>
                      <w:szCs w:val="21"/>
                    </w:rPr>
                  </w:pPr>
                  <w:r>
                    <w:rPr>
                      <w:szCs w:val="21"/>
                    </w:rPr>
                    <w:t>坑塘水面、沟渠</w:t>
                  </w:r>
                </w:p>
              </w:tc>
              <w:tc>
                <w:tcPr>
                  <w:tcW w:w="605" w:type="pct"/>
                  <w:tcBorders>
                    <w:tl2br w:val="nil"/>
                    <w:tr2bl w:val="nil"/>
                  </w:tcBorders>
                  <w:vAlign w:val="center"/>
                </w:tcPr>
                <w:p w14:paraId="2CB6E2B3">
                  <w:pPr>
                    <w:adjustRightInd w:val="0"/>
                    <w:snapToGrid w:val="0"/>
                    <w:spacing w:line="0" w:lineRule="atLeast"/>
                    <w:jc w:val="center"/>
                    <w:rPr>
                      <w:szCs w:val="21"/>
                    </w:rPr>
                  </w:pPr>
                  <w:r>
                    <w:rPr>
                      <w:szCs w:val="21"/>
                    </w:rPr>
                    <w:t>混塔</w:t>
                  </w:r>
                </w:p>
              </w:tc>
            </w:tr>
            <w:tr w14:paraId="751E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2979B1D0">
                  <w:pPr>
                    <w:adjustRightInd w:val="0"/>
                    <w:snapToGrid w:val="0"/>
                    <w:spacing w:line="0" w:lineRule="atLeast"/>
                    <w:jc w:val="center"/>
                    <w:rPr>
                      <w:szCs w:val="21"/>
                    </w:rPr>
                  </w:pPr>
                </w:p>
              </w:tc>
              <w:tc>
                <w:tcPr>
                  <w:tcW w:w="441" w:type="pct"/>
                  <w:vMerge w:val="continue"/>
                  <w:tcBorders>
                    <w:tl2br w:val="nil"/>
                    <w:tr2bl w:val="nil"/>
                  </w:tcBorders>
                  <w:vAlign w:val="center"/>
                </w:tcPr>
                <w:p w14:paraId="5753BFC8">
                  <w:pPr>
                    <w:adjustRightInd w:val="0"/>
                    <w:snapToGrid w:val="0"/>
                    <w:spacing w:line="0" w:lineRule="atLeast"/>
                    <w:jc w:val="center"/>
                    <w:rPr>
                      <w:szCs w:val="21"/>
                    </w:rPr>
                  </w:pPr>
                </w:p>
              </w:tc>
              <w:tc>
                <w:tcPr>
                  <w:tcW w:w="235" w:type="pct"/>
                  <w:tcBorders>
                    <w:tl2br w:val="nil"/>
                    <w:tr2bl w:val="nil"/>
                  </w:tcBorders>
                  <w:vAlign w:val="center"/>
                </w:tcPr>
                <w:p w14:paraId="4F3F15C2">
                  <w:pPr>
                    <w:widowControl/>
                    <w:jc w:val="center"/>
                    <w:textAlignment w:val="center"/>
                    <w:rPr>
                      <w:szCs w:val="21"/>
                    </w:rPr>
                  </w:pPr>
                  <w:r>
                    <w:rPr>
                      <w:kern w:val="0"/>
                      <w:szCs w:val="21"/>
                    </w:rPr>
                    <w:t>15</w:t>
                  </w:r>
                </w:p>
              </w:tc>
              <w:tc>
                <w:tcPr>
                  <w:tcW w:w="394" w:type="pct"/>
                  <w:tcBorders>
                    <w:tl2br w:val="nil"/>
                    <w:tr2bl w:val="nil"/>
                  </w:tcBorders>
                  <w:vAlign w:val="center"/>
                </w:tcPr>
                <w:p w14:paraId="32C36F0E">
                  <w:pPr>
                    <w:widowControl/>
                    <w:jc w:val="center"/>
                    <w:textAlignment w:val="center"/>
                    <w:rPr>
                      <w:szCs w:val="21"/>
                    </w:rPr>
                  </w:pPr>
                  <w:r>
                    <w:rPr>
                      <w:kern w:val="0"/>
                      <w:szCs w:val="21"/>
                    </w:rPr>
                    <w:t>J15</w:t>
                  </w:r>
                </w:p>
              </w:tc>
              <w:tc>
                <w:tcPr>
                  <w:tcW w:w="1158" w:type="pct"/>
                  <w:tcBorders>
                    <w:tl2br w:val="nil"/>
                    <w:tr2bl w:val="nil"/>
                  </w:tcBorders>
                  <w:vAlign w:val="center"/>
                </w:tcPr>
                <w:p w14:paraId="1A082843">
                  <w:pPr>
                    <w:widowControl/>
                    <w:jc w:val="center"/>
                    <w:textAlignment w:val="center"/>
                    <w:rPr>
                      <w:szCs w:val="21"/>
                    </w:rPr>
                  </w:pPr>
                  <w:r>
                    <w:rPr>
                      <w:kern w:val="0"/>
                      <w:szCs w:val="21"/>
                    </w:rPr>
                    <w:t>E118°16′30.468″</w:t>
                  </w:r>
                </w:p>
              </w:tc>
              <w:tc>
                <w:tcPr>
                  <w:tcW w:w="1073" w:type="pct"/>
                  <w:tcBorders>
                    <w:tl2br w:val="nil"/>
                    <w:tr2bl w:val="nil"/>
                  </w:tcBorders>
                  <w:vAlign w:val="center"/>
                </w:tcPr>
                <w:p w14:paraId="471242EA">
                  <w:pPr>
                    <w:widowControl/>
                    <w:jc w:val="center"/>
                    <w:textAlignment w:val="center"/>
                    <w:rPr>
                      <w:szCs w:val="21"/>
                    </w:rPr>
                  </w:pPr>
                  <w:r>
                    <w:rPr>
                      <w:kern w:val="0"/>
                      <w:szCs w:val="21"/>
                    </w:rPr>
                    <w:t>N39°18′36.997″</w:t>
                  </w:r>
                </w:p>
              </w:tc>
              <w:tc>
                <w:tcPr>
                  <w:tcW w:w="889" w:type="pct"/>
                  <w:tcBorders>
                    <w:tl2br w:val="nil"/>
                    <w:tr2bl w:val="nil"/>
                  </w:tcBorders>
                  <w:vAlign w:val="center"/>
                </w:tcPr>
                <w:p w14:paraId="163D32CE">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0BDCA19">
                  <w:pPr>
                    <w:adjustRightInd w:val="0"/>
                    <w:snapToGrid w:val="0"/>
                    <w:spacing w:line="0" w:lineRule="atLeast"/>
                    <w:jc w:val="center"/>
                    <w:rPr>
                      <w:szCs w:val="21"/>
                    </w:rPr>
                  </w:pPr>
                  <w:r>
                    <w:rPr>
                      <w:szCs w:val="21"/>
                    </w:rPr>
                    <w:t>混塔</w:t>
                  </w:r>
                </w:p>
              </w:tc>
            </w:tr>
            <w:tr w14:paraId="73956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352A383A">
                  <w:pPr>
                    <w:adjustRightInd w:val="0"/>
                    <w:snapToGrid w:val="0"/>
                    <w:spacing w:line="0" w:lineRule="atLeast"/>
                    <w:jc w:val="center"/>
                    <w:rPr>
                      <w:szCs w:val="21"/>
                    </w:rPr>
                  </w:pPr>
                </w:p>
              </w:tc>
              <w:tc>
                <w:tcPr>
                  <w:tcW w:w="441" w:type="pct"/>
                  <w:vMerge w:val="continue"/>
                  <w:tcBorders>
                    <w:tl2br w:val="nil"/>
                    <w:tr2bl w:val="nil"/>
                  </w:tcBorders>
                  <w:vAlign w:val="center"/>
                </w:tcPr>
                <w:p w14:paraId="3534F719">
                  <w:pPr>
                    <w:adjustRightInd w:val="0"/>
                    <w:snapToGrid w:val="0"/>
                    <w:spacing w:line="0" w:lineRule="atLeast"/>
                    <w:jc w:val="center"/>
                    <w:rPr>
                      <w:szCs w:val="21"/>
                    </w:rPr>
                  </w:pPr>
                </w:p>
              </w:tc>
              <w:tc>
                <w:tcPr>
                  <w:tcW w:w="235" w:type="pct"/>
                  <w:tcBorders>
                    <w:tl2br w:val="nil"/>
                    <w:tr2bl w:val="nil"/>
                  </w:tcBorders>
                  <w:vAlign w:val="center"/>
                </w:tcPr>
                <w:p w14:paraId="5E8E636A">
                  <w:pPr>
                    <w:widowControl/>
                    <w:jc w:val="center"/>
                    <w:textAlignment w:val="center"/>
                    <w:rPr>
                      <w:szCs w:val="21"/>
                    </w:rPr>
                  </w:pPr>
                  <w:r>
                    <w:rPr>
                      <w:kern w:val="0"/>
                      <w:szCs w:val="21"/>
                    </w:rPr>
                    <w:t>16</w:t>
                  </w:r>
                </w:p>
              </w:tc>
              <w:tc>
                <w:tcPr>
                  <w:tcW w:w="394" w:type="pct"/>
                  <w:tcBorders>
                    <w:tl2br w:val="nil"/>
                    <w:tr2bl w:val="nil"/>
                  </w:tcBorders>
                  <w:vAlign w:val="center"/>
                </w:tcPr>
                <w:p w14:paraId="31DA078B">
                  <w:pPr>
                    <w:widowControl/>
                    <w:jc w:val="center"/>
                    <w:textAlignment w:val="center"/>
                    <w:rPr>
                      <w:szCs w:val="21"/>
                    </w:rPr>
                  </w:pPr>
                  <w:r>
                    <w:rPr>
                      <w:kern w:val="0"/>
                      <w:szCs w:val="21"/>
                    </w:rPr>
                    <w:t>J16</w:t>
                  </w:r>
                </w:p>
              </w:tc>
              <w:tc>
                <w:tcPr>
                  <w:tcW w:w="1158" w:type="pct"/>
                  <w:tcBorders>
                    <w:tl2br w:val="nil"/>
                    <w:tr2bl w:val="nil"/>
                  </w:tcBorders>
                  <w:vAlign w:val="center"/>
                </w:tcPr>
                <w:p w14:paraId="0E30F893">
                  <w:pPr>
                    <w:widowControl/>
                    <w:jc w:val="center"/>
                    <w:textAlignment w:val="center"/>
                    <w:rPr>
                      <w:szCs w:val="21"/>
                    </w:rPr>
                  </w:pPr>
                  <w:r>
                    <w:rPr>
                      <w:kern w:val="0"/>
                      <w:szCs w:val="21"/>
                    </w:rPr>
                    <w:t>E118°16′06.467″</w:t>
                  </w:r>
                </w:p>
              </w:tc>
              <w:tc>
                <w:tcPr>
                  <w:tcW w:w="1073" w:type="pct"/>
                  <w:tcBorders>
                    <w:tl2br w:val="nil"/>
                    <w:tr2bl w:val="nil"/>
                  </w:tcBorders>
                  <w:vAlign w:val="center"/>
                </w:tcPr>
                <w:p w14:paraId="2BE88EAC">
                  <w:pPr>
                    <w:widowControl/>
                    <w:jc w:val="center"/>
                    <w:textAlignment w:val="center"/>
                    <w:rPr>
                      <w:szCs w:val="21"/>
                    </w:rPr>
                  </w:pPr>
                  <w:r>
                    <w:rPr>
                      <w:kern w:val="0"/>
                      <w:szCs w:val="21"/>
                    </w:rPr>
                    <w:t>N39°18′37.098″</w:t>
                  </w:r>
                </w:p>
              </w:tc>
              <w:tc>
                <w:tcPr>
                  <w:tcW w:w="889" w:type="pct"/>
                  <w:tcBorders>
                    <w:tl2br w:val="nil"/>
                    <w:tr2bl w:val="nil"/>
                  </w:tcBorders>
                  <w:vAlign w:val="center"/>
                </w:tcPr>
                <w:p w14:paraId="4E636584">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4EB810B6">
                  <w:pPr>
                    <w:adjustRightInd w:val="0"/>
                    <w:snapToGrid w:val="0"/>
                    <w:spacing w:line="0" w:lineRule="atLeast"/>
                    <w:jc w:val="center"/>
                    <w:rPr>
                      <w:szCs w:val="21"/>
                    </w:rPr>
                  </w:pPr>
                  <w:r>
                    <w:rPr>
                      <w:szCs w:val="21"/>
                    </w:rPr>
                    <w:t>混塔</w:t>
                  </w:r>
                </w:p>
              </w:tc>
            </w:tr>
            <w:tr w14:paraId="5FC85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1FCB98B1">
                  <w:pPr>
                    <w:adjustRightInd w:val="0"/>
                    <w:snapToGrid w:val="0"/>
                    <w:spacing w:line="0" w:lineRule="atLeast"/>
                    <w:jc w:val="center"/>
                    <w:rPr>
                      <w:szCs w:val="21"/>
                    </w:rPr>
                  </w:pPr>
                </w:p>
              </w:tc>
              <w:tc>
                <w:tcPr>
                  <w:tcW w:w="441" w:type="pct"/>
                  <w:vMerge w:val="continue"/>
                  <w:tcBorders>
                    <w:tl2br w:val="nil"/>
                    <w:tr2bl w:val="nil"/>
                  </w:tcBorders>
                  <w:vAlign w:val="center"/>
                </w:tcPr>
                <w:p w14:paraId="4E51F8CE">
                  <w:pPr>
                    <w:adjustRightInd w:val="0"/>
                    <w:snapToGrid w:val="0"/>
                    <w:spacing w:line="0" w:lineRule="atLeast"/>
                    <w:jc w:val="center"/>
                    <w:rPr>
                      <w:szCs w:val="21"/>
                    </w:rPr>
                  </w:pPr>
                </w:p>
              </w:tc>
              <w:tc>
                <w:tcPr>
                  <w:tcW w:w="235" w:type="pct"/>
                  <w:tcBorders>
                    <w:tl2br w:val="nil"/>
                    <w:tr2bl w:val="nil"/>
                  </w:tcBorders>
                  <w:vAlign w:val="center"/>
                </w:tcPr>
                <w:p w14:paraId="006F5093">
                  <w:pPr>
                    <w:widowControl/>
                    <w:jc w:val="center"/>
                    <w:textAlignment w:val="center"/>
                    <w:rPr>
                      <w:szCs w:val="21"/>
                    </w:rPr>
                  </w:pPr>
                  <w:r>
                    <w:rPr>
                      <w:kern w:val="0"/>
                      <w:szCs w:val="21"/>
                    </w:rPr>
                    <w:t>17</w:t>
                  </w:r>
                </w:p>
              </w:tc>
              <w:tc>
                <w:tcPr>
                  <w:tcW w:w="394" w:type="pct"/>
                  <w:tcBorders>
                    <w:tl2br w:val="nil"/>
                    <w:tr2bl w:val="nil"/>
                  </w:tcBorders>
                  <w:vAlign w:val="center"/>
                </w:tcPr>
                <w:p w14:paraId="12CC20FC">
                  <w:pPr>
                    <w:widowControl/>
                    <w:jc w:val="center"/>
                    <w:textAlignment w:val="center"/>
                    <w:rPr>
                      <w:szCs w:val="21"/>
                    </w:rPr>
                  </w:pPr>
                  <w:r>
                    <w:rPr>
                      <w:kern w:val="0"/>
                      <w:szCs w:val="21"/>
                    </w:rPr>
                    <w:t>J17</w:t>
                  </w:r>
                </w:p>
              </w:tc>
              <w:tc>
                <w:tcPr>
                  <w:tcW w:w="1158" w:type="pct"/>
                  <w:tcBorders>
                    <w:tl2br w:val="nil"/>
                    <w:tr2bl w:val="nil"/>
                  </w:tcBorders>
                  <w:vAlign w:val="center"/>
                </w:tcPr>
                <w:p w14:paraId="2CA8EEB4">
                  <w:pPr>
                    <w:widowControl/>
                    <w:jc w:val="center"/>
                    <w:textAlignment w:val="center"/>
                    <w:rPr>
                      <w:szCs w:val="21"/>
                    </w:rPr>
                  </w:pPr>
                  <w:r>
                    <w:rPr>
                      <w:kern w:val="0"/>
                      <w:szCs w:val="21"/>
                    </w:rPr>
                    <w:t>E118°22′34.687″</w:t>
                  </w:r>
                </w:p>
              </w:tc>
              <w:tc>
                <w:tcPr>
                  <w:tcW w:w="1073" w:type="pct"/>
                  <w:tcBorders>
                    <w:tl2br w:val="nil"/>
                    <w:tr2bl w:val="nil"/>
                  </w:tcBorders>
                  <w:vAlign w:val="center"/>
                </w:tcPr>
                <w:p w14:paraId="587F43B0">
                  <w:pPr>
                    <w:widowControl/>
                    <w:jc w:val="center"/>
                    <w:textAlignment w:val="center"/>
                    <w:rPr>
                      <w:szCs w:val="21"/>
                    </w:rPr>
                  </w:pPr>
                  <w:r>
                    <w:rPr>
                      <w:kern w:val="0"/>
                      <w:szCs w:val="21"/>
                    </w:rPr>
                    <w:t>N39°18′27.490″</w:t>
                  </w:r>
                </w:p>
              </w:tc>
              <w:tc>
                <w:tcPr>
                  <w:tcW w:w="889" w:type="pct"/>
                  <w:tcBorders>
                    <w:tl2br w:val="nil"/>
                    <w:tr2bl w:val="nil"/>
                  </w:tcBorders>
                  <w:vAlign w:val="center"/>
                </w:tcPr>
                <w:p w14:paraId="4D87870F">
                  <w:pPr>
                    <w:adjustRightInd w:val="0"/>
                    <w:snapToGrid w:val="0"/>
                    <w:spacing w:line="0" w:lineRule="atLeast"/>
                    <w:jc w:val="center"/>
                    <w:rPr>
                      <w:szCs w:val="21"/>
                    </w:rPr>
                  </w:pPr>
                  <w:r>
                    <w:rPr>
                      <w:szCs w:val="21"/>
                    </w:rPr>
                    <w:t>坑塘水面、沟渠</w:t>
                  </w:r>
                </w:p>
              </w:tc>
              <w:tc>
                <w:tcPr>
                  <w:tcW w:w="605" w:type="pct"/>
                  <w:tcBorders>
                    <w:tl2br w:val="nil"/>
                    <w:tr2bl w:val="nil"/>
                  </w:tcBorders>
                  <w:vAlign w:val="center"/>
                </w:tcPr>
                <w:p w14:paraId="09B043CA">
                  <w:pPr>
                    <w:adjustRightInd w:val="0"/>
                    <w:snapToGrid w:val="0"/>
                    <w:spacing w:line="0" w:lineRule="atLeast"/>
                    <w:jc w:val="center"/>
                    <w:rPr>
                      <w:szCs w:val="21"/>
                    </w:rPr>
                  </w:pPr>
                  <w:r>
                    <w:rPr>
                      <w:szCs w:val="21"/>
                    </w:rPr>
                    <w:t>混塔</w:t>
                  </w:r>
                </w:p>
              </w:tc>
            </w:tr>
            <w:tr w14:paraId="18271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01E24180">
                  <w:pPr>
                    <w:adjustRightInd w:val="0"/>
                    <w:snapToGrid w:val="0"/>
                    <w:spacing w:line="0" w:lineRule="atLeast"/>
                    <w:jc w:val="center"/>
                    <w:rPr>
                      <w:szCs w:val="21"/>
                    </w:rPr>
                  </w:pPr>
                </w:p>
              </w:tc>
              <w:tc>
                <w:tcPr>
                  <w:tcW w:w="441" w:type="pct"/>
                  <w:vMerge w:val="continue"/>
                  <w:tcBorders>
                    <w:tl2br w:val="nil"/>
                    <w:tr2bl w:val="nil"/>
                  </w:tcBorders>
                  <w:vAlign w:val="center"/>
                </w:tcPr>
                <w:p w14:paraId="3C5EC646">
                  <w:pPr>
                    <w:adjustRightInd w:val="0"/>
                    <w:snapToGrid w:val="0"/>
                    <w:spacing w:line="0" w:lineRule="atLeast"/>
                    <w:jc w:val="center"/>
                    <w:rPr>
                      <w:szCs w:val="21"/>
                    </w:rPr>
                  </w:pPr>
                </w:p>
              </w:tc>
              <w:tc>
                <w:tcPr>
                  <w:tcW w:w="235" w:type="pct"/>
                  <w:tcBorders>
                    <w:tl2br w:val="nil"/>
                    <w:tr2bl w:val="nil"/>
                  </w:tcBorders>
                  <w:vAlign w:val="center"/>
                </w:tcPr>
                <w:p w14:paraId="22CDCD39">
                  <w:pPr>
                    <w:widowControl/>
                    <w:jc w:val="center"/>
                    <w:textAlignment w:val="center"/>
                    <w:rPr>
                      <w:szCs w:val="21"/>
                    </w:rPr>
                  </w:pPr>
                  <w:r>
                    <w:rPr>
                      <w:kern w:val="0"/>
                      <w:szCs w:val="21"/>
                    </w:rPr>
                    <w:t>18</w:t>
                  </w:r>
                </w:p>
              </w:tc>
              <w:tc>
                <w:tcPr>
                  <w:tcW w:w="394" w:type="pct"/>
                  <w:tcBorders>
                    <w:tl2br w:val="nil"/>
                    <w:tr2bl w:val="nil"/>
                  </w:tcBorders>
                  <w:vAlign w:val="center"/>
                </w:tcPr>
                <w:p w14:paraId="7B3AB5BF">
                  <w:pPr>
                    <w:widowControl/>
                    <w:jc w:val="center"/>
                    <w:textAlignment w:val="center"/>
                    <w:rPr>
                      <w:szCs w:val="21"/>
                    </w:rPr>
                  </w:pPr>
                  <w:r>
                    <w:rPr>
                      <w:kern w:val="0"/>
                      <w:szCs w:val="21"/>
                    </w:rPr>
                    <w:t>J18</w:t>
                  </w:r>
                </w:p>
              </w:tc>
              <w:tc>
                <w:tcPr>
                  <w:tcW w:w="1158" w:type="pct"/>
                  <w:tcBorders>
                    <w:tl2br w:val="nil"/>
                    <w:tr2bl w:val="nil"/>
                  </w:tcBorders>
                  <w:vAlign w:val="center"/>
                </w:tcPr>
                <w:p w14:paraId="37410E21">
                  <w:pPr>
                    <w:widowControl/>
                    <w:jc w:val="center"/>
                    <w:textAlignment w:val="center"/>
                    <w:rPr>
                      <w:szCs w:val="21"/>
                    </w:rPr>
                  </w:pPr>
                  <w:r>
                    <w:rPr>
                      <w:kern w:val="0"/>
                      <w:szCs w:val="21"/>
                    </w:rPr>
                    <w:t>E118°22′35.861″</w:t>
                  </w:r>
                </w:p>
              </w:tc>
              <w:tc>
                <w:tcPr>
                  <w:tcW w:w="1073" w:type="pct"/>
                  <w:tcBorders>
                    <w:tl2br w:val="nil"/>
                    <w:tr2bl w:val="nil"/>
                  </w:tcBorders>
                  <w:vAlign w:val="center"/>
                </w:tcPr>
                <w:p w14:paraId="06D736DD">
                  <w:pPr>
                    <w:widowControl/>
                    <w:jc w:val="center"/>
                    <w:textAlignment w:val="center"/>
                    <w:rPr>
                      <w:szCs w:val="21"/>
                    </w:rPr>
                  </w:pPr>
                  <w:r>
                    <w:rPr>
                      <w:kern w:val="0"/>
                      <w:szCs w:val="21"/>
                    </w:rPr>
                    <w:t>N39°18′09.799″</w:t>
                  </w:r>
                </w:p>
              </w:tc>
              <w:tc>
                <w:tcPr>
                  <w:tcW w:w="889" w:type="pct"/>
                  <w:tcBorders>
                    <w:tl2br w:val="nil"/>
                    <w:tr2bl w:val="nil"/>
                  </w:tcBorders>
                  <w:vAlign w:val="center"/>
                </w:tcPr>
                <w:p w14:paraId="08188C10">
                  <w:pPr>
                    <w:adjustRightInd w:val="0"/>
                    <w:snapToGrid w:val="0"/>
                    <w:spacing w:line="0" w:lineRule="atLeast"/>
                    <w:jc w:val="center"/>
                    <w:rPr>
                      <w:szCs w:val="21"/>
                    </w:rPr>
                  </w:pPr>
                  <w:r>
                    <w:rPr>
                      <w:szCs w:val="21"/>
                    </w:rPr>
                    <w:t>农村道路、坑塘水面、沟渠</w:t>
                  </w:r>
                </w:p>
              </w:tc>
              <w:tc>
                <w:tcPr>
                  <w:tcW w:w="605" w:type="pct"/>
                  <w:tcBorders>
                    <w:tl2br w:val="nil"/>
                    <w:tr2bl w:val="nil"/>
                  </w:tcBorders>
                  <w:vAlign w:val="center"/>
                </w:tcPr>
                <w:p w14:paraId="2AE112DF">
                  <w:pPr>
                    <w:adjustRightInd w:val="0"/>
                    <w:snapToGrid w:val="0"/>
                    <w:spacing w:line="0" w:lineRule="atLeast"/>
                    <w:jc w:val="center"/>
                    <w:rPr>
                      <w:szCs w:val="21"/>
                    </w:rPr>
                  </w:pPr>
                  <w:r>
                    <w:rPr>
                      <w:szCs w:val="21"/>
                    </w:rPr>
                    <w:t>混塔</w:t>
                  </w:r>
                </w:p>
              </w:tc>
            </w:tr>
            <w:tr w14:paraId="453CC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02" w:type="pct"/>
                  <w:vMerge w:val="continue"/>
                  <w:tcBorders>
                    <w:tl2br w:val="nil"/>
                    <w:tr2bl w:val="nil"/>
                  </w:tcBorders>
                  <w:vAlign w:val="center"/>
                </w:tcPr>
                <w:p w14:paraId="43CF49ED">
                  <w:pPr>
                    <w:adjustRightInd w:val="0"/>
                    <w:snapToGrid w:val="0"/>
                    <w:spacing w:line="0" w:lineRule="atLeast"/>
                    <w:jc w:val="center"/>
                    <w:rPr>
                      <w:szCs w:val="21"/>
                    </w:rPr>
                  </w:pPr>
                </w:p>
              </w:tc>
              <w:tc>
                <w:tcPr>
                  <w:tcW w:w="441" w:type="pct"/>
                  <w:vMerge w:val="continue"/>
                  <w:tcBorders>
                    <w:tl2br w:val="nil"/>
                    <w:tr2bl w:val="nil"/>
                  </w:tcBorders>
                  <w:vAlign w:val="center"/>
                </w:tcPr>
                <w:p w14:paraId="15B26D03">
                  <w:pPr>
                    <w:adjustRightInd w:val="0"/>
                    <w:snapToGrid w:val="0"/>
                    <w:spacing w:line="0" w:lineRule="atLeast"/>
                    <w:jc w:val="center"/>
                    <w:rPr>
                      <w:szCs w:val="21"/>
                    </w:rPr>
                  </w:pPr>
                </w:p>
              </w:tc>
              <w:tc>
                <w:tcPr>
                  <w:tcW w:w="235" w:type="pct"/>
                  <w:tcBorders>
                    <w:tl2br w:val="nil"/>
                    <w:tr2bl w:val="nil"/>
                  </w:tcBorders>
                  <w:vAlign w:val="center"/>
                </w:tcPr>
                <w:p w14:paraId="64353F7B">
                  <w:pPr>
                    <w:widowControl/>
                    <w:jc w:val="center"/>
                    <w:textAlignment w:val="center"/>
                    <w:rPr>
                      <w:szCs w:val="21"/>
                    </w:rPr>
                  </w:pPr>
                  <w:r>
                    <w:rPr>
                      <w:kern w:val="0"/>
                      <w:szCs w:val="21"/>
                    </w:rPr>
                    <w:t>19</w:t>
                  </w:r>
                </w:p>
              </w:tc>
              <w:tc>
                <w:tcPr>
                  <w:tcW w:w="394" w:type="pct"/>
                  <w:tcBorders>
                    <w:tl2br w:val="nil"/>
                    <w:tr2bl w:val="nil"/>
                  </w:tcBorders>
                  <w:vAlign w:val="center"/>
                </w:tcPr>
                <w:p w14:paraId="510D23FE">
                  <w:pPr>
                    <w:widowControl/>
                    <w:jc w:val="center"/>
                    <w:textAlignment w:val="center"/>
                    <w:rPr>
                      <w:szCs w:val="21"/>
                    </w:rPr>
                  </w:pPr>
                  <w:r>
                    <w:rPr>
                      <w:kern w:val="0"/>
                      <w:szCs w:val="21"/>
                    </w:rPr>
                    <w:t>J19</w:t>
                  </w:r>
                </w:p>
              </w:tc>
              <w:tc>
                <w:tcPr>
                  <w:tcW w:w="1158" w:type="pct"/>
                  <w:tcBorders>
                    <w:tl2br w:val="nil"/>
                    <w:tr2bl w:val="nil"/>
                  </w:tcBorders>
                  <w:vAlign w:val="center"/>
                </w:tcPr>
                <w:p w14:paraId="26C1F338">
                  <w:pPr>
                    <w:widowControl/>
                    <w:jc w:val="center"/>
                    <w:textAlignment w:val="center"/>
                    <w:rPr>
                      <w:szCs w:val="21"/>
                    </w:rPr>
                  </w:pPr>
                  <w:r>
                    <w:rPr>
                      <w:kern w:val="0"/>
                      <w:szCs w:val="21"/>
                    </w:rPr>
                    <w:t>E118°21′55.732″</w:t>
                  </w:r>
                </w:p>
              </w:tc>
              <w:tc>
                <w:tcPr>
                  <w:tcW w:w="1073" w:type="pct"/>
                  <w:tcBorders>
                    <w:tl2br w:val="nil"/>
                    <w:tr2bl w:val="nil"/>
                  </w:tcBorders>
                  <w:vAlign w:val="center"/>
                </w:tcPr>
                <w:p w14:paraId="4D918678">
                  <w:pPr>
                    <w:widowControl/>
                    <w:jc w:val="center"/>
                    <w:textAlignment w:val="center"/>
                    <w:rPr>
                      <w:szCs w:val="21"/>
                    </w:rPr>
                  </w:pPr>
                  <w:r>
                    <w:rPr>
                      <w:kern w:val="0"/>
                      <w:szCs w:val="21"/>
                    </w:rPr>
                    <w:t>N39°18′10.102″</w:t>
                  </w:r>
                </w:p>
              </w:tc>
              <w:tc>
                <w:tcPr>
                  <w:tcW w:w="889" w:type="pct"/>
                  <w:tcBorders>
                    <w:tl2br w:val="nil"/>
                    <w:tr2bl w:val="nil"/>
                  </w:tcBorders>
                  <w:vAlign w:val="center"/>
                </w:tcPr>
                <w:p w14:paraId="651E0183">
                  <w:pPr>
                    <w:adjustRightInd w:val="0"/>
                    <w:snapToGrid w:val="0"/>
                    <w:spacing w:line="0" w:lineRule="atLeast"/>
                    <w:jc w:val="center"/>
                    <w:rPr>
                      <w:szCs w:val="21"/>
                    </w:rPr>
                  </w:pPr>
                  <w:r>
                    <w:rPr>
                      <w:szCs w:val="21"/>
                    </w:rPr>
                    <w:t>农村道路、坑塘水面</w:t>
                  </w:r>
                </w:p>
              </w:tc>
              <w:tc>
                <w:tcPr>
                  <w:tcW w:w="605" w:type="pct"/>
                  <w:tcBorders>
                    <w:tl2br w:val="nil"/>
                    <w:tr2bl w:val="nil"/>
                  </w:tcBorders>
                  <w:vAlign w:val="center"/>
                </w:tcPr>
                <w:p w14:paraId="584C6543">
                  <w:pPr>
                    <w:adjustRightInd w:val="0"/>
                    <w:snapToGrid w:val="0"/>
                    <w:spacing w:line="0" w:lineRule="atLeast"/>
                    <w:jc w:val="center"/>
                    <w:rPr>
                      <w:szCs w:val="21"/>
                    </w:rPr>
                  </w:pPr>
                  <w:r>
                    <w:rPr>
                      <w:szCs w:val="21"/>
                    </w:rPr>
                    <w:t>混塔</w:t>
                  </w:r>
                </w:p>
              </w:tc>
            </w:tr>
            <w:tr w14:paraId="79DE2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8524B4B">
                  <w:pPr>
                    <w:adjustRightInd w:val="0"/>
                    <w:snapToGrid w:val="0"/>
                    <w:spacing w:line="0" w:lineRule="atLeast"/>
                    <w:jc w:val="center"/>
                    <w:rPr>
                      <w:szCs w:val="21"/>
                    </w:rPr>
                  </w:pPr>
                </w:p>
              </w:tc>
              <w:tc>
                <w:tcPr>
                  <w:tcW w:w="441" w:type="pct"/>
                  <w:vMerge w:val="continue"/>
                  <w:tcBorders>
                    <w:tl2br w:val="nil"/>
                    <w:tr2bl w:val="nil"/>
                  </w:tcBorders>
                  <w:vAlign w:val="center"/>
                </w:tcPr>
                <w:p w14:paraId="4FE7E8CC">
                  <w:pPr>
                    <w:adjustRightInd w:val="0"/>
                    <w:snapToGrid w:val="0"/>
                    <w:spacing w:line="0" w:lineRule="atLeast"/>
                    <w:jc w:val="center"/>
                    <w:rPr>
                      <w:szCs w:val="21"/>
                    </w:rPr>
                  </w:pPr>
                </w:p>
              </w:tc>
              <w:tc>
                <w:tcPr>
                  <w:tcW w:w="235" w:type="pct"/>
                  <w:tcBorders>
                    <w:tl2br w:val="nil"/>
                    <w:tr2bl w:val="nil"/>
                  </w:tcBorders>
                  <w:vAlign w:val="center"/>
                </w:tcPr>
                <w:p w14:paraId="5E87450A">
                  <w:pPr>
                    <w:widowControl/>
                    <w:jc w:val="center"/>
                    <w:textAlignment w:val="center"/>
                    <w:rPr>
                      <w:szCs w:val="21"/>
                    </w:rPr>
                  </w:pPr>
                  <w:r>
                    <w:rPr>
                      <w:kern w:val="0"/>
                      <w:szCs w:val="21"/>
                    </w:rPr>
                    <w:t>20</w:t>
                  </w:r>
                </w:p>
              </w:tc>
              <w:tc>
                <w:tcPr>
                  <w:tcW w:w="394" w:type="pct"/>
                  <w:tcBorders>
                    <w:tl2br w:val="nil"/>
                    <w:tr2bl w:val="nil"/>
                  </w:tcBorders>
                  <w:vAlign w:val="center"/>
                </w:tcPr>
                <w:p w14:paraId="5FE265E4">
                  <w:pPr>
                    <w:widowControl/>
                    <w:jc w:val="center"/>
                    <w:textAlignment w:val="center"/>
                    <w:rPr>
                      <w:szCs w:val="21"/>
                    </w:rPr>
                  </w:pPr>
                  <w:r>
                    <w:rPr>
                      <w:kern w:val="0"/>
                      <w:szCs w:val="21"/>
                    </w:rPr>
                    <w:t>J20</w:t>
                  </w:r>
                </w:p>
              </w:tc>
              <w:tc>
                <w:tcPr>
                  <w:tcW w:w="1158" w:type="pct"/>
                  <w:tcBorders>
                    <w:tl2br w:val="nil"/>
                    <w:tr2bl w:val="nil"/>
                  </w:tcBorders>
                  <w:vAlign w:val="center"/>
                </w:tcPr>
                <w:p w14:paraId="26A7A29A">
                  <w:pPr>
                    <w:widowControl/>
                    <w:jc w:val="center"/>
                    <w:textAlignment w:val="center"/>
                    <w:rPr>
                      <w:szCs w:val="21"/>
                    </w:rPr>
                  </w:pPr>
                  <w:r>
                    <w:rPr>
                      <w:kern w:val="0"/>
                      <w:szCs w:val="21"/>
                    </w:rPr>
                    <w:t>E118°22′37.931″</w:t>
                  </w:r>
                </w:p>
              </w:tc>
              <w:tc>
                <w:tcPr>
                  <w:tcW w:w="1073" w:type="pct"/>
                  <w:tcBorders>
                    <w:tl2br w:val="nil"/>
                    <w:tr2bl w:val="nil"/>
                  </w:tcBorders>
                  <w:vAlign w:val="center"/>
                </w:tcPr>
                <w:p w14:paraId="71120AEB">
                  <w:pPr>
                    <w:widowControl/>
                    <w:jc w:val="center"/>
                    <w:textAlignment w:val="center"/>
                    <w:rPr>
                      <w:szCs w:val="21"/>
                    </w:rPr>
                  </w:pPr>
                  <w:r>
                    <w:rPr>
                      <w:kern w:val="0"/>
                      <w:szCs w:val="21"/>
                    </w:rPr>
                    <w:t>N39°17′38.573″</w:t>
                  </w:r>
                </w:p>
              </w:tc>
              <w:tc>
                <w:tcPr>
                  <w:tcW w:w="889" w:type="pct"/>
                  <w:tcBorders>
                    <w:tl2br w:val="nil"/>
                    <w:tr2bl w:val="nil"/>
                  </w:tcBorders>
                  <w:vAlign w:val="center"/>
                </w:tcPr>
                <w:p w14:paraId="7A44E814">
                  <w:pPr>
                    <w:adjustRightInd w:val="0"/>
                    <w:snapToGrid w:val="0"/>
                    <w:spacing w:line="0" w:lineRule="atLeast"/>
                    <w:jc w:val="center"/>
                    <w:rPr>
                      <w:szCs w:val="21"/>
                    </w:rPr>
                  </w:pPr>
                  <w:r>
                    <w:rPr>
                      <w:szCs w:val="21"/>
                    </w:rPr>
                    <w:t>农村道路、沟渠</w:t>
                  </w:r>
                </w:p>
              </w:tc>
              <w:tc>
                <w:tcPr>
                  <w:tcW w:w="605" w:type="pct"/>
                  <w:tcBorders>
                    <w:tl2br w:val="nil"/>
                    <w:tr2bl w:val="nil"/>
                  </w:tcBorders>
                  <w:vAlign w:val="center"/>
                </w:tcPr>
                <w:p w14:paraId="12CB14A6">
                  <w:pPr>
                    <w:adjustRightInd w:val="0"/>
                    <w:snapToGrid w:val="0"/>
                    <w:spacing w:line="0" w:lineRule="atLeast"/>
                    <w:jc w:val="center"/>
                    <w:rPr>
                      <w:szCs w:val="21"/>
                    </w:rPr>
                  </w:pPr>
                  <w:r>
                    <w:rPr>
                      <w:szCs w:val="21"/>
                    </w:rPr>
                    <w:t>混塔</w:t>
                  </w:r>
                </w:p>
              </w:tc>
            </w:tr>
            <w:tr w14:paraId="7E40B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8B60BB6">
                  <w:pPr>
                    <w:adjustRightInd w:val="0"/>
                    <w:snapToGrid w:val="0"/>
                    <w:spacing w:line="0" w:lineRule="atLeast"/>
                    <w:jc w:val="center"/>
                    <w:rPr>
                      <w:szCs w:val="21"/>
                    </w:rPr>
                  </w:pPr>
                </w:p>
              </w:tc>
              <w:tc>
                <w:tcPr>
                  <w:tcW w:w="441" w:type="pct"/>
                  <w:vMerge w:val="continue"/>
                  <w:tcBorders>
                    <w:tl2br w:val="nil"/>
                    <w:tr2bl w:val="nil"/>
                  </w:tcBorders>
                  <w:vAlign w:val="center"/>
                </w:tcPr>
                <w:p w14:paraId="6EE58453">
                  <w:pPr>
                    <w:adjustRightInd w:val="0"/>
                    <w:snapToGrid w:val="0"/>
                    <w:spacing w:line="0" w:lineRule="atLeast"/>
                    <w:jc w:val="center"/>
                    <w:rPr>
                      <w:szCs w:val="21"/>
                    </w:rPr>
                  </w:pPr>
                </w:p>
              </w:tc>
              <w:tc>
                <w:tcPr>
                  <w:tcW w:w="235" w:type="pct"/>
                  <w:tcBorders>
                    <w:tl2br w:val="nil"/>
                    <w:tr2bl w:val="nil"/>
                  </w:tcBorders>
                  <w:vAlign w:val="center"/>
                </w:tcPr>
                <w:p w14:paraId="643E6D83">
                  <w:pPr>
                    <w:widowControl/>
                    <w:jc w:val="center"/>
                    <w:textAlignment w:val="center"/>
                    <w:rPr>
                      <w:szCs w:val="21"/>
                    </w:rPr>
                  </w:pPr>
                  <w:r>
                    <w:rPr>
                      <w:kern w:val="0"/>
                      <w:szCs w:val="21"/>
                    </w:rPr>
                    <w:t>21</w:t>
                  </w:r>
                </w:p>
              </w:tc>
              <w:tc>
                <w:tcPr>
                  <w:tcW w:w="394" w:type="pct"/>
                  <w:tcBorders>
                    <w:tl2br w:val="nil"/>
                    <w:tr2bl w:val="nil"/>
                  </w:tcBorders>
                  <w:vAlign w:val="center"/>
                </w:tcPr>
                <w:p w14:paraId="673A22CB">
                  <w:pPr>
                    <w:widowControl/>
                    <w:jc w:val="center"/>
                    <w:textAlignment w:val="center"/>
                    <w:rPr>
                      <w:szCs w:val="21"/>
                    </w:rPr>
                  </w:pPr>
                  <w:r>
                    <w:rPr>
                      <w:kern w:val="0"/>
                      <w:szCs w:val="21"/>
                    </w:rPr>
                    <w:t>J21</w:t>
                  </w:r>
                </w:p>
              </w:tc>
              <w:tc>
                <w:tcPr>
                  <w:tcW w:w="1158" w:type="pct"/>
                  <w:tcBorders>
                    <w:tl2br w:val="nil"/>
                    <w:tr2bl w:val="nil"/>
                  </w:tcBorders>
                  <w:vAlign w:val="center"/>
                </w:tcPr>
                <w:p w14:paraId="1218C7E5">
                  <w:pPr>
                    <w:widowControl/>
                    <w:jc w:val="center"/>
                    <w:textAlignment w:val="center"/>
                    <w:rPr>
                      <w:szCs w:val="21"/>
                    </w:rPr>
                  </w:pPr>
                  <w:r>
                    <w:rPr>
                      <w:kern w:val="0"/>
                      <w:szCs w:val="21"/>
                    </w:rPr>
                    <w:t>E118°22′09.660″</w:t>
                  </w:r>
                </w:p>
              </w:tc>
              <w:tc>
                <w:tcPr>
                  <w:tcW w:w="1073" w:type="pct"/>
                  <w:tcBorders>
                    <w:tl2br w:val="nil"/>
                    <w:tr2bl w:val="nil"/>
                  </w:tcBorders>
                  <w:vAlign w:val="center"/>
                </w:tcPr>
                <w:p w14:paraId="5205F05F">
                  <w:pPr>
                    <w:widowControl/>
                    <w:jc w:val="center"/>
                    <w:textAlignment w:val="center"/>
                    <w:rPr>
                      <w:szCs w:val="21"/>
                    </w:rPr>
                  </w:pPr>
                  <w:r>
                    <w:rPr>
                      <w:kern w:val="0"/>
                      <w:szCs w:val="21"/>
                    </w:rPr>
                    <w:t>N39°17′30.649″</w:t>
                  </w:r>
                </w:p>
              </w:tc>
              <w:tc>
                <w:tcPr>
                  <w:tcW w:w="889" w:type="pct"/>
                  <w:tcBorders>
                    <w:tl2br w:val="nil"/>
                    <w:tr2bl w:val="nil"/>
                  </w:tcBorders>
                  <w:vAlign w:val="center"/>
                </w:tcPr>
                <w:p w14:paraId="1C0C500C">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9D8EE16">
                  <w:pPr>
                    <w:adjustRightInd w:val="0"/>
                    <w:snapToGrid w:val="0"/>
                    <w:spacing w:line="0" w:lineRule="atLeast"/>
                    <w:jc w:val="center"/>
                    <w:rPr>
                      <w:szCs w:val="21"/>
                    </w:rPr>
                  </w:pPr>
                  <w:r>
                    <w:rPr>
                      <w:szCs w:val="21"/>
                    </w:rPr>
                    <w:t>混塔</w:t>
                  </w:r>
                </w:p>
              </w:tc>
            </w:tr>
            <w:tr w14:paraId="2C9CA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C44CEE8">
                  <w:pPr>
                    <w:adjustRightInd w:val="0"/>
                    <w:snapToGrid w:val="0"/>
                    <w:spacing w:line="0" w:lineRule="atLeast"/>
                    <w:jc w:val="center"/>
                    <w:rPr>
                      <w:szCs w:val="21"/>
                    </w:rPr>
                  </w:pPr>
                </w:p>
              </w:tc>
              <w:tc>
                <w:tcPr>
                  <w:tcW w:w="441" w:type="pct"/>
                  <w:vMerge w:val="continue"/>
                  <w:tcBorders>
                    <w:tl2br w:val="nil"/>
                    <w:tr2bl w:val="nil"/>
                  </w:tcBorders>
                  <w:vAlign w:val="center"/>
                </w:tcPr>
                <w:p w14:paraId="0E85601B">
                  <w:pPr>
                    <w:adjustRightInd w:val="0"/>
                    <w:snapToGrid w:val="0"/>
                    <w:spacing w:line="0" w:lineRule="atLeast"/>
                    <w:jc w:val="center"/>
                    <w:rPr>
                      <w:szCs w:val="21"/>
                    </w:rPr>
                  </w:pPr>
                </w:p>
              </w:tc>
              <w:tc>
                <w:tcPr>
                  <w:tcW w:w="235" w:type="pct"/>
                  <w:tcBorders>
                    <w:tl2br w:val="nil"/>
                    <w:tr2bl w:val="nil"/>
                  </w:tcBorders>
                  <w:vAlign w:val="center"/>
                </w:tcPr>
                <w:p w14:paraId="3BEEA49B">
                  <w:pPr>
                    <w:widowControl/>
                    <w:jc w:val="center"/>
                    <w:textAlignment w:val="center"/>
                    <w:rPr>
                      <w:szCs w:val="21"/>
                    </w:rPr>
                  </w:pPr>
                  <w:r>
                    <w:rPr>
                      <w:kern w:val="0"/>
                      <w:szCs w:val="21"/>
                    </w:rPr>
                    <w:t>22</w:t>
                  </w:r>
                </w:p>
              </w:tc>
              <w:tc>
                <w:tcPr>
                  <w:tcW w:w="394" w:type="pct"/>
                  <w:tcBorders>
                    <w:tl2br w:val="nil"/>
                    <w:tr2bl w:val="nil"/>
                  </w:tcBorders>
                  <w:vAlign w:val="center"/>
                </w:tcPr>
                <w:p w14:paraId="50E324A9">
                  <w:pPr>
                    <w:widowControl/>
                    <w:jc w:val="center"/>
                    <w:textAlignment w:val="center"/>
                    <w:rPr>
                      <w:szCs w:val="21"/>
                    </w:rPr>
                  </w:pPr>
                  <w:r>
                    <w:rPr>
                      <w:kern w:val="0"/>
                      <w:szCs w:val="21"/>
                    </w:rPr>
                    <w:t>J22</w:t>
                  </w:r>
                </w:p>
              </w:tc>
              <w:tc>
                <w:tcPr>
                  <w:tcW w:w="1158" w:type="pct"/>
                  <w:tcBorders>
                    <w:tl2br w:val="nil"/>
                    <w:tr2bl w:val="nil"/>
                  </w:tcBorders>
                  <w:vAlign w:val="center"/>
                </w:tcPr>
                <w:p w14:paraId="11909E37">
                  <w:pPr>
                    <w:widowControl/>
                    <w:jc w:val="center"/>
                    <w:textAlignment w:val="center"/>
                    <w:rPr>
                      <w:szCs w:val="21"/>
                    </w:rPr>
                  </w:pPr>
                  <w:r>
                    <w:rPr>
                      <w:kern w:val="0"/>
                      <w:szCs w:val="21"/>
                    </w:rPr>
                    <w:t>E118°21′59.062″</w:t>
                  </w:r>
                </w:p>
              </w:tc>
              <w:tc>
                <w:tcPr>
                  <w:tcW w:w="1073" w:type="pct"/>
                  <w:tcBorders>
                    <w:tl2br w:val="nil"/>
                    <w:tr2bl w:val="nil"/>
                  </w:tcBorders>
                  <w:vAlign w:val="center"/>
                </w:tcPr>
                <w:p w14:paraId="679DC0B4">
                  <w:pPr>
                    <w:widowControl/>
                    <w:jc w:val="center"/>
                    <w:textAlignment w:val="center"/>
                    <w:rPr>
                      <w:szCs w:val="21"/>
                    </w:rPr>
                  </w:pPr>
                  <w:r>
                    <w:rPr>
                      <w:kern w:val="0"/>
                      <w:szCs w:val="21"/>
                    </w:rPr>
                    <w:t>N39°17′15.583″</w:t>
                  </w:r>
                </w:p>
              </w:tc>
              <w:tc>
                <w:tcPr>
                  <w:tcW w:w="889" w:type="pct"/>
                  <w:tcBorders>
                    <w:tl2br w:val="nil"/>
                    <w:tr2bl w:val="nil"/>
                  </w:tcBorders>
                  <w:vAlign w:val="center"/>
                </w:tcPr>
                <w:p w14:paraId="13DB82DE">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5B7AE1ED">
                  <w:pPr>
                    <w:adjustRightInd w:val="0"/>
                    <w:snapToGrid w:val="0"/>
                    <w:spacing w:line="0" w:lineRule="atLeast"/>
                    <w:jc w:val="center"/>
                    <w:rPr>
                      <w:szCs w:val="21"/>
                    </w:rPr>
                  </w:pPr>
                  <w:r>
                    <w:rPr>
                      <w:szCs w:val="21"/>
                    </w:rPr>
                    <w:t>混塔</w:t>
                  </w:r>
                </w:p>
              </w:tc>
            </w:tr>
            <w:tr w14:paraId="4B356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47F9761A">
                  <w:pPr>
                    <w:adjustRightInd w:val="0"/>
                    <w:snapToGrid w:val="0"/>
                    <w:spacing w:line="0" w:lineRule="atLeast"/>
                    <w:jc w:val="center"/>
                    <w:rPr>
                      <w:szCs w:val="21"/>
                    </w:rPr>
                  </w:pPr>
                </w:p>
              </w:tc>
              <w:tc>
                <w:tcPr>
                  <w:tcW w:w="441" w:type="pct"/>
                  <w:vMerge w:val="continue"/>
                  <w:tcBorders>
                    <w:tl2br w:val="nil"/>
                    <w:tr2bl w:val="nil"/>
                  </w:tcBorders>
                  <w:vAlign w:val="center"/>
                </w:tcPr>
                <w:p w14:paraId="3F68C3D5">
                  <w:pPr>
                    <w:adjustRightInd w:val="0"/>
                    <w:snapToGrid w:val="0"/>
                    <w:spacing w:line="0" w:lineRule="atLeast"/>
                    <w:jc w:val="center"/>
                    <w:rPr>
                      <w:szCs w:val="21"/>
                    </w:rPr>
                  </w:pPr>
                </w:p>
              </w:tc>
              <w:tc>
                <w:tcPr>
                  <w:tcW w:w="235" w:type="pct"/>
                  <w:tcBorders>
                    <w:tl2br w:val="nil"/>
                    <w:tr2bl w:val="nil"/>
                  </w:tcBorders>
                  <w:vAlign w:val="center"/>
                </w:tcPr>
                <w:p w14:paraId="5ED39B85">
                  <w:pPr>
                    <w:widowControl/>
                    <w:jc w:val="center"/>
                    <w:textAlignment w:val="center"/>
                    <w:rPr>
                      <w:szCs w:val="21"/>
                    </w:rPr>
                  </w:pPr>
                  <w:r>
                    <w:rPr>
                      <w:kern w:val="0"/>
                      <w:szCs w:val="21"/>
                    </w:rPr>
                    <w:t>23</w:t>
                  </w:r>
                </w:p>
              </w:tc>
              <w:tc>
                <w:tcPr>
                  <w:tcW w:w="394" w:type="pct"/>
                  <w:tcBorders>
                    <w:tl2br w:val="nil"/>
                    <w:tr2bl w:val="nil"/>
                  </w:tcBorders>
                  <w:vAlign w:val="center"/>
                </w:tcPr>
                <w:p w14:paraId="2AC8013E">
                  <w:pPr>
                    <w:widowControl/>
                    <w:jc w:val="center"/>
                    <w:textAlignment w:val="center"/>
                    <w:rPr>
                      <w:szCs w:val="21"/>
                    </w:rPr>
                  </w:pPr>
                  <w:r>
                    <w:rPr>
                      <w:kern w:val="0"/>
                      <w:szCs w:val="21"/>
                    </w:rPr>
                    <w:t>J23</w:t>
                  </w:r>
                </w:p>
              </w:tc>
              <w:tc>
                <w:tcPr>
                  <w:tcW w:w="1158" w:type="pct"/>
                  <w:tcBorders>
                    <w:tl2br w:val="nil"/>
                    <w:tr2bl w:val="nil"/>
                  </w:tcBorders>
                  <w:vAlign w:val="center"/>
                </w:tcPr>
                <w:p w14:paraId="7A4FA411">
                  <w:pPr>
                    <w:widowControl/>
                    <w:jc w:val="center"/>
                    <w:textAlignment w:val="center"/>
                    <w:rPr>
                      <w:szCs w:val="21"/>
                    </w:rPr>
                  </w:pPr>
                  <w:r>
                    <w:rPr>
                      <w:kern w:val="0"/>
                      <w:szCs w:val="21"/>
                    </w:rPr>
                    <w:t>E118°27′35.881″</w:t>
                  </w:r>
                </w:p>
              </w:tc>
              <w:tc>
                <w:tcPr>
                  <w:tcW w:w="1073" w:type="pct"/>
                  <w:tcBorders>
                    <w:tl2br w:val="nil"/>
                    <w:tr2bl w:val="nil"/>
                  </w:tcBorders>
                  <w:vAlign w:val="center"/>
                </w:tcPr>
                <w:p w14:paraId="41C9D2F7">
                  <w:pPr>
                    <w:widowControl/>
                    <w:jc w:val="center"/>
                    <w:textAlignment w:val="center"/>
                    <w:rPr>
                      <w:szCs w:val="21"/>
                    </w:rPr>
                  </w:pPr>
                  <w:r>
                    <w:rPr>
                      <w:kern w:val="0"/>
                      <w:szCs w:val="21"/>
                    </w:rPr>
                    <w:t>N39°14′55.853″</w:t>
                  </w:r>
                </w:p>
              </w:tc>
              <w:tc>
                <w:tcPr>
                  <w:tcW w:w="889" w:type="pct"/>
                  <w:tcBorders>
                    <w:tl2br w:val="nil"/>
                    <w:tr2bl w:val="nil"/>
                  </w:tcBorders>
                  <w:vAlign w:val="center"/>
                </w:tcPr>
                <w:p w14:paraId="190D09CF">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77725575">
                  <w:pPr>
                    <w:adjustRightInd w:val="0"/>
                    <w:snapToGrid w:val="0"/>
                    <w:spacing w:line="0" w:lineRule="atLeast"/>
                    <w:jc w:val="center"/>
                    <w:rPr>
                      <w:szCs w:val="21"/>
                    </w:rPr>
                  </w:pPr>
                  <w:r>
                    <w:rPr>
                      <w:szCs w:val="21"/>
                    </w:rPr>
                    <w:t>混塔</w:t>
                  </w:r>
                </w:p>
              </w:tc>
            </w:tr>
            <w:tr w14:paraId="6A4A2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A753693">
                  <w:pPr>
                    <w:adjustRightInd w:val="0"/>
                    <w:snapToGrid w:val="0"/>
                    <w:spacing w:line="0" w:lineRule="atLeast"/>
                    <w:jc w:val="center"/>
                    <w:rPr>
                      <w:szCs w:val="21"/>
                    </w:rPr>
                  </w:pPr>
                </w:p>
              </w:tc>
              <w:tc>
                <w:tcPr>
                  <w:tcW w:w="441" w:type="pct"/>
                  <w:vMerge w:val="continue"/>
                  <w:tcBorders>
                    <w:tl2br w:val="nil"/>
                    <w:tr2bl w:val="nil"/>
                  </w:tcBorders>
                  <w:vAlign w:val="center"/>
                </w:tcPr>
                <w:p w14:paraId="03E2A473">
                  <w:pPr>
                    <w:adjustRightInd w:val="0"/>
                    <w:snapToGrid w:val="0"/>
                    <w:spacing w:line="0" w:lineRule="atLeast"/>
                    <w:jc w:val="center"/>
                    <w:rPr>
                      <w:szCs w:val="21"/>
                    </w:rPr>
                  </w:pPr>
                </w:p>
              </w:tc>
              <w:tc>
                <w:tcPr>
                  <w:tcW w:w="235" w:type="pct"/>
                  <w:tcBorders>
                    <w:tl2br w:val="nil"/>
                    <w:tr2bl w:val="nil"/>
                  </w:tcBorders>
                  <w:vAlign w:val="center"/>
                </w:tcPr>
                <w:p w14:paraId="72511A00">
                  <w:pPr>
                    <w:widowControl/>
                    <w:jc w:val="center"/>
                    <w:textAlignment w:val="center"/>
                    <w:rPr>
                      <w:szCs w:val="21"/>
                    </w:rPr>
                  </w:pPr>
                  <w:r>
                    <w:rPr>
                      <w:kern w:val="0"/>
                      <w:szCs w:val="21"/>
                    </w:rPr>
                    <w:t>24</w:t>
                  </w:r>
                </w:p>
              </w:tc>
              <w:tc>
                <w:tcPr>
                  <w:tcW w:w="394" w:type="pct"/>
                  <w:tcBorders>
                    <w:tl2br w:val="nil"/>
                    <w:tr2bl w:val="nil"/>
                  </w:tcBorders>
                  <w:vAlign w:val="center"/>
                </w:tcPr>
                <w:p w14:paraId="2CF436A5">
                  <w:pPr>
                    <w:widowControl/>
                    <w:jc w:val="center"/>
                    <w:textAlignment w:val="center"/>
                    <w:rPr>
                      <w:szCs w:val="21"/>
                    </w:rPr>
                  </w:pPr>
                  <w:r>
                    <w:rPr>
                      <w:kern w:val="0"/>
                      <w:szCs w:val="21"/>
                    </w:rPr>
                    <w:t>J24</w:t>
                  </w:r>
                </w:p>
              </w:tc>
              <w:tc>
                <w:tcPr>
                  <w:tcW w:w="1158" w:type="pct"/>
                  <w:tcBorders>
                    <w:tl2br w:val="nil"/>
                    <w:tr2bl w:val="nil"/>
                  </w:tcBorders>
                  <w:vAlign w:val="center"/>
                </w:tcPr>
                <w:p w14:paraId="17F19FD9">
                  <w:pPr>
                    <w:widowControl/>
                    <w:jc w:val="center"/>
                    <w:textAlignment w:val="center"/>
                    <w:rPr>
                      <w:szCs w:val="21"/>
                    </w:rPr>
                  </w:pPr>
                  <w:r>
                    <w:rPr>
                      <w:kern w:val="0"/>
                      <w:szCs w:val="21"/>
                    </w:rPr>
                    <w:t>E118°26′00.290″</w:t>
                  </w:r>
                </w:p>
              </w:tc>
              <w:tc>
                <w:tcPr>
                  <w:tcW w:w="1073" w:type="pct"/>
                  <w:tcBorders>
                    <w:tl2br w:val="nil"/>
                    <w:tr2bl w:val="nil"/>
                  </w:tcBorders>
                  <w:vAlign w:val="center"/>
                </w:tcPr>
                <w:p w14:paraId="3A4405A3">
                  <w:pPr>
                    <w:widowControl/>
                    <w:jc w:val="center"/>
                    <w:textAlignment w:val="center"/>
                    <w:rPr>
                      <w:szCs w:val="21"/>
                    </w:rPr>
                  </w:pPr>
                  <w:r>
                    <w:rPr>
                      <w:kern w:val="0"/>
                      <w:szCs w:val="21"/>
                    </w:rPr>
                    <w:t>N39°14′49.718″</w:t>
                  </w:r>
                </w:p>
              </w:tc>
              <w:tc>
                <w:tcPr>
                  <w:tcW w:w="889" w:type="pct"/>
                  <w:tcBorders>
                    <w:tl2br w:val="nil"/>
                    <w:tr2bl w:val="nil"/>
                  </w:tcBorders>
                  <w:vAlign w:val="center"/>
                </w:tcPr>
                <w:p w14:paraId="039D9A9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13D2789F">
                  <w:pPr>
                    <w:adjustRightInd w:val="0"/>
                    <w:snapToGrid w:val="0"/>
                    <w:spacing w:line="0" w:lineRule="atLeast"/>
                    <w:jc w:val="center"/>
                    <w:rPr>
                      <w:szCs w:val="21"/>
                    </w:rPr>
                  </w:pPr>
                  <w:r>
                    <w:rPr>
                      <w:szCs w:val="21"/>
                    </w:rPr>
                    <w:t>混塔</w:t>
                  </w:r>
                </w:p>
              </w:tc>
            </w:tr>
            <w:tr w14:paraId="4AB4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FB4110F">
                  <w:pPr>
                    <w:adjustRightInd w:val="0"/>
                    <w:snapToGrid w:val="0"/>
                    <w:spacing w:line="0" w:lineRule="atLeast"/>
                    <w:jc w:val="center"/>
                    <w:rPr>
                      <w:szCs w:val="21"/>
                    </w:rPr>
                  </w:pPr>
                </w:p>
              </w:tc>
              <w:tc>
                <w:tcPr>
                  <w:tcW w:w="441" w:type="pct"/>
                  <w:vMerge w:val="continue"/>
                  <w:tcBorders>
                    <w:tl2br w:val="nil"/>
                    <w:tr2bl w:val="nil"/>
                  </w:tcBorders>
                  <w:vAlign w:val="center"/>
                </w:tcPr>
                <w:p w14:paraId="3B07713D">
                  <w:pPr>
                    <w:adjustRightInd w:val="0"/>
                    <w:snapToGrid w:val="0"/>
                    <w:spacing w:line="0" w:lineRule="atLeast"/>
                    <w:jc w:val="center"/>
                    <w:rPr>
                      <w:szCs w:val="21"/>
                    </w:rPr>
                  </w:pPr>
                </w:p>
              </w:tc>
              <w:tc>
                <w:tcPr>
                  <w:tcW w:w="235" w:type="pct"/>
                  <w:tcBorders>
                    <w:tl2br w:val="nil"/>
                    <w:tr2bl w:val="nil"/>
                  </w:tcBorders>
                  <w:vAlign w:val="center"/>
                </w:tcPr>
                <w:p w14:paraId="40C4B9D6">
                  <w:pPr>
                    <w:widowControl/>
                    <w:jc w:val="center"/>
                    <w:textAlignment w:val="center"/>
                    <w:rPr>
                      <w:szCs w:val="21"/>
                    </w:rPr>
                  </w:pPr>
                  <w:r>
                    <w:rPr>
                      <w:kern w:val="0"/>
                      <w:szCs w:val="21"/>
                    </w:rPr>
                    <w:t>25</w:t>
                  </w:r>
                </w:p>
              </w:tc>
              <w:tc>
                <w:tcPr>
                  <w:tcW w:w="394" w:type="pct"/>
                  <w:tcBorders>
                    <w:tl2br w:val="nil"/>
                    <w:tr2bl w:val="nil"/>
                  </w:tcBorders>
                  <w:vAlign w:val="center"/>
                </w:tcPr>
                <w:p w14:paraId="4030E40F">
                  <w:pPr>
                    <w:widowControl/>
                    <w:jc w:val="center"/>
                    <w:textAlignment w:val="center"/>
                    <w:rPr>
                      <w:szCs w:val="21"/>
                    </w:rPr>
                  </w:pPr>
                  <w:r>
                    <w:rPr>
                      <w:kern w:val="0"/>
                      <w:szCs w:val="21"/>
                    </w:rPr>
                    <w:t>J25</w:t>
                  </w:r>
                </w:p>
              </w:tc>
              <w:tc>
                <w:tcPr>
                  <w:tcW w:w="1158" w:type="pct"/>
                  <w:tcBorders>
                    <w:tl2br w:val="nil"/>
                    <w:tr2bl w:val="nil"/>
                  </w:tcBorders>
                  <w:vAlign w:val="center"/>
                </w:tcPr>
                <w:p w14:paraId="230B4136">
                  <w:pPr>
                    <w:widowControl/>
                    <w:jc w:val="center"/>
                    <w:textAlignment w:val="center"/>
                    <w:rPr>
                      <w:szCs w:val="21"/>
                    </w:rPr>
                  </w:pPr>
                  <w:r>
                    <w:rPr>
                      <w:kern w:val="0"/>
                      <w:szCs w:val="21"/>
                    </w:rPr>
                    <w:t>E118°25′29.294″</w:t>
                  </w:r>
                </w:p>
              </w:tc>
              <w:tc>
                <w:tcPr>
                  <w:tcW w:w="1073" w:type="pct"/>
                  <w:tcBorders>
                    <w:tl2br w:val="nil"/>
                    <w:tr2bl w:val="nil"/>
                  </w:tcBorders>
                  <w:vAlign w:val="center"/>
                </w:tcPr>
                <w:p w14:paraId="63B5F321">
                  <w:pPr>
                    <w:widowControl/>
                    <w:jc w:val="center"/>
                    <w:textAlignment w:val="center"/>
                    <w:rPr>
                      <w:szCs w:val="21"/>
                    </w:rPr>
                  </w:pPr>
                  <w:r>
                    <w:rPr>
                      <w:kern w:val="0"/>
                      <w:szCs w:val="21"/>
                    </w:rPr>
                    <w:t>N39°14′39.347″</w:t>
                  </w:r>
                </w:p>
              </w:tc>
              <w:tc>
                <w:tcPr>
                  <w:tcW w:w="889" w:type="pct"/>
                  <w:tcBorders>
                    <w:tl2br w:val="nil"/>
                    <w:tr2bl w:val="nil"/>
                  </w:tcBorders>
                  <w:vAlign w:val="center"/>
                </w:tcPr>
                <w:p w14:paraId="4FF38186">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5AF2AD45">
                  <w:pPr>
                    <w:adjustRightInd w:val="0"/>
                    <w:snapToGrid w:val="0"/>
                    <w:spacing w:line="0" w:lineRule="atLeast"/>
                    <w:jc w:val="center"/>
                    <w:rPr>
                      <w:szCs w:val="21"/>
                    </w:rPr>
                  </w:pPr>
                  <w:r>
                    <w:rPr>
                      <w:szCs w:val="21"/>
                    </w:rPr>
                    <w:t>混塔</w:t>
                  </w:r>
                </w:p>
              </w:tc>
            </w:tr>
            <w:tr w14:paraId="19903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0B77DCE0">
                  <w:pPr>
                    <w:adjustRightInd w:val="0"/>
                    <w:snapToGrid w:val="0"/>
                    <w:spacing w:line="0" w:lineRule="atLeast"/>
                    <w:jc w:val="center"/>
                    <w:rPr>
                      <w:szCs w:val="21"/>
                    </w:rPr>
                  </w:pPr>
                </w:p>
              </w:tc>
              <w:tc>
                <w:tcPr>
                  <w:tcW w:w="441" w:type="pct"/>
                  <w:vMerge w:val="continue"/>
                  <w:tcBorders>
                    <w:tl2br w:val="nil"/>
                    <w:tr2bl w:val="nil"/>
                  </w:tcBorders>
                  <w:vAlign w:val="center"/>
                </w:tcPr>
                <w:p w14:paraId="5AED38B2">
                  <w:pPr>
                    <w:adjustRightInd w:val="0"/>
                    <w:snapToGrid w:val="0"/>
                    <w:spacing w:line="0" w:lineRule="atLeast"/>
                    <w:jc w:val="center"/>
                    <w:rPr>
                      <w:szCs w:val="21"/>
                    </w:rPr>
                  </w:pPr>
                </w:p>
              </w:tc>
              <w:tc>
                <w:tcPr>
                  <w:tcW w:w="235" w:type="pct"/>
                  <w:tcBorders>
                    <w:tl2br w:val="nil"/>
                    <w:tr2bl w:val="nil"/>
                  </w:tcBorders>
                  <w:vAlign w:val="center"/>
                </w:tcPr>
                <w:p w14:paraId="7CF734E3">
                  <w:pPr>
                    <w:widowControl/>
                    <w:jc w:val="center"/>
                    <w:textAlignment w:val="center"/>
                    <w:rPr>
                      <w:szCs w:val="21"/>
                    </w:rPr>
                  </w:pPr>
                  <w:r>
                    <w:rPr>
                      <w:kern w:val="0"/>
                      <w:szCs w:val="21"/>
                    </w:rPr>
                    <w:t>26</w:t>
                  </w:r>
                </w:p>
              </w:tc>
              <w:tc>
                <w:tcPr>
                  <w:tcW w:w="394" w:type="pct"/>
                  <w:tcBorders>
                    <w:tl2br w:val="nil"/>
                    <w:tr2bl w:val="nil"/>
                  </w:tcBorders>
                  <w:vAlign w:val="center"/>
                </w:tcPr>
                <w:p w14:paraId="07D2F724">
                  <w:pPr>
                    <w:widowControl/>
                    <w:jc w:val="center"/>
                    <w:textAlignment w:val="center"/>
                    <w:rPr>
                      <w:szCs w:val="21"/>
                    </w:rPr>
                  </w:pPr>
                  <w:r>
                    <w:rPr>
                      <w:kern w:val="0"/>
                      <w:szCs w:val="21"/>
                    </w:rPr>
                    <w:t>J26</w:t>
                  </w:r>
                </w:p>
              </w:tc>
              <w:tc>
                <w:tcPr>
                  <w:tcW w:w="1158" w:type="pct"/>
                  <w:tcBorders>
                    <w:tl2br w:val="nil"/>
                    <w:tr2bl w:val="nil"/>
                  </w:tcBorders>
                  <w:vAlign w:val="center"/>
                </w:tcPr>
                <w:p w14:paraId="4E551AA3">
                  <w:pPr>
                    <w:widowControl/>
                    <w:jc w:val="center"/>
                    <w:textAlignment w:val="center"/>
                    <w:rPr>
                      <w:szCs w:val="21"/>
                    </w:rPr>
                  </w:pPr>
                  <w:r>
                    <w:rPr>
                      <w:kern w:val="0"/>
                      <w:szCs w:val="21"/>
                    </w:rPr>
                    <w:t>E118°29′58.812″</w:t>
                  </w:r>
                </w:p>
              </w:tc>
              <w:tc>
                <w:tcPr>
                  <w:tcW w:w="1073" w:type="pct"/>
                  <w:tcBorders>
                    <w:tl2br w:val="nil"/>
                    <w:tr2bl w:val="nil"/>
                  </w:tcBorders>
                  <w:vAlign w:val="center"/>
                </w:tcPr>
                <w:p w14:paraId="00C477DF">
                  <w:pPr>
                    <w:widowControl/>
                    <w:jc w:val="center"/>
                    <w:textAlignment w:val="center"/>
                    <w:rPr>
                      <w:szCs w:val="21"/>
                    </w:rPr>
                  </w:pPr>
                  <w:r>
                    <w:rPr>
                      <w:kern w:val="0"/>
                      <w:szCs w:val="21"/>
                    </w:rPr>
                    <w:t>N39°14′13.178″</w:t>
                  </w:r>
                </w:p>
              </w:tc>
              <w:tc>
                <w:tcPr>
                  <w:tcW w:w="889" w:type="pct"/>
                  <w:tcBorders>
                    <w:tl2br w:val="nil"/>
                    <w:tr2bl w:val="nil"/>
                  </w:tcBorders>
                  <w:vAlign w:val="center"/>
                </w:tcPr>
                <w:p w14:paraId="1F20E13C">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8D8A4A4">
                  <w:pPr>
                    <w:adjustRightInd w:val="0"/>
                    <w:snapToGrid w:val="0"/>
                    <w:spacing w:line="0" w:lineRule="atLeast"/>
                    <w:jc w:val="center"/>
                    <w:rPr>
                      <w:szCs w:val="21"/>
                    </w:rPr>
                  </w:pPr>
                  <w:r>
                    <w:rPr>
                      <w:szCs w:val="21"/>
                    </w:rPr>
                    <w:t>混塔</w:t>
                  </w:r>
                </w:p>
              </w:tc>
            </w:tr>
            <w:tr w14:paraId="1E8DA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43FF6995">
                  <w:pPr>
                    <w:adjustRightInd w:val="0"/>
                    <w:snapToGrid w:val="0"/>
                    <w:spacing w:line="0" w:lineRule="atLeast"/>
                    <w:jc w:val="center"/>
                    <w:rPr>
                      <w:szCs w:val="21"/>
                    </w:rPr>
                  </w:pPr>
                </w:p>
              </w:tc>
              <w:tc>
                <w:tcPr>
                  <w:tcW w:w="441" w:type="pct"/>
                  <w:vMerge w:val="continue"/>
                  <w:tcBorders>
                    <w:tl2br w:val="nil"/>
                    <w:tr2bl w:val="nil"/>
                  </w:tcBorders>
                  <w:vAlign w:val="center"/>
                </w:tcPr>
                <w:p w14:paraId="38B7E2F8">
                  <w:pPr>
                    <w:adjustRightInd w:val="0"/>
                    <w:snapToGrid w:val="0"/>
                    <w:spacing w:line="0" w:lineRule="atLeast"/>
                    <w:jc w:val="center"/>
                    <w:rPr>
                      <w:szCs w:val="21"/>
                    </w:rPr>
                  </w:pPr>
                </w:p>
              </w:tc>
              <w:tc>
                <w:tcPr>
                  <w:tcW w:w="235" w:type="pct"/>
                  <w:tcBorders>
                    <w:tl2br w:val="nil"/>
                    <w:tr2bl w:val="nil"/>
                  </w:tcBorders>
                  <w:vAlign w:val="center"/>
                </w:tcPr>
                <w:p w14:paraId="18FC6475">
                  <w:pPr>
                    <w:widowControl/>
                    <w:jc w:val="center"/>
                    <w:textAlignment w:val="center"/>
                    <w:rPr>
                      <w:szCs w:val="21"/>
                    </w:rPr>
                  </w:pPr>
                  <w:r>
                    <w:rPr>
                      <w:kern w:val="0"/>
                      <w:szCs w:val="21"/>
                    </w:rPr>
                    <w:t>27</w:t>
                  </w:r>
                </w:p>
              </w:tc>
              <w:tc>
                <w:tcPr>
                  <w:tcW w:w="394" w:type="pct"/>
                  <w:tcBorders>
                    <w:tl2br w:val="nil"/>
                    <w:tr2bl w:val="nil"/>
                  </w:tcBorders>
                  <w:vAlign w:val="center"/>
                </w:tcPr>
                <w:p w14:paraId="1BBE0D7E">
                  <w:pPr>
                    <w:widowControl/>
                    <w:jc w:val="center"/>
                    <w:textAlignment w:val="center"/>
                    <w:rPr>
                      <w:szCs w:val="21"/>
                    </w:rPr>
                  </w:pPr>
                  <w:r>
                    <w:rPr>
                      <w:kern w:val="0"/>
                      <w:szCs w:val="21"/>
                    </w:rPr>
                    <w:t>J27</w:t>
                  </w:r>
                </w:p>
              </w:tc>
              <w:tc>
                <w:tcPr>
                  <w:tcW w:w="1158" w:type="pct"/>
                  <w:tcBorders>
                    <w:tl2br w:val="nil"/>
                    <w:tr2bl w:val="nil"/>
                  </w:tcBorders>
                  <w:vAlign w:val="center"/>
                </w:tcPr>
                <w:p w14:paraId="707DE9F3">
                  <w:pPr>
                    <w:widowControl/>
                    <w:jc w:val="center"/>
                    <w:textAlignment w:val="center"/>
                    <w:rPr>
                      <w:szCs w:val="21"/>
                    </w:rPr>
                  </w:pPr>
                  <w:r>
                    <w:rPr>
                      <w:kern w:val="0"/>
                      <w:szCs w:val="21"/>
                    </w:rPr>
                    <w:t>E118°29′01.097″</w:t>
                  </w:r>
                </w:p>
              </w:tc>
              <w:tc>
                <w:tcPr>
                  <w:tcW w:w="1073" w:type="pct"/>
                  <w:tcBorders>
                    <w:tl2br w:val="nil"/>
                    <w:tr2bl w:val="nil"/>
                  </w:tcBorders>
                  <w:vAlign w:val="center"/>
                </w:tcPr>
                <w:p w14:paraId="2E29FCFE">
                  <w:pPr>
                    <w:widowControl/>
                    <w:jc w:val="center"/>
                    <w:textAlignment w:val="center"/>
                    <w:rPr>
                      <w:szCs w:val="21"/>
                    </w:rPr>
                  </w:pPr>
                  <w:r>
                    <w:rPr>
                      <w:kern w:val="0"/>
                      <w:szCs w:val="21"/>
                    </w:rPr>
                    <w:t>N39°13′49.847″</w:t>
                  </w:r>
                </w:p>
              </w:tc>
              <w:tc>
                <w:tcPr>
                  <w:tcW w:w="889" w:type="pct"/>
                  <w:tcBorders>
                    <w:tl2br w:val="nil"/>
                    <w:tr2bl w:val="nil"/>
                  </w:tcBorders>
                  <w:vAlign w:val="center"/>
                </w:tcPr>
                <w:p w14:paraId="0E18EB1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29B735F">
                  <w:pPr>
                    <w:adjustRightInd w:val="0"/>
                    <w:snapToGrid w:val="0"/>
                    <w:spacing w:line="0" w:lineRule="atLeast"/>
                    <w:jc w:val="center"/>
                    <w:rPr>
                      <w:szCs w:val="21"/>
                    </w:rPr>
                  </w:pPr>
                  <w:r>
                    <w:rPr>
                      <w:szCs w:val="21"/>
                    </w:rPr>
                    <w:t>混塔</w:t>
                  </w:r>
                </w:p>
              </w:tc>
            </w:tr>
            <w:tr w14:paraId="1AF84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60928026">
                  <w:pPr>
                    <w:adjustRightInd w:val="0"/>
                    <w:snapToGrid w:val="0"/>
                    <w:spacing w:line="0" w:lineRule="atLeast"/>
                    <w:jc w:val="center"/>
                    <w:rPr>
                      <w:szCs w:val="21"/>
                    </w:rPr>
                  </w:pPr>
                </w:p>
              </w:tc>
              <w:tc>
                <w:tcPr>
                  <w:tcW w:w="441" w:type="pct"/>
                  <w:vMerge w:val="continue"/>
                  <w:tcBorders>
                    <w:tl2br w:val="nil"/>
                    <w:tr2bl w:val="nil"/>
                  </w:tcBorders>
                  <w:vAlign w:val="center"/>
                </w:tcPr>
                <w:p w14:paraId="6B2BABC7">
                  <w:pPr>
                    <w:adjustRightInd w:val="0"/>
                    <w:snapToGrid w:val="0"/>
                    <w:spacing w:line="0" w:lineRule="atLeast"/>
                    <w:jc w:val="center"/>
                    <w:rPr>
                      <w:szCs w:val="21"/>
                    </w:rPr>
                  </w:pPr>
                </w:p>
              </w:tc>
              <w:tc>
                <w:tcPr>
                  <w:tcW w:w="235" w:type="pct"/>
                  <w:tcBorders>
                    <w:tl2br w:val="nil"/>
                    <w:tr2bl w:val="nil"/>
                  </w:tcBorders>
                  <w:vAlign w:val="center"/>
                </w:tcPr>
                <w:p w14:paraId="04C147E0">
                  <w:pPr>
                    <w:widowControl/>
                    <w:jc w:val="center"/>
                    <w:textAlignment w:val="center"/>
                    <w:rPr>
                      <w:szCs w:val="21"/>
                    </w:rPr>
                  </w:pPr>
                  <w:r>
                    <w:rPr>
                      <w:kern w:val="0"/>
                      <w:szCs w:val="21"/>
                    </w:rPr>
                    <w:t>28</w:t>
                  </w:r>
                </w:p>
              </w:tc>
              <w:tc>
                <w:tcPr>
                  <w:tcW w:w="394" w:type="pct"/>
                  <w:tcBorders>
                    <w:tl2br w:val="nil"/>
                    <w:tr2bl w:val="nil"/>
                  </w:tcBorders>
                  <w:vAlign w:val="center"/>
                </w:tcPr>
                <w:p w14:paraId="355BDA59">
                  <w:pPr>
                    <w:widowControl/>
                    <w:jc w:val="center"/>
                    <w:textAlignment w:val="center"/>
                    <w:rPr>
                      <w:szCs w:val="21"/>
                    </w:rPr>
                  </w:pPr>
                  <w:r>
                    <w:rPr>
                      <w:kern w:val="0"/>
                      <w:szCs w:val="21"/>
                    </w:rPr>
                    <w:t>J28</w:t>
                  </w:r>
                </w:p>
              </w:tc>
              <w:tc>
                <w:tcPr>
                  <w:tcW w:w="1158" w:type="pct"/>
                  <w:tcBorders>
                    <w:tl2br w:val="nil"/>
                    <w:tr2bl w:val="nil"/>
                  </w:tcBorders>
                  <w:vAlign w:val="center"/>
                </w:tcPr>
                <w:p w14:paraId="2EA8155F">
                  <w:pPr>
                    <w:widowControl/>
                    <w:jc w:val="center"/>
                    <w:textAlignment w:val="center"/>
                    <w:rPr>
                      <w:szCs w:val="21"/>
                    </w:rPr>
                  </w:pPr>
                  <w:r>
                    <w:rPr>
                      <w:kern w:val="0"/>
                      <w:szCs w:val="21"/>
                    </w:rPr>
                    <w:t>E118°28′44.681″</w:t>
                  </w:r>
                </w:p>
              </w:tc>
              <w:tc>
                <w:tcPr>
                  <w:tcW w:w="1073" w:type="pct"/>
                  <w:tcBorders>
                    <w:tl2br w:val="nil"/>
                    <w:tr2bl w:val="nil"/>
                  </w:tcBorders>
                  <w:vAlign w:val="center"/>
                </w:tcPr>
                <w:p w14:paraId="2B537902">
                  <w:pPr>
                    <w:widowControl/>
                    <w:jc w:val="center"/>
                    <w:textAlignment w:val="center"/>
                    <w:rPr>
                      <w:szCs w:val="21"/>
                    </w:rPr>
                  </w:pPr>
                  <w:r>
                    <w:rPr>
                      <w:kern w:val="0"/>
                      <w:szCs w:val="21"/>
                    </w:rPr>
                    <w:t>N39°13′33.881″</w:t>
                  </w:r>
                </w:p>
              </w:tc>
              <w:tc>
                <w:tcPr>
                  <w:tcW w:w="889" w:type="pct"/>
                  <w:tcBorders>
                    <w:tl2br w:val="nil"/>
                    <w:tr2bl w:val="nil"/>
                  </w:tcBorders>
                  <w:vAlign w:val="center"/>
                </w:tcPr>
                <w:p w14:paraId="4A223C80">
                  <w:pPr>
                    <w:adjustRightInd w:val="0"/>
                    <w:snapToGrid w:val="0"/>
                    <w:spacing w:line="0" w:lineRule="atLeast"/>
                    <w:jc w:val="center"/>
                    <w:rPr>
                      <w:szCs w:val="21"/>
                    </w:rPr>
                  </w:pPr>
                  <w:r>
                    <w:rPr>
                      <w:szCs w:val="21"/>
                    </w:rPr>
                    <w:t>农村道路、坑塘水面、沟渠</w:t>
                  </w:r>
                </w:p>
              </w:tc>
              <w:tc>
                <w:tcPr>
                  <w:tcW w:w="605" w:type="pct"/>
                  <w:tcBorders>
                    <w:tl2br w:val="nil"/>
                    <w:tr2bl w:val="nil"/>
                  </w:tcBorders>
                  <w:vAlign w:val="center"/>
                </w:tcPr>
                <w:p w14:paraId="5404DA81">
                  <w:pPr>
                    <w:adjustRightInd w:val="0"/>
                    <w:snapToGrid w:val="0"/>
                    <w:spacing w:line="0" w:lineRule="atLeast"/>
                    <w:jc w:val="center"/>
                    <w:rPr>
                      <w:szCs w:val="21"/>
                    </w:rPr>
                  </w:pPr>
                  <w:r>
                    <w:rPr>
                      <w:szCs w:val="21"/>
                    </w:rPr>
                    <w:t>混塔</w:t>
                  </w:r>
                </w:p>
              </w:tc>
            </w:tr>
            <w:tr w14:paraId="3104D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A6044D0">
                  <w:pPr>
                    <w:adjustRightInd w:val="0"/>
                    <w:snapToGrid w:val="0"/>
                    <w:spacing w:line="0" w:lineRule="atLeast"/>
                    <w:jc w:val="center"/>
                    <w:rPr>
                      <w:szCs w:val="21"/>
                    </w:rPr>
                  </w:pPr>
                </w:p>
              </w:tc>
              <w:tc>
                <w:tcPr>
                  <w:tcW w:w="441" w:type="pct"/>
                  <w:vMerge w:val="continue"/>
                  <w:tcBorders>
                    <w:tl2br w:val="nil"/>
                    <w:tr2bl w:val="nil"/>
                  </w:tcBorders>
                  <w:vAlign w:val="center"/>
                </w:tcPr>
                <w:p w14:paraId="1242F26C">
                  <w:pPr>
                    <w:adjustRightInd w:val="0"/>
                    <w:snapToGrid w:val="0"/>
                    <w:spacing w:line="0" w:lineRule="atLeast"/>
                    <w:jc w:val="center"/>
                    <w:rPr>
                      <w:szCs w:val="21"/>
                    </w:rPr>
                  </w:pPr>
                </w:p>
              </w:tc>
              <w:tc>
                <w:tcPr>
                  <w:tcW w:w="235" w:type="pct"/>
                  <w:tcBorders>
                    <w:tl2br w:val="nil"/>
                    <w:tr2bl w:val="nil"/>
                  </w:tcBorders>
                  <w:vAlign w:val="center"/>
                </w:tcPr>
                <w:p w14:paraId="3F0D99C6">
                  <w:pPr>
                    <w:widowControl/>
                    <w:jc w:val="center"/>
                    <w:textAlignment w:val="center"/>
                    <w:rPr>
                      <w:szCs w:val="21"/>
                    </w:rPr>
                  </w:pPr>
                  <w:r>
                    <w:rPr>
                      <w:kern w:val="0"/>
                      <w:szCs w:val="21"/>
                    </w:rPr>
                    <w:t>29</w:t>
                  </w:r>
                </w:p>
              </w:tc>
              <w:tc>
                <w:tcPr>
                  <w:tcW w:w="394" w:type="pct"/>
                  <w:tcBorders>
                    <w:tl2br w:val="nil"/>
                    <w:tr2bl w:val="nil"/>
                  </w:tcBorders>
                  <w:vAlign w:val="center"/>
                </w:tcPr>
                <w:p w14:paraId="08915211">
                  <w:pPr>
                    <w:widowControl/>
                    <w:jc w:val="center"/>
                    <w:textAlignment w:val="center"/>
                    <w:rPr>
                      <w:szCs w:val="21"/>
                    </w:rPr>
                  </w:pPr>
                  <w:r>
                    <w:rPr>
                      <w:kern w:val="0"/>
                      <w:szCs w:val="21"/>
                    </w:rPr>
                    <w:t>J29</w:t>
                  </w:r>
                </w:p>
              </w:tc>
              <w:tc>
                <w:tcPr>
                  <w:tcW w:w="1158" w:type="pct"/>
                  <w:tcBorders>
                    <w:tl2br w:val="nil"/>
                    <w:tr2bl w:val="nil"/>
                  </w:tcBorders>
                  <w:vAlign w:val="center"/>
                </w:tcPr>
                <w:p w14:paraId="138FB8B0">
                  <w:pPr>
                    <w:widowControl/>
                    <w:jc w:val="center"/>
                    <w:textAlignment w:val="center"/>
                    <w:rPr>
                      <w:szCs w:val="21"/>
                    </w:rPr>
                  </w:pPr>
                  <w:r>
                    <w:rPr>
                      <w:kern w:val="0"/>
                      <w:szCs w:val="21"/>
                    </w:rPr>
                    <w:t>E118°27′16.409″</w:t>
                  </w:r>
                </w:p>
              </w:tc>
              <w:tc>
                <w:tcPr>
                  <w:tcW w:w="1073" w:type="pct"/>
                  <w:tcBorders>
                    <w:tl2br w:val="nil"/>
                    <w:tr2bl w:val="nil"/>
                  </w:tcBorders>
                  <w:vAlign w:val="center"/>
                </w:tcPr>
                <w:p w14:paraId="5CA36250">
                  <w:pPr>
                    <w:widowControl/>
                    <w:jc w:val="center"/>
                    <w:textAlignment w:val="center"/>
                    <w:rPr>
                      <w:szCs w:val="21"/>
                    </w:rPr>
                  </w:pPr>
                  <w:r>
                    <w:rPr>
                      <w:kern w:val="0"/>
                      <w:szCs w:val="21"/>
                    </w:rPr>
                    <w:t>N39°13′33.492″</w:t>
                  </w:r>
                </w:p>
              </w:tc>
              <w:tc>
                <w:tcPr>
                  <w:tcW w:w="889" w:type="pct"/>
                  <w:tcBorders>
                    <w:tl2br w:val="nil"/>
                    <w:tr2bl w:val="nil"/>
                  </w:tcBorders>
                  <w:vAlign w:val="center"/>
                </w:tcPr>
                <w:p w14:paraId="3A5581C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C99769D">
                  <w:pPr>
                    <w:adjustRightInd w:val="0"/>
                    <w:snapToGrid w:val="0"/>
                    <w:spacing w:line="0" w:lineRule="atLeast"/>
                    <w:jc w:val="center"/>
                    <w:rPr>
                      <w:szCs w:val="21"/>
                    </w:rPr>
                  </w:pPr>
                  <w:r>
                    <w:rPr>
                      <w:szCs w:val="21"/>
                    </w:rPr>
                    <w:t>混塔</w:t>
                  </w:r>
                </w:p>
              </w:tc>
            </w:tr>
            <w:tr w14:paraId="4F5DE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690AB578">
                  <w:pPr>
                    <w:adjustRightInd w:val="0"/>
                    <w:snapToGrid w:val="0"/>
                    <w:spacing w:line="0" w:lineRule="atLeast"/>
                    <w:jc w:val="center"/>
                    <w:rPr>
                      <w:szCs w:val="21"/>
                    </w:rPr>
                  </w:pPr>
                </w:p>
              </w:tc>
              <w:tc>
                <w:tcPr>
                  <w:tcW w:w="441" w:type="pct"/>
                  <w:vMerge w:val="continue"/>
                  <w:tcBorders>
                    <w:tl2br w:val="nil"/>
                    <w:tr2bl w:val="nil"/>
                  </w:tcBorders>
                  <w:vAlign w:val="center"/>
                </w:tcPr>
                <w:p w14:paraId="730F8A29">
                  <w:pPr>
                    <w:adjustRightInd w:val="0"/>
                    <w:snapToGrid w:val="0"/>
                    <w:spacing w:line="0" w:lineRule="atLeast"/>
                    <w:jc w:val="center"/>
                    <w:rPr>
                      <w:szCs w:val="21"/>
                    </w:rPr>
                  </w:pPr>
                </w:p>
              </w:tc>
              <w:tc>
                <w:tcPr>
                  <w:tcW w:w="235" w:type="pct"/>
                  <w:tcBorders>
                    <w:tl2br w:val="nil"/>
                    <w:tr2bl w:val="nil"/>
                  </w:tcBorders>
                  <w:vAlign w:val="center"/>
                </w:tcPr>
                <w:p w14:paraId="7F1207DE">
                  <w:pPr>
                    <w:widowControl/>
                    <w:jc w:val="center"/>
                    <w:textAlignment w:val="center"/>
                    <w:rPr>
                      <w:szCs w:val="21"/>
                    </w:rPr>
                  </w:pPr>
                  <w:r>
                    <w:rPr>
                      <w:kern w:val="0"/>
                      <w:szCs w:val="21"/>
                    </w:rPr>
                    <w:t>30</w:t>
                  </w:r>
                </w:p>
              </w:tc>
              <w:tc>
                <w:tcPr>
                  <w:tcW w:w="394" w:type="pct"/>
                  <w:tcBorders>
                    <w:tl2br w:val="nil"/>
                    <w:tr2bl w:val="nil"/>
                  </w:tcBorders>
                  <w:vAlign w:val="center"/>
                </w:tcPr>
                <w:p w14:paraId="30586385">
                  <w:pPr>
                    <w:widowControl/>
                    <w:jc w:val="center"/>
                    <w:textAlignment w:val="center"/>
                    <w:rPr>
                      <w:szCs w:val="21"/>
                    </w:rPr>
                  </w:pPr>
                  <w:r>
                    <w:rPr>
                      <w:kern w:val="0"/>
                      <w:szCs w:val="21"/>
                    </w:rPr>
                    <w:t>J30</w:t>
                  </w:r>
                </w:p>
              </w:tc>
              <w:tc>
                <w:tcPr>
                  <w:tcW w:w="1158" w:type="pct"/>
                  <w:tcBorders>
                    <w:tl2br w:val="nil"/>
                    <w:tr2bl w:val="nil"/>
                  </w:tcBorders>
                  <w:vAlign w:val="center"/>
                </w:tcPr>
                <w:p w14:paraId="33CC56FA">
                  <w:pPr>
                    <w:widowControl/>
                    <w:jc w:val="center"/>
                    <w:textAlignment w:val="center"/>
                    <w:rPr>
                      <w:szCs w:val="21"/>
                    </w:rPr>
                  </w:pPr>
                  <w:r>
                    <w:rPr>
                      <w:kern w:val="0"/>
                      <w:szCs w:val="21"/>
                    </w:rPr>
                    <w:t>E118°26′55.154″</w:t>
                  </w:r>
                </w:p>
              </w:tc>
              <w:tc>
                <w:tcPr>
                  <w:tcW w:w="1073" w:type="pct"/>
                  <w:tcBorders>
                    <w:tl2br w:val="nil"/>
                    <w:tr2bl w:val="nil"/>
                  </w:tcBorders>
                  <w:vAlign w:val="center"/>
                </w:tcPr>
                <w:p w14:paraId="0D48825C">
                  <w:pPr>
                    <w:widowControl/>
                    <w:jc w:val="center"/>
                    <w:textAlignment w:val="center"/>
                    <w:rPr>
                      <w:szCs w:val="21"/>
                    </w:rPr>
                  </w:pPr>
                  <w:r>
                    <w:rPr>
                      <w:kern w:val="0"/>
                      <w:szCs w:val="21"/>
                    </w:rPr>
                    <w:t>N39°13′32.923″</w:t>
                  </w:r>
                </w:p>
              </w:tc>
              <w:tc>
                <w:tcPr>
                  <w:tcW w:w="889" w:type="pct"/>
                  <w:tcBorders>
                    <w:tl2br w:val="nil"/>
                    <w:tr2bl w:val="nil"/>
                  </w:tcBorders>
                  <w:vAlign w:val="center"/>
                </w:tcPr>
                <w:p w14:paraId="2CF27825">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041B37E">
                  <w:pPr>
                    <w:adjustRightInd w:val="0"/>
                    <w:snapToGrid w:val="0"/>
                    <w:spacing w:line="0" w:lineRule="atLeast"/>
                    <w:jc w:val="center"/>
                    <w:rPr>
                      <w:szCs w:val="21"/>
                    </w:rPr>
                  </w:pPr>
                  <w:r>
                    <w:rPr>
                      <w:szCs w:val="21"/>
                    </w:rPr>
                    <w:t>混塔</w:t>
                  </w:r>
                </w:p>
              </w:tc>
            </w:tr>
            <w:tr w14:paraId="464B6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9E3E3BA">
                  <w:pPr>
                    <w:adjustRightInd w:val="0"/>
                    <w:snapToGrid w:val="0"/>
                    <w:spacing w:line="0" w:lineRule="atLeast"/>
                    <w:jc w:val="center"/>
                    <w:rPr>
                      <w:szCs w:val="21"/>
                    </w:rPr>
                  </w:pPr>
                </w:p>
              </w:tc>
              <w:tc>
                <w:tcPr>
                  <w:tcW w:w="441" w:type="pct"/>
                  <w:vMerge w:val="continue"/>
                  <w:tcBorders>
                    <w:tl2br w:val="nil"/>
                    <w:tr2bl w:val="nil"/>
                  </w:tcBorders>
                  <w:vAlign w:val="center"/>
                </w:tcPr>
                <w:p w14:paraId="31245B71">
                  <w:pPr>
                    <w:adjustRightInd w:val="0"/>
                    <w:snapToGrid w:val="0"/>
                    <w:spacing w:line="0" w:lineRule="atLeast"/>
                    <w:jc w:val="center"/>
                    <w:rPr>
                      <w:szCs w:val="21"/>
                    </w:rPr>
                  </w:pPr>
                </w:p>
              </w:tc>
              <w:tc>
                <w:tcPr>
                  <w:tcW w:w="235" w:type="pct"/>
                  <w:tcBorders>
                    <w:tl2br w:val="nil"/>
                    <w:tr2bl w:val="nil"/>
                  </w:tcBorders>
                  <w:vAlign w:val="center"/>
                </w:tcPr>
                <w:p w14:paraId="64C43CCF">
                  <w:pPr>
                    <w:widowControl/>
                    <w:jc w:val="center"/>
                    <w:textAlignment w:val="center"/>
                    <w:rPr>
                      <w:szCs w:val="21"/>
                    </w:rPr>
                  </w:pPr>
                  <w:r>
                    <w:rPr>
                      <w:kern w:val="0"/>
                      <w:szCs w:val="21"/>
                    </w:rPr>
                    <w:t>31</w:t>
                  </w:r>
                </w:p>
              </w:tc>
              <w:tc>
                <w:tcPr>
                  <w:tcW w:w="394" w:type="pct"/>
                  <w:tcBorders>
                    <w:tl2br w:val="nil"/>
                    <w:tr2bl w:val="nil"/>
                  </w:tcBorders>
                  <w:vAlign w:val="center"/>
                </w:tcPr>
                <w:p w14:paraId="39816EF2">
                  <w:pPr>
                    <w:widowControl/>
                    <w:jc w:val="center"/>
                    <w:textAlignment w:val="center"/>
                    <w:rPr>
                      <w:szCs w:val="21"/>
                    </w:rPr>
                  </w:pPr>
                  <w:r>
                    <w:rPr>
                      <w:kern w:val="0"/>
                      <w:szCs w:val="21"/>
                    </w:rPr>
                    <w:t>J31</w:t>
                  </w:r>
                </w:p>
              </w:tc>
              <w:tc>
                <w:tcPr>
                  <w:tcW w:w="1158" w:type="pct"/>
                  <w:tcBorders>
                    <w:tl2br w:val="nil"/>
                    <w:tr2bl w:val="nil"/>
                  </w:tcBorders>
                  <w:vAlign w:val="center"/>
                </w:tcPr>
                <w:p w14:paraId="62B7B327">
                  <w:pPr>
                    <w:widowControl/>
                    <w:jc w:val="center"/>
                    <w:textAlignment w:val="center"/>
                    <w:rPr>
                      <w:szCs w:val="21"/>
                    </w:rPr>
                  </w:pPr>
                  <w:r>
                    <w:rPr>
                      <w:kern w:val="0"/>
                      <w:szCs w:val="21"/>
                    </w:rPr>
                    <w:t>E118°27′21.794″</w:t>
                  </w:r>
                </w:p>
              </w:tc>
              <w:tc>
                <w:tcPr>
                  <w:tcW w:w="1073" w:type="pct"/>
                  <w:tcBorders>
                    <w:tl2br w:val="nil"/>
                    <w:tr2bl w:val="nil"/>
                  </w:tcBorders>
                  <w:vAlign w:val="center"/>
                </w:tcPr>
                <w:p w14:paraId="060C8780">
                  <w:pPr>
                    <w:widowControl/>
                    <w:jc w:val="center"/>
                    <w:textAlignment w:val="center"/>
                    <w:rPr>
                      <w:szCs w:val="21"/>
                    </w:rPr>
                  </w:pPr>
                  <w:r>
                    <w:rPr>
                      <w:kern w:val="0"/>
                      <w:szCs w:val="21"/>
                    </w:rPr>
                    <w:t>N39°10′36.775″</w:t>
                  </w:r>
                </w:p>
              </w:tc>
              <w:tc>
                <w:tcPr>
                  <w:tcW w:w="889" w:type="pct"/>
                  <w:tcBorders>
                    <w:tl2br w:val="nil"/>
                    <w:tr2bl w:val="nil"/>
                  </w:tcBorders>
                  <w:vAlign w:val="center"/>
                </w:tcPr>
                <w:p w14:paraId="0E02B158">
                  <w:pPr>
                    <w:adjustRightInd w:val="0"/>
                    <w:snapToGrid w:val="0"/>
                    <w:spacing w:line="0" w:lineRule="atLeast"/>
                    <w:jc w:val="center"/>
                    <w:rPr>
                      <w:szCs w:val="21"/>
                    </w:rPr>
                  </w:pPr>
                  <w:r>
                    <w:rPr>
                      <w:szCs w:val="21"/>
                    </w:rPr>
                    <w:t>水田、沟渠</w:t>
                  </w:r>
                </w:p>
              </w:tc>
              <w:tc>
                <w:tcPr>
                  <w:tcW w:w="605" w:type="pct"/>
                  <w:tcBorders>
                    <w:tl2br w:val="nil"/>
                    <w:tr2bl w:val="nil"/>
                  </w:tcBorders>
                  <w:vAlign w:val="center"/>
                </w:tcPr>
                <w:p w14:paraId="5B7061E7">
                  <w:pPr>
                    <w:adjustRightInd w:val="0"/>
                    <w:snapToGrid w:val="0"/>
                    <w:spacing w:line="0" w:lineRule="atLeast"/>
                    <w:jc w:val="center"/>
                    <w:rPr>
                      <w:szCs w:val="21"/>
                    </w:rPr>
                  </w:pPr>
                  <w:r>
                    <w:rPr>
                      <w:szCs w:val="21"/>
                    </w:rPr>
                    <w:t>混塔</w:t>
                  </w:r>
                </w:p>
              </w:tc>
            </w:tr>
            <w:tr w14:paraId="2E986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62C2B200">
                  <w:pPr>
                    <w:adjustRightInd w:val="0"/>
                    <w:snapToGrid w:val="0"/>
                    <w:spacing w:line="0" w:lineRule="atLeast"/>
                    <w:jc w:val="center"/>
                    <w:rPr>
                      <w:szCs w:val="21"/>
                    </w:rPr>
                  </w:pPr>
                </w:p>
              </w:tc>
              <w:tc>
                <w:tcPr>
                  <w:tcW w:w="441" w:type="pct"/>
                  <w:vMerge w:val="continue"/>
                  <w:tcBorders>
                    <w:tl2br w:val="nil"/>
                    <w:tr2bl w:val="nil"/>
                  </w:tcBorders>
                  <w:vAlign w:val="center"/>
                </w:tcPr>
                <w:p w14:paraId="3F1A32D6">
                  <w:pPr>
                    <w:adjustRightInd w:val="0"/>
                    <w:snapToGrid w:val="0"/>
                    <w:spacing w:line="0" w:lineRule="atLeast"/>
                    <w:jc w:val="center"/>
                    <w:rPr>
                      <w:szCs w:val="21"/>
                    </w:rPr>
                  </w:pPr>
                </w:p>
              </w:tc>
              <w:tc>
                <w:tcPr>
                  <w:tcW w:w="235" w:type="pct"/>
                  <w:tcBorders>
                    <w:tl2br w:val="nil"/>
                    <w:tr2bl w:val="nil"/>
                  </w:tcBorders>
                  <w:vAlign w:val="center"/>
                </w:tcPr>
                <w:p w14:paraId="1CB396AB">
                  <w:pPr>
                    <w:widowControl/>
                    <w:jc w:val="center"/>
                    <w:textAlignment w:val="center"/>
                    <w:rPr>
                      <w:szCs w:val="21"/>
                    </w:rPr>
                  </w:pPr>
                  <w:r>
                    <w:rPr>
                      <w:kern w:val="0"/>
                      <w:szCs w:val="21"/>
                    </w:rPr>
                    <w:t>32</w:t>
                  </w:r>
                </w:p>
              </w:tc>
              <w:tc>
                <w:tcPr>
                  <w:tcW w:w="394" w:type="pct"/>
                  <w:tcBorders>
                    <w:tl2br w:val="nil"/>
                    <w:tr2bl w:val="nil"/>
                  </w:tcBorders>
                  <w:vAlign w:val="center"/>
                </w:tcPr>
                <w:p w14:paraId="20171854">
                  <w:pPr>
                    <w:widowControl/>
                    <w:jc w:val="center"/>
                    <w:textAlignment w:val="center"/>
                    <w:rPr>
                      <w:szCs w:val="21"/>
                    </w:rPr>
                  </w:pPr>
                  <w:r>
                    <w:rPr>
                      <w:kern w:val="0"/>
                      <w:szCs w:val="21"/>
                    </w:rPr>
                    <w:t>J32</w:t>
                  </w:r>
                </w:p>
              </w:tc>
              <w:tc>
                <w:tcPr>
                  <w:tcW w:w="1158" w:type="pct"/>
                  <w:tcBorders>
                    <w:tl2br w:val="nil"/>
                    <w:tr2bl w:val="nil"/>
                  </w:tcBorders>
                  <w:vAlign w:val="center"/>
                </w:tcPr>
                <w:p w14:paraId="2AAFE272">
                  <w:pPr>
                    <w:widowControl/>
                    <w:jc w:val="center"/>
                    <w:textAlignment w:val="center"/>
                    <w:rPr>
                      <w:szCs w:val="21"/>
                    </w:rPr>
                  </w:pPr>
                  <w:r>
                    <w:rPr>
                      <w:kern w:val="0"/>
                      <w:szCs w:val="21"/>
                    </w:rPr>
                    <w:t>E118°26′52.436″</w:t>
                  </w:r>
                </w:p>
              </w:tc>
              <w:tc>
                <w:tcPr>
                  <w:tcW w:w="1073" w:type="pct"/>
                  <w:tcBorders>
                    <w:tl2br w:val="nil"/>
                    <w:tr2bl w:val="nil"/>
                  </w:tcBorders>
                  <w:vAlign w:val="center"/>
                </w:tcPr>
                <w:p w14:paraId="123E529C">
                  <w:pPr>
                    <w:widowControl/>
                    <w:jc w:val="center"/>
                    <w:textAlignment w:val="center"/>
                    <w:rPr>
                      <w:szCs w:val="21"/>
                    </w:rPr>
                  </w:pPr>
                  <w:r>
                    <w:rPr>
                      <w:kern w:val="0"/>
                      <w:szCs w:val="21"/>
                    </w:rPr>
                    <w:t>N39°10′36.941″</w:t>
                  </w:r>
                </w:p>
              </w:tc>
              <w:tc>
                <w:tcPr>
                  <w:tcW w:w="889" w:type="pct"/>
                  <w:tcBorders>
                    <w:tl2br w:val="nil"/>
                    <w:tr2bl w:val="nil"/>
                  </w:tcBorders>
                  <w:vAlign w:val="center"/>
                </w:tcPr>
                <w:p w14:paraId="493BCC1B">
                  <w:pPr>
                    <w:adjustRightInd w:val="0"/>
                    <w:snapToGrid w:val="0"/>
                    <w:spacing w:line="0" w:lineRule="atLeast"/>
                    <w:jc w:val="center"/>
                    <w:rPr>
                      <w:szCs w:val="21"/>
                    </w:rPr>
                  </w:pPr>
                  <w:r>
                    <w:rPr>
                      <w:szCs w:val="21"/>
                    </w:rPr>
                    <w:t>水田、沟渠</w:t>
                  </w:r>
                </w:p>
              </w:tc>
              <w:tc>
                <w:tcPr>
                  <w:tcW w:w="605" w:type="pct"/>
                  <w:tcBorders>
                    <w:tl2br w:val="nil"/>
                    <w:tr2bl w:val="nil"/>
                  </w:tcBorders>
                  <w:vAlign w:val="center"/>
                </w:tcPr>
                <w:p w14:paraId="4D42794E">
                  <w:pPr>
                    <w:adjustRightInd w:val="0"/>
                    <w:snapToGrid w:val="0"/>
                    <w:spacing w:line="0" w:lineRule="atLeast"/>
                    <w:jc w:val="center"/>
                    <w:rPr>
                      <w:szCs w:val="21"/>
                    </w:rPr>
                  </w:pPr>
                  <w:r>
                    <w:rPr>
                      <w:szCs w:val="21"/>
                    </w:rPr>
                    <w:t>混塔</w:t>
                  </w:r>
                </w:p>
              </w:tc>
            </w:tr>
            <w:tr w14:paraId="25041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31BCBA8F">
                  <w:pPr>
                    <w:adjustRightInd w:val="0"/>
                    <w:snapToGrid w:val="0"/>
                    <w:spacing w:line="0" w:lineRule="atLeast"/>
                    <w:jc w:val="center"/>
                    <w:rPr>
                      <w:szCs w:val="21"/>
                    </w:rPr>
                  </w:pPr>
                </w:p>
              </w:tc>
              <w:tc>
                <w:tcPr>
                  <w:tcW w:w="441" w:type="pct"/>
                  <w:vMerge w:val="continue"/>
                  <w:tcBorders>
                    <w:tl2br w:val="nil"/>
                    <w:tr2bl w:val="nil"/>
                  </w:tcBorders>
                  <w:vAlign w:val="center"/>
                </w:tcPr>
                <w:p w14:paraId="49AB3F16">
                  <w:pPr>
                    <w:adjustRightInd w:val="0"/>
                    <w:snapToGrid w:val="0"/>
                    <w:spacing w:line="0" w:lineRule="atLeast"/>
                    <w:jc w:val="center"/>
                    <w:rPr>
                      <w:szCs w:val="21"/>
                    </w:rPr>
                  </w:pPr>
                </w:p>
              </w:tc>
              <w:tc>
                <w:tcPr>
                  <w:tcW w:w="235" w:type="pct"/>
                  <w:tcBorders>
                    <w:tl2br w:val="nil"/>
                    <w:tr2bl w:val="nil"/>
                  </w:tcBorders>
                  <w:vAlign w:val="center"/>
                </w:tcPr>
                <w:p w14:paraId="0D77A891">
                  <w:pPr>
                    <w:widowControl/>
                    <w:jc w:val="center"/>
                    <w:textAlignment w:val="center"/>
                    <w:rPr>
                      <w:szCs w:val="21"/>
                    </w:rPr>
                  </w:pPr>
                  <w:r>
                    <w:rPr>
                      <w:kern w:val="0"/>
                      <w:szCs w:val="21"/>
                    </w:rPr>
                    <w:t>33</w:t>
                  </w:r>
                </w:p>
              </w:tc>
              <w:tc>
                <w:tcPr>
                  <w:tcW w:w="394" w:type="pct"/>
                  <w:tcBorders>
                    <w:tl2br w:val="nil"/>
                    <w:tr2bl w:val="nil"/>
                  </w:tcBorders>
                  <w:vAlign w:val="center"/>
                </w:tcPr>
                <w:p w14:paraId="13D24ED1">
                  <w:pPr>
                    <w:widowControl/>
                    <w:jc w:val="center"/>
                    <w:textAlignment w:val="center"/>
                    <w:rPr>
                      <w:szCs w:val="21"/>
                    </w:rPr>
                  </w:pPr>
                  <w:r>
                    <w:rPr>
                      <w:kern w:val="0"/>
                      <w:szCs w:val="21"/>
                    </w:rPr>
                    <w:t>J33</w:t>
                  </w:r>
                </w:p>
              </w:tc>
              <w:tc>
                <w:tcPr>
                  <w:tcW w:w="1158" w:type="pct"/>
                  <w:tcBorders>
                    <w:tl2br w:val="nil"/>
                    <w:tr2bl w:val="nil"/>
                  </w:tcBorders>
                  <w:vAlign w:val="center"/>
                </w:tcPr>
                <w:p w14:paraId="366CEC72">
                  <w:pPr>
                    <w:widowControl/>
                    <w:jc w:val="center"/>
                    <w:textAlignment w:val="center"/>
                    <w:rPr>
                      <w:szCs w:val="21"/>
                    </w:rPr>
                  </w:pPr>
                  <w:r>
                    <w:rPr>
                      <w:kern w:val="0"/>
                      <w:szCs w:val="21"/>
                    </w:rPr>
                    <w:t>E118°29′48.700″</w:t>
                  </w:r>
                </w:p>
              </w:tc>
              <w:tc>
                <w:tcPr>
                  <w:tcW w:w="1073" w:type="pct"/>
                  <w:tcBorders>
                    <w:tl2br w:val="nil"/>
                    <w:tr2bl w:val="nil"/>
                  </w:tcBorders>
                  <w:vAlign w:val="center"/>
                </w:tcPr>
                <w:p w14:paraId="1BD38F44">
                  <w:pPr>
                    <w:widowControl/>
                    <w:jc w:val="center"/>
                    <w:textAlignment w:val="center"/>
                    <w:rPr>
                      <w:szCs w:val="21"/>
                    </w:rPr>
                  </w:pPr>
                  <w:r>
                    <w:rPr>
                      <w:kern w:val="0"/>
                      <w:szCs w:val="21"/>
                    </w:rPr>
                    <w:t>N39°10′09.430″</w:t>
                  </w:r>
                </w:p>
              </w:tc>
              <w:tc>
                <w:tcPr>
                  <w:tcW w:w="889" w:type="pct"/>
                  <w:tcBorders>
                    <w:tl2br w:val="nil"/>
                    <w:tr2bl w:val="nil"/>
                  </w:tcBorders>
                  <w:vAlign w:val="center"/>
                </w:tcPr>
                <w:p w14:paraId="48997836">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115FD0B9">
                  <w:pPr>
                    <w:adjustRightInd w:val="0"/>
                    <w:snapToGrid w:val="0"/>
                    <w:spacing w:line="0" w:lineRule="atLeast"/>
                    <w:jc w:val="center"/>
                    <w:rPr>
                      <w:szCs w:val="21"/>
                    </w:rPr>
                  </w:pPr>
                  <w:r>
                    <w:rPr>
                      <w:szCs w:val="21"/>
                    </w:rPr>
                    <w:t>混塔</w:t>
                  </w:r>
                </w:p>
              </w:tc>
            </w:tr>
            <w:tr w14:paraId="2649C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42EB886">
                  <w:pPr>
                    <w:adjustRightInd w:val="0"/>
                    <w:snapToGrid w:val="0"/>
                    <w:spacing w:line="0" w:lineRule="atLeast"/>
                    <w:jc w:val="center"/>
                    <w:rPr>
                      <w:szCs w:val="21"/>
                    </w:rPr>
                  </w:pPr>
                </w:p>
              </w:tc>
              <w:tc>
                <w:tcPr>
                  <w:tcW w:w="441" w:type="pct"/>
                  <w:vMerge w:val="continue"/>
                  <w:tcBorders>
                    <w:tl2br w:val="nil"/>
                    <w:tr2bl w:val="nil"/>
                  </w:tcBorders>
                  <w:vAlign w:val="center"/>
                </w:tcPr>
                <w:p w14:paraId="62904392">
                  <w:pPr>
                    <w:adjustRightInd w:val="0"/>
                    <w:snapToGrid w:val="0"/>
                    <w:spacing w:line="0" w:lineRule="atLeast"/>
                    <w:jc w:val="center"/>
                    <w:rPr>
                      <w:szCs w:val="21"/>
                    </w:rPr>
                  </w:pPr>
                </w:p>
              </w:tc>
              <w:tc>
                <w:tcPr>
                  <w:tcW w:w="235" w:type="pct"/>
                  <w:tcBorders>
                    <w:tl2br w:val="nil"/>
                    <w:tr2bl w:val="nil"/>
                  </w:tcBorders>
                  <w:vAlign w:val="center"/>
                </w:tcPr>
                <w:p w14:paraId="67FE198D">
                  <w:pPr>
                    <w:widowControl/>
                    <w:jc w:val="center"/>
                    <w:textAlignment w:val="center"/>
                    <w:rPr>
                      <w:szCs w:val="21"/>
                    </w:rPr>
                  </w:pPr>
                  <w:r>
                    <w:rPr>
                      <w:kern w:val="0"/>
                      <w:szCs w:val="21"/>
                    </w:rPr>
                    <w:t>34</w:t>
                  </w:r>
                </w:p>
              </w:tc>
              <w:tc>
                <w:tcPr>
                  <w:tcW w:w="394" w:type="pct"/>
                  <w:tcBorders>
                    <w:tl2br w:val="nil"/>
                    <w:tr2bl w:val="nil"/>
                  </w:tcBorders>
                  <w:vAlign w:val="center"/>
                </w:tcPr>
                <w:p w14:paraId="0FCDACAD">
                  <w:pPr>
                    <w:widowControl/>
                    <w:jc w:val="center"/>
                    <w:textAlignment w:val="center"/>
                    <w:rPr>
                      <w:szCs w:val="21"/>
                    </w:rPr>
                  </w:pPr>
                  <w:r>
                    <w:rPr>
                      <w:kern w:val="0"/>
                      <w:szCs w:val="21"/>
                    </w:rPr>
                    <w:t>J34</w:t>
                  </w:r>
                </w:p>
              </w:tc>
              <w:tc>
                <w:tcPr>
                  <w:tcW w:w="1158" w:type="pct"/>
                  <w:tcBorders>
                    <w:tl2br w:val="nil"/>
                    <w:tr2bl w:val="nil"/>
                  </w:tcBorders>
                  <w:vAlign w:val="center"/>
                </w:tcPr>
                <w:p w14:paraId="55D60901">
                  <w:pPr>
                    <w:widowControl/>
                    <w:jc w:val="center"/>
                    <w:textAlignment w:val="center"/>
                    <w:rPr>
                      <w:szCs w:val="21"/>
                    </w:rPr>
                  </w:pPr>
                  <w:r>
                    <w:rPr>
                      <w:kern w:val="0"/>
                      <w:szCs w:val="21"/>
                    </w:rPr>
                    <w:t>E118°29′20.004″</w:t>
                  </w:r>
                </w:p>
              </w:tc>
              <w:tc>
                <w:tcPr>
                  <w:tcW w:w="1073" w:type="pct"/>
                  <w:tcBorders>
                    <w:tl2br w:val="nil"/>
                    <w:tr2bl w:val="nil"/>
                  </w:tcBorders>
                  <w:vAlign w:val="center"/>
                </w:tcPr>
                <w:p w14:paraId="57956B5F">
                  <w:pPr>
                    <w:widowControl/>
                    <w:jc w:val="center"/>
                    <w:textAlignment w:val="center"/>
                    <w:rPr>
                      <w:szCs w:val="21"/>
                    </w:rPr>
                  </w:pPr>
                  <w:r>
                    <w:rPr>
                      <w:kern w:val="0"/>
                      <w:szCs w:val="21"/>
                    </w:rPr>
                    <w:t>N39°09′59.854″</w:t>
                  </w:r>
                </w:p>
              </w:tc>
              <w:tc>
                <w:tcPr>
                  <w:tcW w:w="889" w:type="pct"/>
                  <w:tcBorders>
                    <w:tl2br w:val="nil"/>
                    <w:tr2bl w:val="nil"/>
                  </w:tcBorders>
                  <w:vAlign w:val="center"/>
                </w:tcPr>
                <w:p w14:paraId="545A64C0">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E2646DE">
                  <w:pPr>
                    <w:adjustRightInd w:val="0"/>
                    <w:snapToGrid w:val="0"/>
                    <w:spacing w:line="0" w:lineRule="atLeast"/>
                    <w:jc w:val="center"/>
                    <w:rPr>
                      <w:szCs w:val="21"/>
                    </w:rPr>
                  </w:pPr>
                  <w:r>
                    <w:rPr>
                      <w:szCs w:val="21"/>
                    </w:rPr>
                    <w:t>混塔</w:t>
                  </w:r>
                </w:p>
              </w:tc>
            </w:tr>
            <w:tr w14:paraId="56EB9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410AE094">
                  <w:pPr>
                    <w:adjustRightInd w:val="0"/>
                    <w:snapToGrid w:val="0"/>
                    <w:spacing w:line="0" w:lineRule="atLeast"/>
                    <w:jc w:val="center"/>
                    <w:rPr>
                      <w:szCs w:val="21"/>
                    </w:rPr>
                  </w:pPr>
                </w:p>
              </w:tc>
              <w:tc>
                <w:tcPr>
                  <w:tcW w:w="441" w:type="pct"/>
                  <w:vMerge w:val="continue"/>
                  <w:tcBorders>
                    <w:tl2br w:val="nil"/>
                    <w:tr2bl w:val="nil"/>
                  </w:tcBorders>
                  <w:vAlign w:val="center"/>
                </w:tcPr>
                <w:p w14:paraId="010AE7F4">
                  <w:pPr>
                    <w:adjustRightInd w:val="0"/>
                    <w:snapToGrid w:val="0"/>
                    <w:spacing w:line="0" w:lineRule="atLeast"/>
                    <w:jc w:val="center"/>
                    <w:rPr>
                      <w:szCs w:val="21"/>
                    </w:rPr>
                  </w:pPr>
                </w:p>
              </w:tc>
              <w:tc>
                <w:tcPr>
                  <w:tcW w:w="235" w:type="pct"/>
                  <w:tcBorders>
                    <w:tl2br w:val="nil"/>
                    <w:tr2bl w:val="nil"/>
                  </w:tcBorders>
                  <w:vAlign w:val="center"/>
                </w:tcPr>
                <w:p w14:paraId="344B05A9">
                  <w:pPr>
                    <w:widowControl/>
                    <w:jc w:val="center"/>
                    <w:textAlignment w:val="center"/>
                    <w:rPr>
                      <w:szCs w:val="21"/>
                    </w:rPr>
                  </w:pPr>
                  <w:r>
                    <w:rPr>
                      <w:kern w:val="0"/>
                      <w:szCs w:val="21"/>
                    </w:rPr>
                    <w:t>35</w:t>
                  </w:r>
                </w:p>
              </w:tc>
              <w:tc>
                <w:tcPr>
                  <w:tcW w:w="394" w:type="pct"/>
                  <w:tcBorders>
                    <w:tl2br w:val="nil"/>
                    <w:tr2bl w:val="nil"/>
                  </w:tcBorders>
                  <w:vAlign w:val="center"/>
                </w:tcPr>
                <w:p w14:paraId="32F516D1">
                  <w:pPr>
                    <w:widowControl/>
                    <w:jc w:val="center"/>
                    <w:textAlignment w:val="center"/>
                    <w:rPr>
                      <w:szCs w:val="21"/>
                    </w:rPr>
                  </w:pPr>
                  <w:r>
                    <w:rPr>
                      <w:kern w:val="0"/>
                      <w:szCs w:val="21"/>
                    </w:rPr>
                    <w:t>J35</w:t>
                  </w:r>
                </w:p>
              </w:tc>
              <w:tc>
                <w:tcPr>
                  <w:tcW w:w="1158" w:type="pct"/>
                  <w:tcBorders>
                    <w:tl2br w:val="nil"/>
                    <w:tr2bl w:val="nil"/>
                  </w:tcBorders>
                  <w:vAlign w:val="center"/>
                </w:tcPr>
                <w:p w14:paraId="5B0F738E">
                  <w:pPr>
                    <w:widowControl/>
                    <w:jc w:val="center"/>
                    <w:textAlignment w:val="center"/>
                    <w:rPr>
                      <w:szCs w:val="21"/>
                    </w:rPr>
                  </w:pPr>
                  <w:r>
                    <w:rPr>
                      <w:kern w:val="0"/>
                      <w:szCs w:val="21"/>
                    </w:rPr>
                    <w:t>E118°30′23.094″</w:t>
                  </w:r>
                </w:p>
              </w:tc>
              <w:tc>
                <w:tcPr>
                  <w:tcW w:w="1073" w:type="pct"/>
                  <w:tcBorders>
                    <w:tl2br w:val="nil"/>
                    <w:tr2bl w:val="nil"/>
                  </w:tcBorders>
                  <w:vAlign w:val="center"/>
                </w:tcPr>
                <w:p w14:paraId="62772A59">
                  <w:pPr>
                    <w:widowControl/>
                    <w:jc w:val="center"/>
                    <w:textAlignment w:val="center"/>
                    <w:rPr>
                      <w:szCs w:val="21"/>
                    </w:rPr>
                  </w:pPr>
                  <w:r>
                    <w:rPr>
                      <w:kern w:val="0"/>
                      <w:szCs w:val="21"/>
                    </w:rPr>
                    <w:t>N39°09′50.623″</w:t>
                  </w:r>
                </w:p>
              </w:tc>
              <w:tc>
                <w:tcPr>
                  <w:tcW w:w="889" w:type="pct"/>
                  <w:tcBorders>
                    <w:tl2br w:val="nil"/>
                    <w:tr2bl w:val="nil"/>
                  </w:tcBorders>
                  <w:vAlign w:val="center"/>
                </w:tcPr>
                <w:p w14:paraId="5228CC13">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5A1CDD05">
                  <w:pPr>
                    <w:adjustRightInd w:val="0"/>
                    <w:snapToGrid w:val="0"/>
                    <w:spacing w:line="0" w:lineRule="atLeast"/>
                    <w:jc w:val="center"/>
                    <w:rPr>
                      <w:szCs w:val="21"/>
                    </w:rPr>
                  </w:pPr>
                  <w:r>
                    <w:rPr>
                      <w:szCs w:val="21"/>
                    </w:rPr>
                    <w:t>混塔</w:t>
                  </w:r>
                </w:p>
              </w:tc>
            </w:tr>
            <w:tr w14:paraId="0865F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61429F5">
                  <w:pPr>
                    <w:adjustRightInd w:val="0"/>
                    <w:snapToGrid w:val="0"/>
                    <w:spacing w:line="0" w:lineRule="atLeast"/>
                    <w:jc w:val="center"/>
                    <w:rPr>
                      <w:szCs w:val="21"/>
                    </w:rPr>
                  </w:pPr>
                </w:p>
              </w:tc>
              <w:tc>
                <w:tcPr>
                  <w:tcW w:w="441" w:type="pct"/>
                  <w:vMerge w:val="continue"/>
                  <w:tcBorders>
                    <w:tl2br w:val="nil"/>
                    <w:tr2bl w:val="nil"/>
                  </w:tcBorders>
                  <w:vAlign w:val="center"/>
                </w:tcPr>
                <w:p w14:paraId="2550C902">
                  <w:pPr>
                    <w:adjustRightInd w:val="0"/>
                    <w:snapToGrid w:val="0"/>
                    <w:spacing w:line="0" w:lineRule="atLeast"/>
                    <w:jc w:val="center"/>
                    <w:rPr>
                      <w:szCs w:val="21"/>
                    </w:rPr>
                  </w:pPr>
                </w:p>
              </w:tc>
              <w:tc>
                <w:tcPr>
                  <w:tcW w:w="235" w:type="pct"/>
                  <w:tcBorders>
                    <w:tl2br w:val="nil"/>
                    <w:tr2bl w:val="nil"/>
                  </w:tcBorders>
                  <w:vAlign w:val="center"/>
                </w:tcPr>
                <w:p w14:paraId="26C48382">
                  <w:pPr>
                    <w:widowControl/>
                    <w:jc w:val="center"/>
                    <w:textAlignment w:val="center"/>
                    <w:rPr>
                      <w:szCs w:val="21"/>
                    </w:rPr>
                  </w:pPr>
                  <w:r>
                    <w:rPr>
                      <w:kern w:val="0"/>
                      <w:szCs w:val="21"/>
                    </w:rPr>
                    <w:t>36</w:t>
                  </w:r>
                </w:p>
              </w:tc>
              <w:tc>
                <w:tcPr>
                  <w:tcW w:w="394" w:type="pct"/>
                  <w:tcBorders>
                    <w:tl2br w:val="nil"/>
                    <w:tr2bl w:val="nil"/>
                  </w:tcBorders>
                  <w:vAlign w:val="center"/>
                </w:tcPr>
                <w:p w14:paraId="646B90EE">
                  <w:pPr>
                    <w:widowControl/>
                    <w:jc w:val="center"/>
                    <w:textAlignment w:val="center"/>
                    <w:rPr>
                      <w:szCs w:val="21"/>
                    </w:rPr>
                  </w:pPr>
                  <w:r>
                    <w:rPr>
                      <w:kern w:val="0"/>
                      <w:szCs w:val="21"/>
                    </w:rPr>
                    <w:t>J36</w:t>
                  </w:r>
                </w:p>
              </w:tc>
              <w:tc>
                <w:tcPr>
                  <w:tcW w:w="1158" w:type="pct"/>
                  <w:tcBorders>
                    <w:tl2br w:val="nil"/>
                    <w:tr2bl w:val="nil"/>
                  </w:tcBorders>
                  <w:vAlign w:val="center"/>
                </w:tcPr>
                <w:p w14:paraId="1BE2D455">
                  <w:pPr>
                    <w:widowControl/>
                    <w:jc w:val="center"/>
                    <w:textAlignment w:val="center"/>
                    <w:rPr>
                      <w:szCs w:val="21"/>
                    </w:rPr>
                  </w:pPr>
                  <w:r>
                    <w:rPr>
                      <w:kern w:val="0"/>
                      <w:szCs w:val="21"/>
                    </w:rPr>
                    <w:t>E118°29′52.681″</w:t>
                  </w:r>
                </w:p>
              </w:tc>
              <w:tc>
                <w:tcPr>
                  <w:tcW w:w="1073" w:type="pct"/>
                  <w:tcBorders>
                    <w:tl2br w:val="nil"/>
                    <w:tr2bl w:val="nil"/>
                  </w:tcBorders>
                  <w:vAlign w:val="center"/>
                </w:tcPr>
                <w:p w14:paraId="128DDCC8">
                  <w:pPr>
                    <w:widowControl/>
                    <w:jc w:val="center"/>
                    <w:textAlignment w:val="center"/>
                    <w:rPr>
                      <w:szCs w:val="21"/>
                    </w:rPr>
                  </w:pPr>
                  <w:r>
                    <w:rPr>
                      <w:kern w:val="0"/>
                      <w:szCs w:val="21"/>
                    </w:rPr>
                    <w:t>N39°09′44.640″</w:t>
                  </w:r>
                </w:p>
              </w:tc>
              <w:tc>
                <w:tcPr>
                  <w:tcW w:w="889" w:type="pct"/>
                  <w:tcBorders>
                    <w:tl2br w:val="nil"/>
                    <w:tr2bl w:val="nil"/>
                  </w:tcBorders>
                  <w:vAlign w:val="center"/>
                </w:tcPr>
                <w:p w14:paraId="11AA3BC0">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1C4F86C9">
                  <w:pPr>
                    <w:adjustRightInd w:val="0"/>
                    <w:snapToGrid w:val="0"/>
                    <w:spacing w:line="0" w:lineRule="atLeast"/>
                    <w:jc w:val="center"/>
                    <w:rPr>
                      <w:szCs w:val="21"/>
                    </w:rPr>
                  </w:pPr>
                  <w:r>
                    <w:rPr>
                      <w:szCs w:val="21"/>
                    </w:rPr>
                    <w:t>混塔</w:t>
                  </w:r>
                </w:p>
              </w:tc>
            </w:tr>
            <w:tr w14:paraId="2A387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16248E8A">
                  <w:pPr>
                    <w:adjustRightInd w:val="0"/>
                    <w:snapToGrid w:val="0"/>
                    <w:spacing w:line="0" w:lineRule="atLeast"/>
                    <w:jc w:val="center"/>
                    <w:rPr>
                      <w:szCs w:val="21"/>
                    </w:rPr>
                  </w:pPr>
                </w:p>
              </w:tc>
              <w:tc>
                <w:tcPr>
                  <w:tcW w:w="441" w:type="pct"/>
                  <w:vMerge w:val="continue"/>
                  <w:tcBorders>
                    <w:tl2br w:val="nil"/>
                    <w:tr2bl w:val="nil"/>
                  </w:tcBorders>
                  <w:vAlign w:val="center"/>
                </w:tcPr>
                <w:p w14:paraId="6EC1CECB">
                  <w:pPr>
                    <w:adjustRightInd w:val="0"/>
                    <w:snapToGrid w:val="0"/>
                    <w:spacing w:line="0" w:lineRule="atLeast"/>
                    <w:jc w:val="center"/>
                    <w:rPr>
                      <w:szCs w:val="21"/>
                    </w:rPr>
                  </w:pPr>
                </w:p>
              </w:tc>
              <w:tc>
                <w:tcPr>
                  <w:tcW w:w="235" w:type="pct"/>
                  <w:tcBorders>
                    <w:tl2br w:val="nil"/>
                    <w:tr2bl w:val="nil"/>
                  </w:tcBorders>
                  <w:vAlign w:val="center"/>
                </w:tcPr>
                <w:p w14:paraId="660459B4">
                  <w:pPr>
                    <w:widowControl/>
                    <w:jc w:val="center"/>
                    <w:textAlignment w:val="center"/>
                    <w:rPr>
                      <w:szCs w:val="21"/>
                    </w:rPr>
                  </w:pPr>
                  <w:r>
                    <w:rPr>
                      <w:kern w:val="0"/>
                      <w:szCs w:val="21"/>
                    </w:rPr>
                    <w:t>37</w:t>
                  </w:r>
                </w:p>
              </w:tc>
              <w:tc>
                <w:tcPr>
                  <w:tcW w:w="394" w:type="pct"/>
                  <w:tcBorders>
                    <w:tl2br w:val="nil"/>
                    <w:tr2bl w:val="nil"/>
                  </w:tcBorders>
                  <w:vAlign w:val="center"/>
                </w:tcPr>
                <w:p w14:paraId="241C61DD">
                  <w:pPr>
                    <w:widowControl/>
                    <w:jc w:val="center"/>
                    <w:textAlignment w:val="center"/>
                    <w:rPr>
                      <w:szCs w:val="21"/>
                    </w:rPr>
                  </w:pPr>
                  <w:r>
                    <w:rPr>
                      <w:kern w:val="0"/>
                      <w:szCs w:val="21"/>
                    </w:rPr>
                    <w:t>J37</w:t>
                  </w:r>
                </w:p>
              </w:tc>
              <w:tc>
                <w:tcPr>
                  <w:tcW w:w="1158" w:type="pct"/>
                  <w:tcBorders>
                    <w:tl2br w:val="nil"/>
                    <w:tr2bl w:val="nil"/>
                  </w:tcBorders>
                  <w:vAlign w:val="center"/>
                </w:tcPr>
                <w:p w14:paraId="78CD8ECB">
                  <w:pPr>
                    <w:widowControl/>
                    <w:jc w:val="center"/>
                    <w:textAlignment w:val="center"/>
                    <w:rPr>
                      <w:szCs w:val="21"/>
                    </w:rPr>
                  </w:pPr>
                  <w:r>
                    <w:rPr>
                      <w:kern w:val="0"/>
                      <w:szCs w:val="21"/>
                    </w:rPr>
                    <w:t>E118°30′47.095″</w:t>
                  </w:r>
                </w:p>
              </w:tc>
              <w:tc>
                <w:tcPr>
                  <w:tcW w:w="1073" w:type="pct"/>
                  <w:tcBorders>
                    <w:tl2br w:val="nil"/>
                    <w:tr2bl w:val="nil"/>
                  </w:tcBorders>
                  <w:vAlign w:val="center"/>
                </w:tcPr>
                <w:p w14:paraId="38925EDA">
                  <w:pPr>
                    <w:widowControl/>
                    <w:jc w:val="center"/>
                    <w:textAlignment w:val="center"/>
                    <w:rPr>
                      <w:szCs w:val="21"/>
                    </w:rPr>
                  </w:pPr>
                  <w:r>
                    <w:rPr>
                      <w:kern w:val="0"/>
                      <w:szCs w:val="21"/>
                    </w:rPr>
                    <w:t>N39°09′28.778″</w:t>
                  </w:r>
                </w:p>
              </w:tc>
              <w:tc>
                <w:tcPr>
                  <w:tcW w:w="889" w:type="pct"/>
                  <w:tcBorders>
                    <w:tl2br w:val="nil"/>
                    <w:tr2bl w:val="nil"/>
                  </w:tcBorders>
                  <w:vAlign w:val="center"/>
                </w:tcPr>
                <w:p w14:paraId="67B5BEC1">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50E5D81A">
                  <w:pPr>
                    <w:adjustRightInd w:val="0"/>
                    <w:snapToGrid w:val="0"/>
                    <w:spacing w:line="0" w:lineRule="atLeast"/>
                    <w:jc w:val="center"/>
                    <w:rPr>
                      <w:szCs w:val="21"/>
                    </w:rPr>
                  </w:pPr>
                  <w:r>
                    <w:rPr>
                      <w:szCs w:val="21"/>
                    </w:rPr>
                    <w:t>混塔</w:t>
                  </w:r>
                </w:p>
              </w:tc>
            </w:tr>
            <w:tr w14:paraId="5A27C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7271D706">
                  <w:pPr>
                    <w:adjustRightInd w:val="0"/>
                    <w:snapToGrid w:val="0"/>
                    <w:spacing w:line="0" w:lineRule="atLeast"/>
                    <w:jc w:val="center"/>
                    <w:rPr>
                      <w:szCs w:val="21"/>
                    </w:rPr>
                  </w:pPr>
                </w:p>
              </w:tc>
              <w:tc>
                <w:tcPr>
                  <w:tcW w:w="441" w:type="pct"/>
                  <w:vMerge w:val="continue"/>
                  <w:tcBorders>
                    <w:tl2br w:val="nil"/>
                    <w:tr2bl w:val="nil"/>
                  </w:tcBorders>
                  <w:vAlign w:val="center"/>
                </w:tcPr>
                <w:p w14:paraId="06859BA6">
                  <w:pPr>
                    <w:adjustRightInd w:val="0"/>
                    <w:snapToGrid w:val="0"/>
                    <w:spacing w:line="0" w:lineRule="atLeast"/>
                    <w:jc w:val="center"/>
                    <w:rPr>
                      <w:szCs w:val="21"/>
                    </w:rPr>
                  </w:pPr>
                </w:p>
              </w:tc>
              <w:tc>
                <w:tcPr>
                  <w:tcW w:w="235" w:type="pct"/>
                  <w:tcBorders>
                    <w:tl2br w:val="nil"/>
                    <w:tr2bl w:val="nil"/>
                  </w:tcBorders>
                  <w:vAlign w:val="center"/>
                </w:tcPr>
                <w:p w14:paraId="402D81FA">
                  <w:pPr>
                    <w:widowControl/>
                    <w:jc w:val="center"/>
                    <w:textAlignment w:val="center"/>
                    <w:rPr>
                      <w:szCs w:val="21"/>
                    </w:rPr>
                  </w:pPr>
                  <w:r>
                    <w:rPr>
                      <w:kern w:val="0"/>
                      <w:szCs w:val="21"/>
                    </w:rPr>
                    <w:t>38</w:t>
                  </w:r>
                </w:p>
              </w:tc>
              <w:tc>
                <w:tcPr>
                  <w:tcW w:w="394" w:type="pct"/>
                  <w:tcBorders>
                    <w:tl2br w:val="nil"/>
                    <w:tr2bl w:val="nil"/>
                  </w:tcBorders>
                  <w:vAlign w:val="center"/>
                </w:tcPr>
                <w:p w14:paraId="4FC12452">
                  <w:pPr>
                    <w:widowControl/>
                    <w:jc w:val="center"/>
                    <w:textAlignment w:val="center"/>
                    <w:rPr>
                      <w:szCs w:val="21"/>
                    </w:rPr>
                  </w:pPr>
                  <w:r>
                    <w:rPr>
                      <w:kern w:val="0"/>
                      <w:szCs w:val="21"/>
                    </w:rPr>
                    <w:t>J38</w:t>
                  </w:r>
                </w:p>
              </w:tc>
              <w:tc>
                <w:tcPr>
                  <w:tcW w:w="1158" w:type="pct"/>
                  <w:tcBorders>
                    <w:tl2br w:val="nil"/>
                    <w:tr2bl w:val="nil"/>
                  </w:tcBorders>
                  <w:vAlign w:val="center"/>
                </w:tcPr>
                <w:p w14:paraId="4489C9E2">
                  <w:pPr>
                    <w:widowControl/>
                    <w:jc w:val="center"/>
                    <w:textAlignment w:val="center"/>
                    <w:rPr>
                      <w:szCs w:val="21"/>
                    </w:rPr>
                  </w:pPr>
                  <w:r>
                    <w:rPr>
                      <w:kern w:val="0"/>
                      <w:szCs w:val="21"/>
                    </w:rPr>
                    <w:t>E118°29′20.162″</w:t>
                  </w:r>
                </w:p>
              </w:tc>
              <w:tc>
                <w:tcPr>
                  <w:tcW w:w="1073" w:type="pct"/>
                  <w:tcBorders>
                    <w:tl2br w:val="nil"/>
                    <w:tr2bl w:val="nil"/>
                  </w:tcBorders>
                  <w:vAlign w:val="center"/>
                </w:tcPr>
                <w:p w14:paraId="7746A536">
                  <w:pPr>
                    <w:widowControl/>
                    <w:jc w:val="center"/>
                    <w:textAlignment w:val="center"/>
                    <w:rPr>
                      <w:szCs w:val="21"/>
                    </w:rPr>
                  </w:pPr>
                  <w:r>
                    <w:rPr>
                      <w:kern w:val="0"/>
                      <w:szCs w:val="21"/>
                    </w:rPr>
                    <w:t>N39°09′24.149″</w:t>
                  </w:r>
                </w:p>
              </w:tc>
              <w:tc>
                <w:tcPr>
                  <w:tcW w:w="889" w:type="pct"/>
                  <w:tcBorders>
                    <w:tl2br w:val="nil"/>
                    <w:tr2bl w:val="nil"/>
                  </w:tcBorders>
                  <w:vAlign w:val="center"/>
                </w:tcPr>
                <w:p w14:paraId="646E2A1A">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64DAA103">
                  <w:pPr>
                    <w:adjustRightInd w:val="0"/>
                    <w:snapToGrid w:val="0"/>
                    <w:spacing w:line="0" w:lineRule="atLeast"/>
                    <w:jc w:val="center"/>
                    <w:rPr>
                      <w:szCs w:val="21"/>
                    </w:rPr>
                  </w:pPr>
                  <w:r>
                    <w:rPr>
                      <w:szCs w:val="21"/>
                    </w:rPr>
                    <w:t>混塔</w:t>
                  </w:r>
                </w:p>
              </w:tc>
            </w:tr>
            <w:tr w14:paraId="2455C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2800C401">
                  <w:pPr>
                    <w:adjustRightInd w:val="0"/>
                    <w:snapToGrid w:val="0"/>
                    <w:spacing w:line="0" w:lineRule="atLeast"/>
                    <w:jc w:val="center"/>
                    <w:rPr>
                      <w:szCs w:val="21"/>
                    </w:rPr>
                  </w:pPr>
                </w:p>
              </w:tc>
              <w:tc>
                <w:tcPr>
                  <w:tcW w:w="441" w:type="pct"/>
                  <w:vMerge w:val="continue"/>
                  <w:tcBorders>
                    <w:tl2br w:val="nil"/>
                    <w:tr2bl w:val="nil"/>
                  </w:tcBorders>
                  <w:vAlign w:val="center"/>
                </w:tcPr>
                <w:p w14:paraId="752A7D7B">
                  <w:pPr>
                    <w:adjustRightInd w:val="0"/>
                    <w:snapToGrid w:val="0"/>
                    <w:spacing w:line="0" w:lineRule="atLeast"/>
                    <w:jc w:val="center"/>
                    <w:rPr>
                      <w:szCs w:val="21"/>
                    </w:rPr>
                  </w:pPr>
                </w:p>
              </w:tc>
              <w:tc>
                <w:tcPr>
                  <w:tcW w:w="235" w:type="pct"/>
                  <w:tcBorders>
                    <w:tl2br w:val="nil"/>
                    <w:tr2bl w:val="nil"/>
                  </w:tcBorders>
                  <w:vAlign w:val="center"/>
                </w:tcPr>
                <w:p w14:paraId="262A6C11">
                  <w:pPr>
                    <w:widowControl/>
                    <w:jc w:val="center"/>
                    <w:textAlignment w:val="center"/>
                    <w:rPr>
                      <w:szCs w:val="21"/>
                    </w:rPr>
                  </w:pPr>
                  <w:r>
                    <w:rPr>
                      <w:kern w:val="0"/>
                      <w:szCs w:val="21"/>
                    </w:rPr>
                    <w:t>39</w:t>
                  </w:r>
                </w:p>
              </w:tc>
              <w:tc>
                <w:tcPr>
                  <w:tcW w:w="394" w:type="pct"/>
                  <w:tcBorders>
                    <w:tl2br w:val="nil"/>
                    <w:tr2bl w:val="nil"/>
                  </w:tcBorders>
                  <w:vAlign w:val="center"/>
                </w:tcPr>
                <w:p w14:paraId="32F22F92">
                  <w:pPr>
                    <w:widowControl/>
                    <w:jc w:val="center"/>
                    <w:textAlignment w:val="center"/>
                    <w:rPr>
                      <w:szCs w:val="21"/>
                    </w:rPr>
                  </w:pPr>
                  <w:r>
                    <w:rPr>
                      <w:kern w:val="0"/>
                      <w:szCs w:val="21"/>
                    </w:rPr>
                    <w:t>J39</w:t>
                  </w:r>
                </w:p>
              </w:tc>
              <w:tc>
                <w:tcPr>
                  <w:tcW w:w="1158" w:type="pct"/>
                  <w:tcBorders>
                    <w:tl2br w:val="nil"/>
                    <w:tr2bl w:val="nil"/>
                  </w:tcBorders>
                  <w:vAlign w:val="center"/>
                </w:tcPr>
                <w:p w14:paraId="689A6086">
                  <w:pPr>
                    <w:widowControl/>
                    <w:jc w:val="center"/>
                    <w:textAlignment w:val="center"/>
                    <w:rPr>
                      <w:szCs w:val="21"/>
                    </w:rPr>
                  </w:pPr>
                  <w:r>
                    <w:rPr>
                      <w:kern w:val="0"/>
                      <w:szCs w:val="21"/>
                    </w:rPr>
                    <w:t>E118°30′26.381″</w:t>
                  </w:r>
                </w:p>
              </w:tc>
              <w:tc>
                <w:tcPr>
                  <w:tcW w:w="1073" w:type="pct"/>
                  <w:tcBorders>
                    <w:tl2br w:val="nil"/>
                    <w:tr2bl w:val="nil"/>
                  </w:tcBorders>
                  <w:vAlign w:val="center"/>
                </w:tcPr>
                <w:p w14:paraId="2C1C011D">
                  <w:pPr>
                    <w:widowControl/>
                    <w:jc w:val="center"/>
                    <w:textAlignment w:val="center"/>
                    <w:rPr>
                      <w:szCs w:val="21"/>
                    </w:rPr>
                  </w:pPr>
                  <w:r>
                    <w:rPr>
                      <w:kern w:val="0"/>
                      <w:szCs w:val="21"/>
                    </w:rPr>
                    <w:t>N39°09′19.854″</w:t>
                  </w:r>
                </w:p>
              </w:tc>
              <w:tc>
                <w:tcPr>
                  <w:tcW w:w="889" w:type="pct"/>
                  <w:tcBorders>
                    <w:tl2br w:val="nil"/>
                    <w:tr2bl w:val="nil"/>
                  </w:tcBorders>
                  <w:vAlign w:val="center"/>
                </w:tcPr>
                <w:p w14:paraId="5AFACC3D">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7E23781">
                  <w:pPr>
                    <w:adjustRightInd w:val="0"/>
                    <w:snapToGrid w:val="0"/>
                    <w:spacing w:line="0" w:lineRule="atLeast"/>
                    <w:jc w:val="center"/>
                    <w:rPr>
                      <w:szCs w:val="21"/>
                    </w:rPr>
                  </w:pPr>
                  <w:r>
                    <w:rPr>
                      <w:szCs w:val="21"/>
                    </w:rPr>
                    <w:t>混塔</w:t>
                  </w:r>
                </w:p>
              </w:tc>
            </w:tr>
            <w:tr w14:paraId="6493D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853F459">
                  <w:pPr>
                    <w:adjustRightInd w:val="0"/>
                    <w:snapToGrid w:val="0"/>
                    <w:spacing w:line="0" w:lineRule="atLeast"/>
                    <w:jc w:val="center"/>
                    <w:rPr>
                      <w:szCs w:val="21"/>
                    </w:rPr>
                  </w:pPr>
                </w:p>
              </w:tc>
              <w:tc>
                <w:tcPr>
                  <w:tcW w:w="441" w:type="pct"/>
                  <w:vMerge w:val="continue"/>
                  <w:tcBorders>
                    <w:tl2br w:val="nil"/>
                    <w:tr2bl w:val="nil"/>
                  </w:tcBorders>
                  <w:vAlign w:val="center"/>
                </w:tcPr>
                <w:p w14:paraId="2E02A929">
                  <w:pPr>
                    <w:adjustRightInd w:val="0"/>
                    <w:snapToGrid w:val="0"/>
                    <w:spacing w:line="0" w:lineRule="atLeast"/>
                    <w:jc w:val="center"/>
                    <w:rPr>
                      <w:szCs w:val="21"/>
                    </w:rPr>
                  </w:pPr>
                </w:p>
              </w:tc>
              <w:tc>
                <w:tcPr>
                  <w:tcW w:w="235" w:type="pct"/>
                  <w:tcBorders>
                    <w:tl2br w:val="nil"/>
                    <w:tr2bl w:val="nil"/>
                  </w:tcBorders>
                  <w:vAlign w:val="center"/>
                </w:tcPr>
                <w:p w14:paraId="304B5E1E">
                  <w:pPr>
                    <w:widowControl/>
                    <w:jc w:val="center"/>
                    <w:textAlignment w:val="center"/>
                    <w:rPr>
                      <w:szCs w:val="21"/>
                    </w:rPr>
                  </w:pPr>
                  <w:r>
                    <w:rPr>
                      <w:kern w:val="0"/>
                      <w:szCs w:val="21"/>
                    </w:rPr>
                    <w:t>40</w:t>
                  </w:r>
                </w:p>
              </w:tc>
              <w:tc>
                <w:tcPr>
                  <w:tcW w:w="394" w:type="pct"/>
                  <w:tcBorders>
                    <w:tl2br w:val="nil"/>
                    <w:tr2bl w:val="nil"/>
                  </w:tcBorders>
                  <w:vAlign w:val="center"/>
                </w:tcPr>
                <w:p w14:paraId="4A7EC415">
                  <w:pPr>
                    <w:widowControl/>
                    <w:jc w:val="center"/>
                    <w:textAlignment w:val="center"/>
                    <w:rPr>
                      <w:szCs w:val="21"/>
                    </w:rPr>
                  </w:pPr>
                  <w:r>
                    <w:rPr>
                      <w:kern w:val="0"/>
                      <w:szCs w:val="21"/>
                    </w:rPr>
                    <w:t>J40</w:t>
                  </w:r>
                </w:p>
              </w:tc>
              <w:tc>
                <w:tcPr>
                  <w:tcW w:w="1158" w:type="pct"/>
                  <w:tcBorders>
                    <w:tl2br w:val="nil"/>
                    <w:tr2bl w:val="nil"/>
                  </w:tcBorders>
                  <w:vAlign w:val="center"/>
                </w:tcPr>
                <w:p w14:paraId="022CEB3D">
                  <w:pPr>
                    <w:widowControl/>
                    <w:jc w:val="center"/>
                    <w:textAlignment w:val="center"/>
                    <w:rPr>
                      <w:szCs w:val="21"/>
                    </w:rPr>
                  </w:pPr>
                  <w:r>
                    <w:rPr>
                      <w:kern w:val="0"/>
                      <w:szCs w:val="21"/>
                    </w:rPr>
                    <w:t>E118°30′00.040″</w:t>
                  </w:r>
                </w:p>
              </w:tc>
              <w:tc>
                <w:tcPr>
                  <w:tcW w:w="1073" w:type="pct"/>
                  <w:tcBorders>
                    <w:tl2br w:val="nil"/>
                    <w:tr2bl w:val="nil"/>
                  </w:tcBorders>
                  <w:vAlign w:val="center"/>
                </w:tcPr>
                <w:p w14:paraId="3D71A0C1">
                  <w:pPr>
                    <w:widowControl/>
                    <w:jc w:val="center"/>
                    <w:textAlignment w:val="center"/>
                    <w:rPr>
                      <w:szCs w:val="21"/>
                    </w:rPr>
                  </w:pPr>
                  <w:r>
                    <w:rPr>
                      <w:kern w:val="0"/>
                      <w:szCs w:val="21"/>
                    </w:rPr>
                    <w:t>N39°09′10.976″</w:t>
                  </w:r>
                </w:p>
              </w:tc>
              <w:tc>
                <w:tcPr>
                  <w:tcW w:w="889" w:type="pct"/>
                  <w:tcBorders>
                    <w:tl2br w:val="nil"/>
                    <w:tr2bl w:val="nil"/>
                  </w:tcBorders>
                  <w:vAlign w:val="center"/>
                </w:tcPr>
                <w:p w14:paraId="035B5935">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26A722FB">
                  <w:pPr>
                    <w:adjustRightInd w:val="0"/>
                    <w:snapToGrid w:val="0"/>
                    <w:spacing w:line="0" w:lineRule="atLeast"/>
                    <w:jc w:val="center"/>
                    <w:rPr>
                      <w:szCs w:val="21"/>
                    </w:rPr>
                  </w:pPr>
                  <w:r>
                    <w:rPr>
                      <w:szCs w:val="21"/>
                    </w:rPr>
                    <w:t>混塔</w:t>
                  </w:r>
                </w:p>
              </w:tc>
            </w:tr>
            <w:tr w14:paraId="7CE33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CC7CBC5">
                  <w:pPr>
                    <w:adjustRightInd w:val="0"/>
                    <w:snapToGrid w:val="0"/>
                    <w:spacing w:line="0" w:lineRule="atLeast"/>
                    <w:jc w:val="center"/>
                    <w:rPr>
                      <w:szCs w:val="21"/>
                    </w:rPr>
                  </w:pPr>
                </w:p>
              </w:tc>
              <w:tc>
                <w:tcPr>
                  <w:tcW w:w="441" w:type="pct"/>
                  <w:vMerge w:val="continue"/>
                  <w:tcBorders>
                    <w:tl2br w:val="nil"/>
                    <w:tr2bl w:val="nil"/>
                  </w:tcBorders>
                  <w:vAlign w:val="center"/>
                </w:tcPr>
                <w:p w14:paraId="4CCF4A88">
                  <w:pPr>
                    <w:adjustRightInd w:val="0"/>
                    <w:snapToGrid w:val="0"/>
                    <w:spacing w:line="0" w:lineRule="atLeast"/>
                    <w:jc w:val="center"/>
                    <w:rPr>
                      <w:szCs w:val="21"/>
                    </w:rPr>
                  </w:pPr>
                </w:p>
              </w:tc>
              <w:tc>
                <w:tcPr>
                  <w:tcW w:w="235" w:type="pct"/>
                  <w:tcBorders>
                    <w:tl2br w:val="nil"/>
                    <w:tr2bl w:val="nil"/>
                  </w:tcBorders>
                  <w:vAlign w:val="center"/>
                </w:tcPr>
                <w:p w14:paraId="4E6015D2">
                  <w:pPr>
                    <w:widowControl/>
                    <w:jc w:val="center"/>
                    <w:textAlignment w:val="center"/>
                    <w:rPr>
                      <w:szCs w:val="21"/>
                    </w:rPr>
                  </w:pPr>
                  <w:r>
                    <w:rPr>
                      <w:kern w:val="0"/>
                      <w:szCs w:val="21"/>
                    </w:rPr>
                    <w:t>41</w:t>
                  </w:r>
                </w:p>
              </w:tc>
              <w:tc>
                <w:tcPr>
                  <w:tcW w:w="394" w:type="pct"/>
                  <w:tcBorders>
                    <w:tl2br w:val="nil"/>
                    <w:tr2bl w:val="nil"/>
                  </w:tcBorders>
                  <w:vAlign w:val="center"/>
                </w:tcPr>
                <w:p w14:paraId="21438A94">
                  <w:pPr>
                    <w:widowControl/>
                    <w:jc w:val="center"/>
                    <w:textAlignment w:val="center"/>
                    <w:rPr>
                      <w:szCs w:val="21"/>
                    </w:rPr>
                  </w:pPr>
                  <w:r>
                    <w:rPr>
                      <w:kern w:val="0"/>
                      <w:szCs w:val="21"/>
                    </w:rPr>
                    <w:t>J41</w:t>
                  </w:r>
                </w:p>
              </w:tc>
              <w:tc>
                <w:tcPr>
                  <w:tcW w:w="1158" w:type="pct"/>
                  <w:tcBorders>
                    <w:tl2br w:val="nil"/>
                    <w:tr2bl w:val="nil"/>
                  </w:tcBorders>
                  <w:vAlign w:val="center"/>
                </w:tcPr>
                <w:p w14:paraId="678CF2C7">
                  <w:pPr>
                    <w:widowControl/>
                    <w:jc w:val="center"/>
                    <w:textAlignment w:val="center"/>
                    <w:rPr>
                      <w:szCs w:val="21"/>
                    </w:rPr>
                  </w:pPr>
                  <w:r>
                    <w:rPr>
                      <w:kern w:val="0"/>
                      <w:szCs w:val="21"/>
                    </w:rPr>
                    <w:t>E118°29′02.836″</w:t>
                  </w:r>
                </w:p>
              </w:tc>
              <w:tc>
                <w:tcPr>
                  <w:tcW w:w="1073" w:type="pct"/>
                  <w:tcBorders>
                    <w:tl2br w:val="nil"/>
                    <w:tr2bl w:val="nil"/>
                  </w:tcBorders>
                  <w:vAlign w:val="center"/>
                </w:tcPr>
                <w:p w14:paraId="57B71073">
                  <w:pPr>
                    <w:widowControl/>
                    <w:jc w:val="center"/>
                    <w:textAlignment w:val="center"/>
                    <w:rPr>
                      <w:szCs w:val="21"/>
                    </w:rPr>
                  </w:pPr>
                  <w:r>
                    <w:rPr>
                      <w:kern w:val="0"/>
                      <w:szCs w:val="21"/>
                    </w:rPr>
                    <w:t>N39°09′08.665″</w:t>
                  </w:r>
                </w:p>
              </w:tc>
              <w:tc>
                <w:tcPr>
                  <w:tcW w:w="889" w:type="pct"/>
                  <w:tcBorders>
                    <w:tl2br w:val="nil"/>
                    <w:tr2bl w:val="nil"/>
                  </w:tcBorders>
                  <w:vAlign w:val="center"/>
                </w:tcPr>
                <w:p w14:paraId="5DD29123">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50707923">
                  <w:pPr>
                    <w:adjustRightInd w:val="0"/>
                    <w:snapToGrid w:val="0"/>
                    <w:spacing w:line="0" w:lineRule="atLeast"/>
                    <w:jc w:val="center"/>
                    <w:rPr>
                      <w:szCs w:val="21"/>
                    </w:rPr>
                  </w:pPr>
                  <w:r>
                    <w:rPr>
                      <w:szCs w:val="21"/>
                    </w:rPr>
                    <w:t>混塔</w:t>
                  </w:r>
                </w:p>
              </w:tc>
            </w:tr>
            <w:tr w14:paraId="41BEC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4360A1A">
                  <w:pPr>
                    <w:adjustRightInd w:val="0"/>
                    <w:snapToGrid w:val="0"/>
                    <w:spacing w:line="0" w:lineRule="atLeast"/>
                    <w:jc w:val="center"/>
                    <w:rPr>
                      <w:szCs w:val="21"/>
                    </w:rPr>
                  </w:pPr>
                </w:p>
              </w:tc>
              <w:tc>
                <w:tcPr>
                  <w:tcW w:w="441" w:type="pct"/>
                  <w:vMerge w:val="continue"/>
                  <w:tcBorders>
                    <w:tl2br w:val="nil"/>
                    <w:tr2bl w:val="nil"/>
                  </w:tcBorders>
                  <w:vAlign w:val="center"/>
                </w:tcPr>
                <w:p w14:paraId="28D6A27B">
                  <w:pPr>
                    <w:adjustRightInd w:val="0"/>
                    <w:snapToGrid w:val="0"/>
                    <w:spacing w:line="0" w:lineRule="atLeast"/>
                    <w:jc w:val="center"/>
                    <w:rPr>
                      <w:szCs w:val="21"/>
                    </w:rPr>
                  </w:pPr>
                </w:p>
              </w:tc>
              <w:tc>
                <w:tcPr>
                  <w:tcW w:w="235" w:type="pct"/>
                  <w:tcBorders>
                    <w:tl2br w:val="nil"/>
                    <w:tr2bl w:val="nil"/>
                  </w:tcBorders>
                  <w:vAlign w:val="center"/>
                </w:tcPr>
                <w:p w14:paraId="6FC7AFB2">
                  <w:pPr>
                    <w:widowControl/>
                    <w:jc w:val="center"/>
                    <w:textAlignment w:val="center"/>
                    <w:rPr>
                      <w:szCs w:val="21"/>
                    </w:rPr>
                  </w:pPr>
                  <w:r>
                    <w:rPr>
                      <w:kern w:val="0"/>
                      <w:szCs w:val="21"/>
                    </w:rPr>
                    <w:t>42</w:t>
                  </w:r>
                </w:p>
              </w:tc>
              <w:tc>
                <w:tcPr>
                  <w:tcW w:w="394" w:type="pct"/>
                  <w:tcBorders>
                    <w:tl2br w:val="nil"/>
                    <w:tr2bl w:val="nil"/>
                  </w:tcBorders>
                  <w:vAlign w:val="center"/>
                </w:tcPr>
                <w:p w14:paraId="7302942D">
                  <w:pPr>
                    <w:widowControl/>
                    <w:jc w:val="center"/>
                    <w:textAlignment w:val="center"/>
                    <w:rPr>
                      <w:szCs w:val="21"/>
                    </w:rPr>
                  </w:pPr>
                  <w:r>
                    <w:rPr>
                      <w:kern w:val="0"/>
                      <w:szCs w:val="21"/>
                    </w:rPr>
                    <w:t>J42</w:t>
                  </w:r>
                </w:p>
              </w:tc>
              <w:tc>
                <w:tcPr>
                  <w:tcW w:w="1158" w:type="pct"/>
                  <w:tcBorders>
                    <w:tl2br w:val="nil"/>
                    <w:tr2bl w:val="nil"/>
                  </w:tcBorders>
                  <w:vAlign w:val="center"/>
                </w:tcPr>
                <w:p w14:paraId="003B2902">
                  <w:pPr>
                    <w:widowControl/>
                    <w:jc w:val="center"/>
                    <w:textAlignment w:val="center"/>
                    <w:rPr>
                      <w:szCs w:val="21"/>
                    </w:rPr>
                  </w:pPr>
                  <w:r>
                    <w:rPr>
                      <w:kern w:val="0"/>
                      <w:szCs w:val="21"/>
                    </w:rPr>
                    <w:t>E118°29′31.697″</w:t>
                  </w:r>
                </w:p>
              </w:tc>
              <w:tc>
                <w:tcPr>
                  <w:tcW w:w="1073" w:type="pct"/>
                  <w:tcBorders>
                    <w:tl2br w:val="nil"/>
                    <w:tr2bl w:val="nil"/>
                  </w:tcBorders>
                  <w:vAlign w:val="center"/>
                </w:tcPr>
                <w:p w14:paraId="595294FD">
                  <w:pPr>
                    <w:widowControl/>
                    <w:jc w:val="center"/>
                    <w:textAlignment w:val="center"/>
                    <w:rPr>
                      <w:szCs w:val="21"/>
                    </w:rPr>
                  </w:pPr>
                  <w:r>
                    <w:rPr>
                      <w:kern w:val="0"/>
                      <w:szCs w:val="21"/>
                    </w:rPr>
                    <w:t>N39°09′01.062″</w:t>
                  </w:r>
                </w:p>
              </w:tc>
              <w:tc>
                <w:tcPr>
                  <w:tcW w:w="889" w:type="pct"/>
                  <w:tcBorders>
                    <w:tl2br w:val="nil"/>
                    <w:tr2bl w:val="nil"/>
                  </w:tcBorders>
                  <w:vAlign w:val="center"/>
                </w:tcPr>
                <w:p w14:paraId="1B6C4224">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4DF4ACBE">
                  <w:pPr>
                    <w:adjustRightInd w:val="0"/>
                    <w:snapToGrid w:val="0"/>
                    <w:spacing w:line="0" w:lineRule="atLeast"/>
                    <w:jc w:val="center"/>
                    <w:rPr>
                      <w:szCs w:val="21"/>
                    </w:rPr>
                  </w:pPr>
                  <w:r>
                    <w:rPr>
                      <w:szCs w:val="21"/>
                    </w:rPr>
                    <w:t>混塔</w:t>
                  </w:r>
                </w:p>
              </w:tc>
            </w:tr>
            <w:tr w14:paraId="4C6E9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E196359">
                  <w:pPr>
                    <w:adjustRightInd w:val="0"/>
                    <w:snapToGrid w:val="0"/>
                    <w:spacing w:line="0" w:lineRule="atLeast"/>
                    <w:jc w:val="center"/>
                    <w:rPr>
                      <w:szCs w:val="21"/>
                    </w:rPr>
                  </w:pPr>
                </w:p>
              </w:tc>
              <w:tc>
                <w:tcPr>
                  <w:tcW w:w="441" w:type="pct"/>
                  <w:vMerge w:val="continue"/>
                  <w:tcBorders>
                    <w:tl2br w:val="nil"/>
                    <w:tr2bl w:val="nil"/>
                  </w:tcBorders>
                  <w:vAlign w:val="center"/>
                </w:tcPr>
                <w:p w14:paraId="6E267585">
                  <w:pPr>
                    <w:adjustRightInd w:val="0"/>
                    <w:snapToGrid w:val="0"/>
                    <w:spacing w:line="0" w:lineRule="atLeast"/>
                    <w:jc w:val="center"/>
                    <w:rPr>
                      <w:szCs w:val="21"/>
                    </w:rPr>
                  </w:pPr>
                </w:p>
              </w:tc>
              <w:tc>
                <w:tcPr>
                  <w:tcW w:w="235" w:type="pct"/>
                  <w:tcBorders>
                    <w:tl2br w:val="nil"/>
                    <w:tr2bl w:val="nil"/>
                  </w:tcBorders>
                  <w:vAlign w:val="center"/>
                </w:tcPr>
                <w:p w14:paraId="152CDBDD">
                  <w:pPr>
                    <w:widowControl/>
                    <w:jc w:val="center"/>
                    <w:textAlignment w:val="center"/>
                    <w:rPr>
                      <w:szCs w:val="21"/>
                    </w:rPr>
                  </w:pPr>
                  <w:r>
                    <w:rPr>
                      <w:kern w:val="0"/>
                      <w:szCs w:val="21"/>
                    </w:rPr>
                    <w:t>43</w:t>
                  </w:r>
                </w:p>
              </w:tc>
              <w:tc>
                <w:tcPr>
                  <w:tcW w:w="394" w:type="pct"/>
                  <w:tcBorders>
                    <w:tl2br w:val="nil"/>
                    <w:tr2bl w:val="nil"/>
                  </w:tcBorders>
                  <w:vAlign w:val="center"/>
                </w:tcPr>
                <w:p w14:paraId="58322BF1">
                  <w:pPr>
                    <w:widowControl/>
                    <w:jc w:val="center"/>
                    <w:textAlignment w:val="center"/>
                    <w:rPr>
                      <w:szCs w:val="21"/>
                    </w:rPr>
                  </w:pPr>
                  <w:r>
                    <w:rPr>
                      <w:kern w:val="0"/>
                      <w:szCs w:val="21"/>
                    </w:rPr>
                    <w:t>B01</w:t>
                  </w:r>
                </w:p>
              </w:tc>
              <w:tc>
                <w:tcPr>
                  <w:tcW w:w="1158" w:type="pct"/>
                  <w:tcBorders>
                    <w:tl2br w:val="nil"/>
                    <w:tr2bl w:val="nil"/>
                  </w:tcBorders>
                  <w:vAlign w:val="center"/>
                </w:tcPr>
                <w:p w14:paraId="56E78BFB">
                  <w:pPr>
                    <w:widowControl/>
                    <w:jc w:val="center"/>
                    <w:textAlignment w:val="center"/>
                    <w:rPr>
                      <w:szCs w:val="21"/>
                    </w:rPr>
                  </w:pPr>
                  <w:r>
                    <w:rPr>
                      <w:kern w:val="0"/>
                      <w:szCs w:val="21"/>
                    </w:rPr>
                    <w:t>E118°24′54.040″</w:t>
                  </w:r>
                </w:p>
              </w:tc>
              <w:tc>
                <w:tcPr>
                  <w:tcW w:w="1073" w:type="pct"/>
                  <w:tcBorders>
                    <w:tl2br w:val="nil"/>
                    <w:tr2bl w:val="nil"/>
                  </w:tcBorders>
                  <w:vAlign w:val="center"/>
                </w:tcPr>
                <w:p w14:paraId="0C0B6678">
                  <w:pPr>
                    <w:widowControl/>
                    <w:jc w:val="center"/>
                    <w:textAlignment w:val="center"/>
                    <w:rPr>
                      <w:szCs w:val="21"/>
                    </w:rPr>
                  </w:pPr>
                  <w:r>
                    <w:rPr>
                      <w:kern w:val="0"/>
                      <w:szCs w:val="21"/>
                    </w:rPr>
                    <w:t>N39°15′04.853″</w:t>
                  </w:r>
                </w:p>
              </w:tc>
              <w:tc>
                <w:tcPr>
                  <w:tcW w:w="889" w:type="pct"/>
                  <w:tcBorders>
                    <w:tl2br w:val="nil"/>
                    <w:tr2bl w:val="nil"/>
                  </w:tcBorders>
                  <w:vAlign w:val="center"/>
                </w:tcPr>
                <w:p w14:paraId="3FF27C60">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0D7BA3F3">
                  <w:pPr>
                    <w:adjustRightInd w:val="0"/>
                    <w:snapToGrid w:val="0"/>
                    <w:spacing w:line="0" w:lineRule="atLeast"/>
                    <w:jc w:val="center"/>
                    <w:rPr>
                      <w:szCs w:val="21"/>
                    </w:rPr>
                  </w:pPr>
                  <w:r>
                    <w:rPr>
                      <w:szCs w:val="21"/>
                    </w:rPr>
                    <w:t>混塔</w:t>
                  </w:r>
                </w:p>
              </w:tc>
            </w:tr>
            <w:tr w14:paraId="1A14B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5C4F1320">
                  <w:pPr>
                    <w:adjustRightInd w:val="0"/>
                    <w:snapToGrid w:val="0"/>
                    <w:spacing w:line="0" w:lineRule="atLeast"/>
                    <w:jc w:val="center"/>
                    <w:rPr>
                      <w:szCs w:val="21"/>
                    </w:rPr>
                  </w:pPr>
                </w:p>
              </w:tc>
              <w:tc>
                <w:tcPr>
                  <w:tcW w:w="441" w:type="pct"/>
                  <w:vMerge w:val="continue"/>
                  <w:tcBorders>
                    <w:tl2br w:val="nil"/>
                    <w:tr2bl w:val="nil"/>
                  </w:tcBorders>
                  <w:vAlign w:val="center"/>
                </w:tcPr>
                <w:p w14:paraId="52DE1B49">
                  <w:pPr>
                    <w:adjustRightInd w:val="0"/>
                    <w:snapToGrid w:val="0"/>
                    <w:spacing w:line="0" w:lineRule="atLeast"/>
                    <w:jc w:val="center"/>
                    <w:rPr>
                      <w:szCs w:val="21"/>
                    </w:rPr>
                  </w:pPr>
                </w:p>
              </w:tc>
              <w:tc>
                <w:tcPr>
                  <w:tcW w:w="235" w:type="pct"/>
                  <w:tcBorders>
                    <w:tl2br w:val="nil"/>
                    <w:tr2bl w:val="nil"/>
                  </w:tcBorders>
                  <w:vAlign w:val="center"/>
                </w:tcPr>
                <w:p w14:paraId="1AE93674">
                  <w:pPr>
                    <w:widowControl/>
                    <w:jc w:val="center"/>
                    <w:textAlignment w:val="center"/>
                    <w:rPr>
                      <w:szCs w:val="21"/>
                    </w:rPr>
                  </w:pPr>
                  <w:r>
                    <w:rPr>
                      <w:kern w:val="0"/>
                      <w:szCs w:val="21"/>
                    </w:rPr>
                    <w:t>44</w:t>
                  </w:r>
                </w:p>
              </w:tc>
              <w:tc>
                <w:tcPr>
                  <w:tcW w:w="394" w:type="pct"/>
                  <w:tcBorders>
                    <w:tl2br w:val="nil"/>
                    <w:tr2bl w:val="nil"/>
                  </w:tcBorders>
                  <w:vAlign w:val="center"/>
                </w:tcPr>
                <w:p w14:paraId="3055A216">
                  <w:pPr>
                    <w:widowControl/>
                    <w:jc w:val="center"/>
                    <w:textAlignment w:val="center"/>
                    <w:rPr>
                      <w:szCs w:val="21"/>
                    </w:rPr>
                  </w:pPr>
                  <w:r>
                    <w:rPr>
                      <w:kern w:val="0"/>
                      <w:szCs w:val="21"/>
                    </w:rPr>
                    <w:t>B02</w:t>
                  </w:r>
                </w:p>
              </w:tc>
              <w:tc>
                <w:tcPr>
                  <w:tcW w:w="1158" w:type="pct"/>
                  <w:tcBorders>
                    <w:tl2br w:val="nil"/>
                    <w:tr2bl w:val="nil"/>
                  </w:tcBorders>
                  <w:vAlign w:val="center"/>
                </w:tcPr>
                <w:p w14:paraId="4BACC8F5">
                  <w:pPr>
                    <w:widowControl/>
                    <w:jc w:val="center"/>
                    <w:textAlignment w:val="center"/>
                    <w:rPr>
                      <w:szCs w:val="21"/>
                    </w:rPr>
                  </w:pPr>
                  <w:r>
                    <w:rPr>
                      <w:kern w:val="0"/>
                      <w:szCs w:val="21"/>
                    </w:rPr>
                    <w:t>E118°25′17.040″</w:t>
                  </w:r>
                </w:p>
              </w:tc>
              <w:tc>
                <w:tcPr>
                  <w:tcW w:w="1073" w:type="pct"/>
                  <w:tcBorders>
                    <w:tl2br w:val="nil"/>
                    <w:tr2bl w:val="nil"/>
                  </w:tcBorders>
                  <w:vAlign w:val="center"/>
                </w:tcPr>
                <w:p w14:paraId="2E9480F4">
                  <w:pPr>
                    <w:widowControl/>
                    <w:jc w:val="center"/>
                    <w:textAlignment w:val="center"/>
                    <w:rPr>
                      <w:szCs w:val="21"/>
                    </w:rPr>
                  </w:pPr>
                  <w:r>
                    <w:rPr>
                      <w:kern w:val="0"/>
                      <w:szCs w:val="21"/>
                    </w:rPr>
                    <w:t>N39°14′56.180″</w:t>
                  </w:r>
                </w:p>
              </w:tc>
              <w:tc>
                <w:tcPr>
                  <w:tcW w:w="889" w:type="pct"/>
                  <w:tcBorders>
                    <w:tl2br w:val="nil"/>
                    <w:tr2bl w:val="nil"/>
                  </w:tcBorders>
                  <w:vAlign w:val="center"/>
                </w:tcPr>
                <w:p w14:paraId="11839AE7">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65E211EA">
                  <w:pPr>
                    <w:adjustRightInd w:val="0"/>
                    <w:snapToGrid w:val="0"/>
                    <w:spacing w:line="0" w:lineRule="atLeast"/>
                    <w:jc w:val="center"/>
                    <w:rPr>
                      <w:szCs w:val="21"/>
                    </w:rPr>
                  </w:pPr>
                  <w:r>
                    <w:rPr>
                      <w:szCs w:val="21"/>
                    </w:rPr>
                    <w:t>混塔</w:t>
                  </w:r>
                </w:p>
              </w:tc>
            </w:tr>
            <w:tr w14:paraId="3090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0D2163EF">
                  <w:pPr>
                    <w:adjustRightInd w:val="0"/>
                    <w:snapToGrid w:val="0"/>
                    <w:spacing w:line="0" w:lineRule="atLeast"/>
                    <w:jc w:val="center"/>
                    <w:rPr>
                      <w:szCs w:val="21"/>
                    </w:rPr>
                  </w:pPr>
                </w:p>
              </w:tc>
              <w:tc>
                <w:tcPr>
                  <w:tcW w:w="441" w:type="pct"/>
                  <w:vMerge w:val="continue"/>
                  <w:tcBorders>
                    <w:tl2br w:val="nil"/>
                    <w:tr2bl w:val="nil"/>
                  </w:tcBorders>
                  <w:vAlign w:val="center"/>
                </w:tcPr>
                <w:p w14:paraId="6CF68DF5">
                  <w:pPr>
                    <w:adjustRightInd w:val="0"/>
                    <w:snapToGrid w:val="0"/>
                    <w:spacing w:line="0" w:lineRule="atLeast"/>
                    <w:jc w:val="center"/>
                    <w:rPr>
                      <w:szCs w:val="21"/>
                    </w:rPr>
                  </w:pPr>
                </w:p>
              </w:tc>
              <w:tc>
                <w:tcPr>
                  <w:tcW w:w="235" w:type="pct"/>
                  <w:tcBorders>
                    <w:tl2br w:val="nil"/>
                    <w:tr2bl w:val="nil"/>
                  </w:tcBorders>
                  <w:vAlign w:val="center"/>
                </w:tcPr>
                <w:p w14:paraId="1A8C8A55">
                  <w:pPr>
                    <w:widowControl/>
                    <w:jc w:val="center"/>
                    <w:textAlignment w:val="center"/>
                    <w:rPr>
                      <w:szCs w:val="21"/>
                    </w:rPr>
                  </w:pPr>
                  <w:r>
                    <w:rPr>
                      <w:kern w:val="0"/>
                      <w:szCs w:val="21"/>
                    </w:rPr>
                    <w:t>45</w:t>
                  </w:r>
                </w:p>
              </w:tc>
              <w:tc>
                <w:tcPr>
                  <w:tcW w:w="394" w:type="pct"/>
                  <w:tcBorders>
                    <w:tl2br w:val="nil"/>
                    <w:tr2bl w:val="nil"/>
                  </w:tcBorders>
                  <w:vAlign w:val="center"/>
                </w:tcPr>
                <w:p w14:paraId="682FEBB4">
                  <w:pPr>
                    <w:widowControl/>
                    <w:jc w:val="center"/>
                    <w:textAlignment w:val="center"/>
                    <w:rPr>
                      <w:szCs w:val="21"/>
                    </w:rPr>
                  </w:pPr>
                  <w:r>
                    <w:rPr>
                      <w:kern w:val="0"/>
                      <w:szCs w:val="21"/>
                    </w:rPr>
                    <w:t>B03</w:t>
                  </w:r>
                </w:p>
              </w:tc>
              <w:tc>
                <w:tcPr>
                  <w:tcW w:w="1158" w:type="pct"/>
                  <w:tcBorders>
                    <w:tl2br w:val="nil"/>
                    <w:tr2bl w:val="nil"/>
                  </w:tcBorders>
                  <w:vAlign w:val="center"/>
                </w:tcPr>
                <w:p w14:paraId="42F3DF65">
                  <w:pPr>
                    <w:widowControl/>
                    <w:jc w:val="center"/>
                    <w:textAlignment w:val="center"/>
                    <w:rPr>
                      <w:szCs w:val="21"/>
                    </w:rPr>
                  </w:pPr>
                  <w:r>
                    <w:rPr>
                      <w:kern w:val="0"/>
                      <w:szCs w:val="21"/>
                    </w:rPr>
                    <w:t>E118°24′45.040″</w:t>
                  </w:r>
                </w:p>
              </w:tc>
              <w:tc>
                <w:tcPr>
                  <w:tcW w:w="1073" w:type="pct"/>
                  <w:tcBorders>
                    <w:tl2br w:val="nil"/>
                    <w:tr2bl w:val="nil"/>
                  </w:tcBorders>
                  <w:vAlign w:val="center"/>
                </w:tcPr>
                <w:p w14:paraId="0404FB21">
                  <w:pPr>
                    <w:widowControl/>
                    <w:jc w:val="center"/>
                    <w:textAlignment w:val="center"/>
                    <w:rPr>
                      <w:szCs w:val="21"/>
                    </w:rPr>
                  </w:pPr>
                  <w:r>
                    <w:rPr>
                      <w:kern w:val="0"/>
                      <w:szCs w:val="21"/>
                    </w:rPr>
                    <w:t>N39°14′46.309″</w:t>
                  </w:r>
                </w:p>
              </w:tc>
              <w:tc>
                <w:tcPr>
                  <w:tcW w:w="889" w:type="pct"/>
                  <w:tcBorders>
                    <w:tl2br w:val="nil"/>
                    <w:tr2bl w:val="nil"/>
                  </w:tcBorders>
                  <w:vAlign w:val="center"/>
                </w:tcPr>
                <w:p w14:paraId="115A9B9C">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6D5319F8">
                  <w:pPr>
                    <w:adjustRightInd w:val="0"/>
                    <w:snapToGrid w:val="0"/>
                    <w:spacing w:line="0" w:lineRule="atLeast"/>
                    <w:jc w:val="center"/>
                    <w:rPr>
                      <w:szCs w:val="21"/>
                    </w:rPr>
                  </w:pPr>
                  <w:r>
                    <w:rPr>
                      <w:szCs w:val="21"/>
                    </w:rPr>
                    <w:t>混塔</w:t>
                  </w:r>
                </w:p>
              </w:tc>
            </w:tr>
            <w:tr w14:paraId="28D21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 w:hRule="atLeast"/>
                <w:jc w:val="center"/>
              </w:trPr>
              <w:tc>
                <w:tcPr>
                  <w:tcW w:w="202" w:type="pct"/>
                  <w:vMerge w:val="continue"/>
                  <w:tcBorders>
                    <w:tl2br w:val="nil"/>
                    <w:tr2bl w:val="nil"/>
                  </w:tcBorders>
                  <w:vAlign w:val="center"/>
                </w:tcPr>
                <w:p w14:paraId="166284C6">
                  <w:pPr>
                    <w:adjustRightInd w:val="0"/>
                    <w:snapToGrid w:val="0"/>
                    <w:spacing w:line="0" w:lineRule="atLeast"/>
                    <w:jc w:val="center"/>
                    <w:rPr>
                      <w:szCs w:val="21"/>
                    </w:rPr>
                  </w:pPr>
                </w:p>
              </w:tc>
              <w:tc>
                <w:tcPr>
                  <w:tcW w:w="441" w:type="pct"/>
                  <w:vMerge w:val="continue"/>
                  <w:tcBorders>
                    <w:tl2br w:val="nil"/>
                    <w:tr2bl w:val="nil"/>
                  </w:tcBorders>
                  <w:vAlign w:val="center"/>
                </w:tcPr>
                <w:p w14:paraId="3CBA7264">
                  <w:pPr>
                    <w:adjustRightInd w:val="0"/>
                    <w:snapToGrid w:val="0"/>
                    <w:spacing w:line="0" w:lineRule="atLeast"/>
                    <w:jc w:val="center"/>
                    <w:rPr>
                      <w:szCs w:val="21"/>
                    </w:rPr>
                  </w:pPr>
                </w:p>
              </w:tc>
              <w:tc>
                <w:tcPr>
                  <w:tcW w:w="235" w:type="pct"/>
                  <w:tcBorders>
                    <w:tl2br w:val="nil"/>
                    <w:tr2bl w:val="nil"/>
                  </w:tcBorders>
                  <w:vAlign w:val="center"/>
                </w:tcPr>
                <w:p w14:paraId="07A85C6A">
                  <w:pPr>
                    <w:widowControl/>
                    <w:jc w:val="center"/>
                    <w:textAlignment w:val="center"/>
                    <w:rPr>
                      <w:szCs w:val="21"/>
                    </w:rPr>
                  </w:pPr>
                  <w:r>
                    <w:rPr>
                      <w:kern w:val="0"/>
                      <w:szCs w:val="21"/>
                    </w:rPr>
                    <w:t>46</w:t>
                  </w:r>
                </w:p>
              </w:tc>
              <w:tc>
                <w:tcPr>
                  <w:tcW w:w="394" w:type="pct"/>
                  <w:tcBorders>
                    <w:tl2br w:val="nil"/>
                    <w:tr2bl w:val="nil"/>
                  </w:tcBorders>
                  <w:vAlign w:val="center"/>
                </w:tcPr>
                <w:p w14:paraId="7701BE52">
                  <w:pPr>
                    <w:widowControl/>
                    <w:jc w:val="center"/>
                    <w:textAlignment w:val="center"/>
                    <w:rPr>
                      <w:szCs w:val="21"/>
                    </w:rPr>
                  </w:pPr>
                  <w:r>
                    <w:rPr>
                      <w:kern w:val="0"/>
                      <w:szCs w:val="21"/>
                    </w:rPr>
                    <w:t>B04</w:t>
                  </w:r>
                </w:p>
              </w:tc>
              <w:tc>
                <w:tcPr>
                  <w:tcW w:w="1158" w:type="pct"/>
                  <w:tcBorders>
                    <w:tl2br w:val="nil"/>
                    <w:tr2bl w:val="nil"/>
                  </w:tcBorders>
                  <w:vAlign w:val="center"/>
                </w:tcPr>
                <w:p w14:paraId="447075D2">
                  <w:pPr>
                    <w:widowControl/>
                    <w:jc w:val="center"/>
                    <w:textAlignment w:val="center"/>
                    <w:rPr>
                      <w:szCs w:val="21"/>
                    </w:rPr>
                  </w:pPr>
                  <w:r>
                    <w:rPr>
                      <w:kern w:val="0"/>
                      <w:szCs w:val="21"/>
                    </w:rPr>
                    <w:t>E118°25′21.378″</w:t>
                  </w:r>
                </w:p>
              </w:tc>
              <w:tc>
                <w:tcPr>
                  <w:tcW w:w="1073" w:type="pct"/>
                  <w:tcBorders>
                    <w:tl2br w:val="nil"/>
                    <w:tr2bl w:val="nil"/>
                  </w:tcBorders>
                  <w:vAlign w:val="center"/>
                </w:tcPr>
                <w:p w14:paraId="771237C2">
                  <w:pPr>
                    <w:widowControl/>
                    <w:jc w:val="center"/>
                    <w:textAlignment w:val="center"/>
                    <w:rPr>
                      <w:szCs w:val="21"/>
                    </w:rPr>
                  </w:pPr>
                  <w:r>
                    <w:rPr>
                      <w:kern w:val="0"/>
                      <w:szCs w:val="21"/>
                    </w:rPr>
                    <w:t>N39°13′35.328″</w:t>
                  </w:r>
                </w:p>
              </w:tc>
              <w:tc>
                <w:tcPr>
                  <w:tcW w:w="889" w:type="pct"/>
                  <w:tcBorders>
                    <w:tl2br w:val="nil"/>
                    <w:tr2bl w:val="nil"/>
                  </w:tcBorders>
                  <w:vAlign w:val="center"/>
                </w:tcPr>
                <w:p w14:paraId="74E3BD01">
                  <w:pPr>
                    <w:adjustRightInd w:val="0"/>
                    <w:snapToGrid w:val="0"/>
                    <w:spacing w:line="0" w:lineRule="atLeast"/>
                    <w:jc w:val="center"/>
                    <w:rPr>
                      <w:szCs w:val="21"/>
                    </w:rPr>
                  </w:pPr>
                  <w:r>
                    <w:rPr>
                      <w:szCs w:val="21"/>
                    </w:rPr>
                    <w:t>坑塘水面</w:t>
                  </w:r>
                </w:p>
              </w:tc>
              <w:tc>
                <w:tcPr>
                  <w:tcW w:w="605" w:type="pct"/>
                  <w:tcBorders>
                    <w:tl2br w:val="nil"/>
                    <w:tr2bl w:val="nil"/>
                  </w:tcBorders>
                  <w:vAlign w:val="center"/>
                </w:tcPr>
                <w:p w14:paraId="71117B71">
                  <w:pPr>
                    <w:adjustRightInd w:val="0"/>
                    <w:snapToGrid w:val="0"/>
                    <w:spacing w:line="0" w:lineRule="atLeast"/>
                    <w:jc w:val="center"/>
                    <w:rPr>
                      <w:szCs w:val="21"/>
                    </w:rPr>
                  </w:pPr>
                  <w:r>
                    <w:rPr>
                      <w:szCs w:val="21"/>
                    </w:rPr>
                    <w:t>混塔</w:t>
                  </w:r>
                </w:p>
              </w:tc>
            </w:tr>
          </w:tbl>
          <w:p w14:paraId="05143AE0">
            <w:pPr>
              <w:adjustRightInd w:val="0"/>
              <w:snapToGrid w:val="0"/>
              <w:spacing w:line="480" w:lineRule="exact"/>
              <w:ind w:firstLine="480" w:firstLineChars="200"/>
              <w:rPr>
                <w:kern w:val="0"/>
                <w:sz w:val="24"/>
              </w:rPr>
            </w:pPr>
            <w:r>
              <w:rPr>
                <w:kern w:val="0"/>
                <w:sz w:val="24"/>
              </w:rPr>
              <w:t>本项目升压站界址拐点坐标见下表。</w:t>
            </w:r>
          </w:p>
          <w:p w14:paraId="0208EC1A">
            <w:pPr>
              <w:adjustRightInd w:val="0"/>
              <w:snapToGrid w:val="0"/>
              <w:spacing w:line="480" w:lineRule="exact"/>
              <w:ind w:firstLine="422" w:firstLineChars="200"/>
              <w:jc w:val="center"/>
              <w:rPr>
                <w:b/>
                <w:bCs/>
              </w:rPr>
            </w:pPr>
            <w:r>
              <w:rPr>
                <w:b/>
                <w:bCs/>
                <w:szCs w:val="21"/>
              </w:rPr>
              <w:t xml:space="preserve">表2-2  </w:t>
            </w:r>
            <w:r>
              <w:rPr>
                <w:b/>
                <w:bCs/>
              </w:rPr>
              <w:t>本项目升压站界址拐点坐标一览表</w:t>
            </w:r>
          </w:p>
          <w:tbl>
            <w:tblPr>
              <w:tblStyle w:val="3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2089"/>
              <w:gridCol w:w="2162"/>
              <w:gridCol w:w="2159"/>
            </w:tblGrid>
            <w:tr w14:paraId="6A6AD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gridSpan w:val="2"/>
                  <w:tcBorders>
                    <w:tl2br w:val="nil"/>
                    <w:tr2bl w:val="nil"/>
                  </w:tcBorders>
                  <w:vAlign w:val="center"/>
                </w:tcPr>
                <w:p w14:paraId="16285BF2">
                  <w:pPr>
                    <w:pStyle w:val="40"/>
                    <w:jc w:val="center"/>
                    <w:rPr>
                      <w:rFonts w:ascii="Times New Roman" w:cs="Times New Roman"/>
                      <w:b/>
                      <w:color w:val="auto"/>
                      <w:sz w:val="21"/>
                      <w:szCs w:val="21"/>
                    </w:rPr>
                  </w:pPr>
                  <w:r>
                    <w:rPr>
                      <w:rFonts w:ascii="Times New Roman" w:cs="Times New Roman"/>
                      <w:b/>
                      <w:color w:val="auto"/>
                      <w:sz w:val="21"/>
                      <w:szCs w:val="21"/>
                    </w:rPr>
                    <w:t>位置</w:t>
                  </w:r>
                </w:p>
              </w:tc>
              <w:tc>
                <w:tcPr>
                  <w:tcW w:w="2192" w:type="dxa"/>
                  <w:tcBorders>
                    <w:tl2br w:val="nil"/>
                    <w:tr2bl w:val="nil"/>
                  </w:tcBorders>
                  <w:vAlign w:val="center"/>
                </w:tcPr>
                <w:p w14:paraId="0437494A">
                  <w:pPr>
                    <w:pStyle w:val="40"/>
                    <w:jc w:val="center"/>
                    <w:rPr>
                      <w:rFonts w:ascii="Times New Roman" w:cs="Times New Roman"/>
                      <w:b/>
                      <w:color w:val="auto"/>
                      <w:sz w:val="21"/>
                      <w:szCs w:val="21"/>
                    </w:rPr>
                  </w:pPr>
                  <w:r>
                    <w:rPr>
                      <w:rFonts w:ascii="Times New Roman" w:cs="Times New Roman"/>
                      <w:b/>
                      <w:color w:val="auto"/>
                      <w:sz w:val="21"/>
                      <w:szCs w:val="21"/>
                    </w:rPr>
                    <w:t>经度</w:t>
                  </w:r>
                </w:p>
              </w:tc>
              <w:tc>
                <w:tcPr>
                  <w:tcW w:w="2192" w:type="dxa"/>
                  <w:tcBorders>
                    <w:tl2br w:val="nil"/>
                    <w:tr2bl w:val="nil"/>
                  </w:tcBorders>
                  <w:vAlign w:val="center"/>
                </w:tcPr>
                <w:p w14:paraId="28526233">
                  <w:pPr>
                    <w:pStyle w:val="40"/>
                    <w:jc w:val="center"/>
                    <w:rPr>
                      <w:rFonts w:ascii="Times New Roman" w:cs="Times New Roman"/>
                      <w:b/>
                      <w:color w:val="auto"/>
                      <w:sz w:val="21"/>
                      <w:szCs w:val="21"/>
                    </w:rPr>
                  </w:pPr>
                  <w:r>
                    <w:rPr>
                      <w:rFonts w:ascii="Times New Roman" w:cs="Times New Roman"/>
                      <w:b/>
                      <w:color w:val="auto"/>
                      <w:sz w:val="21"/>
                      <w:szCs w:val="21"/>
                    </w:rPr>
                    <w:t>纬度</w:t>
                  </w:r>
                </w:p>
              </w:tc>
            </w:tr>
            <w:tr w14:paraId="13DB6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restart"/>
                  <w:tcBorders>
                    <w:tl2br w:val="nil"/>
                    <w:tr2bl w:val="nil"/>
                  </w:tcBorders>
                  <w:vAlign w:val="center"/>
                </w:tcPr>
                <w:p w14:paraId="318870F0">
                  <w:pPr>
                    <w:pStyle w:val="40"/>
                    <w:jc w:val="center"/>
                    <w:rPr>
                      <w:rFonts w:ascii="Times New Roman" w:cs="Times New Roman"/>
                      <w:color w:val="auto"/>
                      <w:sz w:val="21"/>
                      <w:szCs w:val="21"/>
                    </w:rPr>
                  </w:pPr>
                  <w:r>
                    <w:rPr>
                      <w:rFonts w:ascii="Times New Roman" w:cs="Times New Roman"/>
                      <w:color w:val="auto"/>
                      <w:sz w:val="21"/>
                      <w:szCs w:val="21"/>
                    </w:rPr>
                    <w:t>升压站界址拐点坐标</w:t>
                  </w:r>
                </w:p>
              </w:tc>
              <w:tc>
                <w:tcPr>
                  <w:tcW w:w="2192" w:type="dxa"/>
                  <w:tcBorders>
                    <w:tl2br w:val="nil"/>
                    <w:tr2bl w:val="nil"/>
                  </w:tcBorders>
                  <w:vAlign w:val="center"/>
                </w:tcPr>
                <w:p w14:paraId="2738D504">
                  <w:pPr>
                    <w:pStyle w:val="40"/>
                    <w:jc w:val="center"/>
                    <w:rPr>
                      <w:rFonts w:ascii="Times New Roman" w:cs="Times New Roman"/>
                      <w:color w:val="auto"/>
                      <w:sz w:val="21"/>
                      <w:szCs w:val="21"/>
                    </w:rPr>
                  </w:pPr>
                  <w:r>
                    <w:rPr>
                      <w:rFonts w:ascii="Times New Roman" w:cs="Times New Roman"/>
                      <w:color w:val="auto"/>
                      <w:sz w:val="21"/>
                      <w:szCs w:val="21"/>
                    </w:rPr>
                    <w:t>1</w:t>
                  </w:r>
                </w:p>
              </w:tc>
              <w:tc>
                <w:tcPr>
                  <w:tcW w:w="2192" w:type="dxa"/>
                  <w:tcBorders>
                    <w:tl2br w:val="nil"/>
                    <w:tr2bl w:val="nil"/>
                  </w:tcBorders>
                  <w:vAlign w:val="center"/>
                </w:tcPr>
                <w:p w14:paraId="1D81847A">
                  <w:pPr>
                    <w:pStyle w:val="40"/>
                    <w:jc w:val="center"/>
                    <w:rPr>
                      <w:rFonts w:ascii="Times New Roman" w:cs="Times New Roman"/>
                      <w:color w:val="auto"/>
                      <w:sz w:val="21"/>
                      <w:szCs w:val="21"/>
                    </w:rPr>
                  </w:pPr>
                  <w:r>
                    <w:rPr>
                      <w:rFonts w:ascii="Times New Roman" w:cs="Times New Roman"/>
                      <w:color w:val="auto"/>
                      <w:sz w:val="21"/>
                      <w:szCs w:val="21"/>
                    </w:rPr>
                    <w:t>E118°21'52.175"</w:t>
                  </w:r>
                </w:p>
              </w:tc>
              <w:tc>
                <w:tcPr>
                  <w:tcW w:w="2192" w:type="dxa"/>
                  <w:tcBorders>
                    <w:tl2br w:val="nil"/>
                    <w:tr2bl w:val="nil"/>
                  </w:tcBorders>
                  <w:vAlign w:val="center"/>
                </w:tcPr>
                <w:p w14:paraId="11DFDB14">
                  <w:pPr>
                    <w:pStyle w:val="40"/>
                    <w:jc w:val="center"/>
                    <w:rPr>
                      <w:rFonts w:ascii="Times New Roman" w:cs="Times New Roman"/>
                      <w:color w:val="auto"/>
                      <w:sz w:val="21"/>
                      <w:szCs w:val="21"/>
                    </w:rPr>
                  </w:pPr>
                  <w:r>
                    <w:rPr>
                      <w:rFonts w:ascii="Times New Roman" w:cs="Times New Roman"/>
                      <w:color w:val="auto"/>
                      <w:sz w:val="21"/>
                      <w:szCs w:val="21"/>
                    </w:rPr>
                    <w:t>N39°17'28.266"</w:t>
                  </w:r>
                </w:p>
              </w:tc>
            </w:tr>
            <w:tr w14:paraId="29CBC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0B27D0BB">
                  <w:pPr>
                    <w:pStyle w:val="40"/>
                    <w:jc w:val="center"/>
                    <w:rPr>
                      <w:rFonts w:ascii="Times New Roman" w:cs="Times New Roman"/>
                      <w:color w:val="auto"/>
                      <w:sz w:val="21"/>
                      <w:szCs w:val="21"/>
                    </w:rPr>
                  </w:pPr>
                </w:p>
              </w:tc>
              <w:tc>
                <w:tcPr>
                  <w:tcW w:w="2192" w:type="dxa"/>
                  <w:tcBorders>
                    <w:tl2br w:val="nil"/>
                    <w:tr2bl w:val="nil"/>
                  </w:tcBorders>
                  <w:vAlign w:val="center"/>
                </w:tcPr>
                <w:p w14:paraId="01E25058">
                  <w:pPr>
                    <w:pStyle w:val="40"/>
                    <w:jc w:val="center"/>
                    <w:rPr>
                      <w:rFonts w:ascii="Times New Roman" w:cs="Times New Roman"/>
                      <w:color w:val="auto"/>
                      <w:sz w:val="21"/>
                      <w:szCs w:val="21"/>
                    </w:rPr>
                  </w:pPr>
                  <w:r>
                    <w:rPr>
                      <w:rFonts w:ascii="Times New Roman" w:cs="Times New Roman"/>
                      <w:color w:val="auto"/>
                      <w:sz w:val="21"/>
                      <w:szCs w:val="21"/>
                    </w:rPr>
                    <w:t>2</w:t>
                  </w:r>
                </w:p>
              </w:tc>
              <w:tc>
                <w:tcPr>
                  <w:tcW w:w="2192" w:type="dxa"/>
                  <w:tcBorders>
                    <w:tl2br w:val="nil"/>
                    <w:tr2bl w:val="nil"/>
                  </w:tcBorders>
                  <w:vAlign w:val="center"/>
                </w:tcPr>
                <w:p w14:paraId="24D6A4B5">
                  <w:pPr>
                    <w:pStyle w:val="40"/>
                    <w:jc w:val="center"/>
                    <w:rPr>
                      <w:rFonts w:ascii="Times New Roman" w:cs="Times New Roman"/>
                      <w:color w:val="auto"/>
                      <w:sz w:val="21"/>
                      <w:szCs w:val="21"/>
                    </w:rPr>
                  </w:pPr>
                  <w:r>
                    <w:rPr>
                      <w:rFonts w:ascii="Times New Roman" w:cs="Times New Roman"/>
                      <w:color w:val="auto"/>
                      <w:sz w:val="21"/>
                      <w:szCs w:val="21"/>
                    </w:rPr>
                    <w:t>E118°21'51.879"</w:t>
                  </w:r>
                </w:p>
              </w:tc>
              <w:tc>
                <w:tcPr>
                  <w:tcW w:w="2192" w:type="dxa"/>
                  <w:tcBorders>
                    <w:tl2br w:val="nil"/>
                    <w:tr2bl w:val="nil"/>
                  </w:tcBorders>
                  <w:vAlign w:val="center"/>
                </w:tcPr>
                <w:p w14:paraId="384E0A4B">
                  <w:pPr>
                    <w:pStyle w:val="40"/>
                    <w:jc w:val="center"/>
                    <w:rPr>
                      <w:rFonts w:ascii="Times New Roman" w:cs="Times New Roman"/>
                      <w:color w:val="auto"/>
                      <w:sz w:val="21"/>
                      <w:szCs w:val="21"/>
                    </w:rPr>
                  </w:pPr>
                  <w:r>
                    <w:rPr>
                      <w:rFonts w:ascii="Times New Roman" w:cs="Times New Roman"/>
                      <w:color w:val="auto"/>
                      <w:sz w:val="21"/>
                      <w:szCs w:val="21"/>
                    </w:rPr>
                    <w:t>N 39°17'31.502"</w:t>
                  </w:r>
                </w:p>
              </w:tc>
            </w:tr>
            <w:tr w14:paraId="69D2B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4B302675">
                  <w:pPr>
                    <w:pStyle w:val="40"/>
                    <w:jc w:val="center"/>
                    <w:rPr>
                      <w:rFonts w:ascii="Times New Roman" w:cs="Times New Roman"/>
                      <w:color w:val="auto"/>
                      <w:sz w:val="21"/>
                      <w:szCs w:val="21"/>
                    </w:rPr>
                  </w:pPr>
                </w:p>
              </w:tc>
              <w:tc>
                <w:tcPr>
                  <w:tcW w:w="2192" w:type="dxa"/>
                  <w:tcBorders>
                    <w:tl2br w:val="nil"/>
                    <w:tr2bl w:val="nil"/>
                  </w:tcBorders>
                  <w:vAlign w:val="center"/>
                </w:tcPr>
                <w:p w14:paraId="65F76A8B">
                  <w:pPr>
                    <w:pStyle w:val="40"/>
                    <w:jc w:val="center"/>
                    <w:rPr>
                      <w:rFonts w:ascii="Times New Roman" w:cs="Times New Roman"/>
                      <w:color w:val="auto"/>
                      <w:sz w:val="21"/>
                      <w:szCs w:val="21"/>
                    </w:rPr>
                  </w:pPr>
                  <w:r>
                    <w:rPr>
                      <w:rFonts w:ascii="Times New Roman" w:cs="Times New Roman"/>
                      <w:color w:val="auto"/>
                      <w:sz w:val="21"/>
                      <w:szCs w:val="21"/>
                    </w:rPr>
                    <w:t>3</w:t>
                  </w:r>
                </w:p>
              </w:tc>
              <w:tc>
                <w:tcPr>
                  <w:tcW w:w="2192" w:type="dxa"/>
                  <w:tcBorders>
                    <w:tl2br w:val="nil"/>
                    <w:tr2bl w:val="nil"/>
                  </w:tcBorders>
                  <w:vAlign w:val="center"/>
                </w:tcPr>
                <w:p w14:paraId="2D52F2C7">
                  <w:pPr>
                    <w:pStyle w:val="40"/>
                    <w:jc w:val="center"/>
                    <w:rPr>
                      <w:rFonts w:ascii="Times New Roman" w:cs="Times New Roman"/>
                      <w:color w:val="auto"/>
                      <w:sz w:val="21"/>
                      <w:szCs w:val="21"/>
                    </w:rPr>
                  </w:pPr>
                  <w:r>
                    <w:rPr>
                      <w:rFonts w:ascii="Times New Roman" w:cs="Times New Roman"/>
                      <w:color w:val="auto"/>
                      <w:sz w:val="21"/>
                      <w:szCs w:val="21"/>
                    </w:rPr>
                    <w:t>E118°21'58.824"</w:t>
                  </w:r>
                </w:p>
              </w:tc>
              <w:tc>
                <w:tcPr>
                  <w:tcW w:w="2192" w:type="dxa"/>
                  <w:tcBorders>
                    <w:tl2br w:val="nil"/>
                    <w:tr2bl w:val="nil"/>
                  </w:tcBorders>
                  <w:vAlign w:val="center"/>
                </w:tcPr>
                <w:p w14:paraId="3080D967">
                  <w:pPr>
                    <w:pStyle w:val="40"/>
                    <w:jc w:val="center"/>
                    <w:rPr>
                      <w:rFonts w:ascii="Times New Roman" w:cs="Times New Roman"/>
                      <w:color w:val="auto"/>
                      <w:sz w:val="21"/>
                      <w:szCs w:val="21"/>
                    </w:rPr>
                  </w:pPr>
                  <w:r>
                    <w:rPr>
                      <w:rFonts w:ascii="Times New Roman" w:cs="Times New Roman"/>
                      <w:color w:val="auto"/>
                      <w:sz w:val="21"/>
                      <w:szCs w:val="21"/>
                    </w:rPr>
                    <w:t>N39°17'31.884"</w:t>
                  </w:r>
                </w:p>
              </w:tc>
            </w:tr>
            <w:tr w14:paraId="7CC0B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vMerge w:val="continue"/>
                  <w:tcBorders>
                    <w:tl2br w:val="nil"/>
                    <w:tr2bl w:val="nil"/>
                  </w:tcBorders>
                  <w:vAlign w:val="center"/>
                </w:tcPr>
                <w:p w14:paraId="09D39AC8">
                  <w:pPr>
                    <w:pStyle w:val="40"/>
                    <w:jc w:val="center"/>
                    <w:rPr>
                      <w:rFonts w:ascii="Times New Roman" w:cs="Times New Roman"/>
                      <w:color w:val="auto"/>
                      <w:sz w:val="21"/>
                      <w:szCs w:val="21"/>
                    </w:rPr>
                  </w:pPr>
                </w:p>
              </w:tc>
              <w:tc>
                <w:tcPr>
                  <w:tcW w:w="2192" w:type="dxa"/>
                  <w:tcBorders>
                    <w:tl2br w:val="nil"/>
                    <w:tr2bl w:val="nil"/>
                  </w:tcBorders>
                  <w:vAlign w:val="center"/>
                </w:tcPr>
                <w:p w14:paraId="28A8A7FA">
                  <w:pPr>
                    <w:pStyle w:val="40"/>
                    <w:jc w:val="center"/>
                    <w:rPr>
                      <w:rFonts w:ascii="Times New Roman" w:cs="Times New Roman"/>
                      <w:color w:val="auto"/>
                      <w:sz w:val="21"/>
                      <w:szCs w:val="21"/>
                    </w:rPr>
                  </w:pPr>
                  <w:r>
                    <w:rPr>
                      <w:rFonts w:ascii="Times New Roman" w:cs="Times New Roman"/>
                      <w:color w:val="auto"/>
                      <w:sz w:val="21"/>
                      <w:szCs w:val="21"/>
                    </w:rPr>
                    <w:t>4</w:t>
                  </w:r>
                </w:p>
              </w:tc>
              <w:tc>
                <w:tcPr>
                  <w:tcW w:w="2192" w:type="dxa"/>
                  <w:tcBorders>
                    <w:tl2br w:val="nil"/>
                    <w:tr2bl w:val="nil"/>
                  </w:tcBorders>
                  <w:vAlign w:val="center"/>
                </w:tcPr>
                <w:p w14:paraId="317D7094">
                  <w:pPr>
                    <w:pStyle w:val="40"/>
                    <w:jc w:val="center"/>
                    <w:rPr>
                      <w:rFonts w:ascii="Times New Roman" w:cs="Times New Roman"/>
                      <w:color w:val="auto"/>
                      <w:sz w:val="21"/>
                      <w:szCs w:val="21"/>
                    </w:rPr>
                  </w:pPr>
                  <w:r>
                    <w:rPr>
                      <w:rFonts w:ascii="Times New Roman" w:cs="Times New Roman"/>
                      <w:color w:val="auto"/>
                      <w:sz w:val="21"/>
                      <w:szCs w:val="21"/>
                    </w:rPr>
                    <w:t>E118°21'59.126"</w:t>
                  </w:r>
                </w:p>
              </w:tc>
              <w:tc>
                <w:tcPr>
                  <w:tcW w:w="2192" w:type="dxa"/>
                  <w:tcBorders>
                    <w:tl2br w:val="nil"/>
                    <w:tr2bl w:val="nil"/>
                  </w:tcBorders>
                  <w:vAlign w:val="center"/>
                </w:tcPr>
                <w:p w14:paraId="418DC06F">
                  <w:pPr>
                    <w:pStyle w:val="40"/>
                    <w:jc w:val="center"/>
                    <w:rPr>
                      <w:rFonts w:ascii="Times New Roman" w:cs="Times New Roman"/>
                      <w:color w:val="auto"/>
                      <w:sz w:val="21"/>
                      <w:szCs w:val="21"/>
                    </w:rPr>
                  </w:pPr>
                  <w:r>
                    <w:rPr>
                      <w:rFonts w:ascii="Times New Roman" w:cs="Times New Roman"/>
                      <w:color w:val="auto"/>
                      <w:sz w:val="21"/>
                      <w:szCs w:val="21"/>
                    </w:rPr>
                    <w:t>N39°17'28.65</w:t>
                  </w:r>
                  <w:r>
                    <w:rPr>
                      <w:rFonts w:hint="eastAsia" w:ascii="Times New Roman" w:cs="Times New Roman"/>
                      <w:color w:val="auto"/>
                      <w:sz w:val="21"/>
                      <w:szCs w:val="21"/>
                    </w:rPr>
                    <w:t>5</w:t>
                  </w:r>
                  <w:r>
                    <w:rPr>
                      <w:rFonts w:ascii="Times New Roman" w:cs="Times New Roman"/>
                      <w:color w:val="auto"/>
                      <w:sz w:val="21"/>
                      <w:szCs w:val="21"/>
                    </w:rPr>
                    <w:t>"</w:t>
                  </w:r>
                </w:p>
              </w:tc>
            </w:tr>
          </w:tbl>
          <w:p w14:paraId="20DE3E24">
            <w:pPr>
              <w:adjustRightInd w:val="0"/>
              <w:snapToGrid w:val="0"/>
              <w:spacing w:line="480" w:lineRule="exact"/>
              <w:ind w:firstLine="480" w:firstLineChars="200"/>
              <w:rPr>
                <w:kern w:val="0"/>
                <w:sz w:val="24"/>
              </w:rPr>
            </w:pPr>
            <w:r>
              <w:rPr>
                <w:kern w:val="0"/>
                <w:sz w:val="24"/>
              </w:rPr>
              <w:t>根据本风电场46台风机分布情况、装机规模及升压站位置，本工程集电线路电压等级确定为35kV，采用架空与电缆结合施工方式，46台风机均设置箱式变压器，集电线路共计8回，通过35kV集电线路接入升压站。集电线路路径全长约</w:t>
            </w:r>
            <w:r>
              <w:rPr>
                <w:sz w:val="24"/>
                <w:szCs w:val="32"/>
              </w:rPr>
              <w:t>223.058</w:t>
            </w:r>
            <w:r>
              <w:rPr>
                <w:kern w:val="0"/>
                <w:sz w:val="24"/>
              </w:rPr>
              <w:t>km。</w:t>
            </w:r>
          </w:p>
        </w:tc>
      </w:tr>
      <w:tr w14:paraId="60537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vAlign w:val="center"/>
          </w:tcPr>
          <w:p w14:paraId="158087AD">
            <w:pPr>
              <w:adjustRightInd w:val="0"/>
              <w:snapToGrid w:val="0"/>
              <w:jc w:val="center"/>
              <w:rPr>
                <w:kern w:val="0"/>
                <w:sz w:val="24"/>
              </w:rPr>
            </w:pPr>
            <w:r>
              <w:rPr>
                <w:kern w:val="0"/>
                <w:sz w:val="24"/>
              </w:rPr>
              <w:t>项目组成及规模</w:t>
            </w:r>
          </w:p>
        </w:tc>
        <w:tc>
          <w:tcPr>
            <w:tcW w:w="8332" w:type="dxa"/>
            <w:vAlign w:val="center"/>
          </w:tcPr>
          <w:p w14:paraId="070A64C8">
            <w:pPr>
              <w:pStyle w:val="7"/>
              <w:adjustRightInd w:val="0"/>
              <w:snapToGrid w:val="0"/>
              <w:spacing w:before="0" w:beforeAutospacing="0" w:after="0" w:afterAutospacing="0" w:line="480" w:lineRule="exact"/>
              <w:rPr>
                <w:rFonts w:ascii="Times New Roman" w:hAnsi="Times New Roman"/>
                <w:b/>
                <w:bCs/>
              </w:rPr>
            </w:pPr>
            <w:r>
              <w:rPr>
                <w:rFonts w:ascii="Times New Roman" w:hAnsi="Times New Roman"/>
                <w:b/>
                <w:bCs/>
              </w:rPr>
              <w:t>1、项目由来</w:t>
            </w:r>
          </w:p>
          <w:p w14:paraId="013474A2">
            <w:pPr>
              <w:adjustRightInd w:val="0"/>
              <w:snapToGrid w:val="0"/>
              <w:spacing w:line="480" w:lineRule="exact"/>
              <w:ind w:firstLine="480" w:firstLineChars="200"/>
              <w:rPr>
                <w:kern w:val="0"/>
                <w:sz w:val="24"/>
              </w:rPr>
            </w:pPr>
            <w:r>
              <w:rPr>
                <w:kern w:val="0"/>
                <w:sz w:val="24"/>
              </w:rPr>
              <w:t>大金重工曹妃甸区70万千瓦陆上风力发电项目建设单位为大金重工股份有限公司，该项目包括保障性和市场化两部分，建设规模共计70万千瓦，其中保障性规模为35万千瓦，市场化规模为35万千瓦，本评价仅针对市场化部分。根据河北省发展和改革委员会发布的《关于下达河北省2024年风电、光伏发电年度开发建设方案第三批项目的通知》（冀发改能源〔2024〕1653号），“大金重工曹妃甸区70 万千瓦陆上风力发电项目（市场化）”已列入全省2024年风电、光伏发电年度开发建设方案的第三批项目名单中，为集中式风电项目，属于大金重工股份有限公司项目。项目建设单位唐山曹妃甸区祥凌能源有限公司为大金重工股份有限公司的全资子公司。另根据《关于促进独立储能加快发展有关事项的通知》，自2024年9月30日起，未开工新能源项目需配建储能的，鼓励优先通过租赁方式配置储能，不再单独配建容量低于10万kW/20万kW·h的储能设施。因此本项目以租赁形式配置7万kW/</w:t>
            </w:r>
            <w:r>
              <w:rPr>
                <w:rFonts w:hint="eastAsia"/>
                <w:kern w:val="0"/>
                <w:sz w:val="24"/>
              </w:rPr>
              <w:t>28</w:t>
            </w:r>
            <w:r>
              <w:rPr>
                <w:kern w:val="0"/>
                <w:sz w:val="24"/>
              </w:rPr>
              <w:t>万kW·h储能系统。</w:t>
            </w:r>
          </w:p>
          <w:p w14:paraId="66FAD5CC">
            <w:pPr>
              <w:adjustRightInd w:val="0"/>
              <w:snapToGrid w:val="0"/>
              <w:spacing w:line="480" w:lineRule="exact"/>
              <w:ind w:firstLine="480" w:firstLineChars="200"/>
              <w:rPr>
                <w:kern w:val="0"/>
                <w:sz w:val="24"/>
              </w:rPr>
            </w:pPr>
            <w:r>
              <w:rPr>
                <w:kern w:val="0"/>
                <w:sz w:val="24"/>
              </w:rPr>
              <w:t>本项目选址位于</w:t>
            </w:r>
            <w:r>
              <w:rPr>
                <w:sz w:val="24"/>
              </w:rPr>
              <w:t>唐山市曹妃甸区</w:t>
            </w:r>
            <w:r>
              <w:rPr>
                <w:kern w:val="0"/>
                <w:sz w:val="24"/>
              </w:rPr>
              <w:t>，总装机容量为350MW，安装46台单机容量7.7MW的风力发电机组，并配套建设一座220kV升压站；配套建设场内道路、场内35kV集电线路等设施</w:t>
            </w:r>
            <w:r>
              <w:rPr>
                <w:rFonts w:hint="eastAsia"/>
                <w:kern w:val="0"/>
                <w:sz w:val="24"/>
              </w:rPr>
              <w:t>，</w:t>
            </w:r>
            <w:r>
              <w:rPr>
                <w:kern w:val="0"/>
                <w:sz w:val="24"/>
              </w:rPr>
              <w:t>集电线路采用35kV架空+直埋电缆敷设的输送型式。</w:t>
            </w:r>
          </w:p>
          <w:p w14:paraId="6F414C8F">
            <w:pPr>
              <w:adjustRightInd w:val="0"/>
              <w:snapToGrid w:val="0"/>
              <w:spacing w:line="480" w:lineRule="exact"/>
              <w:ind w:firstLine="480" w:firstLineChars="200"/>
              <w:rPr>
                <w:kern w:val="0"/>
                <w:sz w:val="24"/>
              </w:rPr>
            </w:pPr>
            <w:r>
              <w:rPr>
                <w:kern w:val="0"/>
                <w:sz w:val="24"/>
              </w:rPr>
              <w:t>根据《建设项目环境影响评价分类管理名录》（2021年版），本项目属于“四十一、电力、热力生产和供应业—90 陆上风力发电4415”和“五十五、核与辐射—161输变电工程”两种类别。</w:t>
            </w:r>
          </w:p>
          <w:p w14:paraId="216647F9">
            <w:pPr>
              <w:adjustRightInd w:val="0"/>
              <w:snapToGrid w:val="0"/>
              <w:spacing w:line="480" w:lineRule="exact"/>
              <w:ind w:firstLine="480" w:firstLineChars="200"/>
              <w:rPr>
                <w:kern w:val="0"/>
                <w:sz w:val="24"/>
              </w:rPr>
            </w:pPr>
            <w:r>
              <w:rPr>
                <w:kern w:val="0"/>
                <w:sz w:val="24"/>
              </w:rPr>
              <w:t>本项目选址不占用《建设项目环境影响评价分类管理名录》（2021年版）第三条（一）中的国家公园、自然保护区、风景名胜区、世界文化和自然遗产地、海洋特别保护区、饮用水水源保护区等环境敏感区；项目影响范围内不涉及第三条（三）中的以居住、医疗卫生、文化教育、科研、行政办公为主要功能的区域。本项目装机总容量为350MW，但不涉及环境敏感区，属于“其他风力发电”，应编制环境影响报告表。</w:t>
            </w:r>
          </w:p>
          <w:p w14:paraId="6C144485">
            <w:pPr>
              <w:adjustRightInd w:val="0"/>
              <w:snapToGrid w:val="0"/>
              <w:spacing w:line="480" w:lineRule="exact"/>
              <w:ind w:firstLine="480" w:firstLineChars="200"/>
              <w:rPr>
                <w:kern w:val="0"/>
                <w:sz w:val="24"/>
              </w:rPr>
            </w:pPr>
            <w:r>
              <w:rPr>
                <w:kern w:val="0"/>
                <w:sz w:val="24"/>
              </w:rPr>
              <w:t>根据“161输变电工程”类别判定，本项目风电场内35kV集电线路电压等级小于100千伏，可不编制环境影响评价文件；本项目升压站电压等级为220kV，属于“其他（100千伏以下除外）”，应编制环境影响报告表。</w:t>
            </w:r>
          </w:p>
          <w:p w14:paraId="2D16CD95">
            <w:pPr>
              <w:adjustRightInd w:val="0"/>
              <w:snapToGrid w:val="0"/>
              <w:spacing w:line="480" w:lineRule="exact"/>
              <w:ind w:firstLine="480" w:firstLineChars="200"/>
              <w:rPr>
                <w:kern w:val="0"/>
                <w:sz w:val="24"/>
              </w:rPr>
            </w:pPr>
            <w:r>
              <w:rPr>
                <w:kern w:val="0"/>
                <w:sz w:val="24"/>
              </w:rPr>
              <w:t>综上，本项目按照要求编制环境影响报告表。</w:t>
            </w:r>
          </w:p>
          <w:p w14:paraId="73AB8E3C">
            <w:pPr>
              <w:pStyle w:val="70"/>
              <w:adjustRightInd w:val="0"/>
              <w:snapToGrid w:val="0"/>
              <w:spacing w:line="480" w:lineRule="exact"/>
              <w:ind w:firstLine="480"/>
            </w:pPr>
            <w:r>
              <w:t>本评价不包括220kV升压站电磁辐射环境影响评价，升压站的电磁辐射影响需另行委托评价。本项目不建设储能装置，储能设施采用租赁方式</w:t>
            </w:r>
            <w:r>
              <w:rPr>
                <w:rFonts w:hint="eastAsia"/>
              </w:rPr>
              <w:t>，不在本次评价范围内</w:t>
            </w:r>
            <w:r>
              <w:t>。</w:t>
            </w:r>
          </w:p>
          <w:p w14:paraId="376A6A0F">
            <w:pPr>
              <w:adjustRightInd w:val="0"/>
              <w:snapToGrid w:val="0"/>
              <w:spacing w:line="480" w:lineRule="exact"/>
              <w:rPr>
                <w:b/>
                <w:bCs/>
                <w:sz w:val="24"/>
              </w:rPr>
            </w:pPr>
            <w:r>
              <w:rPr>
                <w:b/>
                <w:bCs/>
                <w:sz w:val="24"/>
              </w:rPr>
              <w:t>2、建设内容</w:t>
            </w:r>
          </w:p>
          <w:p w14:paraId="30A84EB5">
            <w:pPr>
              <w:adjustRightInd w:val="0"/>
              <w:snapToGrid w:val="0"/>
              <w:spacing w:line="480" w:lineRule="exact"/>
              <w:ind w:firstLine="482" w:firstLineChars="200"/>
              <w:rPr>
                <w:b/>
                <w:bCs/>
                <w:sz w:val="24"/>
              </w:rPr>
            </w:pPr>
            <w:r>
              <w:rPr>
                <w:b/>
                <w:bCs/>
                <w:sz w:val="24"/>
              </w:rPr>
              <w:t>（1）项目组成</w:t>
            </w:r>
          </w:p>
          <w:p w14:paraId="6DF11BC1">
            <w:pPr>
              <w:pStyle w:val="70"/>
              <w:adjustRightInd w:val="0"/>
              <w:snapToGrid w:val="0"/>
              <w:spacing w:line="480" w:lineRule="exact"/>
              <w:ind w:firstLine="480"/>
              <w:rPr>
                <w:rStyle w:val="63"/>
                <w:rFonts w:hint="default" w:ascii="Times New Roman" w:hAnsi="Times New Roman" w:cs="Times New Roman"/>
                <w:color w:val="auto"/>
              </w:rPr>
            </w:pPr>
            <w:r>
              <w:rPr>
                <w:rStyle w:val="63"/>
                <w:rFonts w:hint="default" w:ascii="Times New Roman" w:hAnsi="Times New Roman" w:cs="Times New Roman"/>
                <w:color w:val="auto"/>
              </w:rPr>
              <w:t>本项目主要建设内容为：46台单机容量7.7MW的风力发电机组及配套46台箱式变压器、场内35kV集电线路、1座220kV升压站、场内道路等。</w:t>
            </w:r>
          </w:p>
          <w:p w14:paraId="74DFAAD2">
            <w:pPr>
              <w:widowControl/>
              <w:adjustRightInd w:val="0"/>
              <w:snapToGrid w:val="0"/>
              <w:spacing w:line="480" w:lineRule="exact"/>
              <w:ind w:firstLine="480" w:firstLineChars="200"/>
              <w:rPr>
                <w:bCs/>
                <w:kern w:val="0"/>
                <w:sz w:val="24"/>
                <w:highlight w:val="yellow"/>
              </w:rPr>
            </w:pPr>
            <w:r>
              <w:rPr>
                <w:bCs/>
                <w:kern w:val="0"/>
                <w:sz w:val="24"/>
              </w:rPr>
              <w:t>本项目主要建设内容见下表。</w:t>
            </w:r>
          </w:p>
          <w:p w14:paraId="7B992174">
            <w:pPr>
              <w:pStyle w:val="69"/>
              <w:adjustRightInd w:val="0"/>
              <w:snapToGrid w:val="0"/>
              <w:spacing w:before="0" w:line="480" w:lineRule="exact"/>
              <w:rPr>
                <w:b/>
                <w:bCs/>
                <w:szCs w:val="21"/>
              </w:rPr>
            </w:pPr>
            <w:r>
              <w:rPr>
                <w:b/>
                <w:bCs/>
                <w:szCs w:val="21"/>
              </w:rPr>
              <w:t>表2-3   本项目工程组成一览表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07"/>
              <w:gridCol w:w="715"/>
              <w:gridCol w:w="873"/>
              <w:gridCol w:w="6209"/>
            </w:tblGrid>
            <w:tr w14:paraId="677AE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836" w:type="pct"/>
                  <w:gridSpan w:val="2"/>
                  <w:tcBorders>
                    <w:tl2br w:val="nil"/>
                    <w:tr2bl w:val="nil"/>
                  </w:tcBorders>
                  <w:vAlign w:val="center"/>
                </w:tcPr>
                <w:p w14:paraId="0585D89F">
                  <w:pPr>
                    <w:pStyle w:val="60"/>
                    <w:spacing w:beforeLines="0" w:afterLines="0" w:line="0" w:lineRule="atLeast"/>
                    <w:rPr>
                      <w:rFonts w:ascii="Times New Roman"/>
                      <w:b/>
                      <w:bCs/>
                      <w:szCs w:val="21"/>
                    </w:rPr>
                  </w:pPr>
                  <w:r>
                    <w:rPr>
                      <w:rFonts w:ascii="Times New Roman"/>
                      <w:b/>
                      <w:bCs/>
                      <w:szCs w:val="21"/>
                    </w:rPr>
                    <w:t>项目</w:t>
                  </w:r>
                </w:p>
              </w:tc>
              <w:tc>
                <w:tcPr>
                  <w:tcW w:w="4163" w:type="pct"/>
                  <w:gridSpan w:val="2"/>
                  <w:tcBorders>
                    <w:tl2br w:val="nil"/>
                    <w:tr2bl w:val="nil"/>
                  </w:tcBorders>
                  <w:vAlign w:val="center"/>
                </w:tcPr>
                <w:p w14:paraId="50E88336">
                  <w:pPr>
                    <w:pStyle w:val="60"/>
                    <w:spacing w:beforeLines="0" w:afterLines="0" w:line="0" w:lineRule="atLeast"/>
                    <w:rPr>
                      <w:rFonts w:ascii="Times New Roman"/>
                      <w:b/>
                      <w:bCs/>
                      <w:szCs w:val="21"/>
                    </w:rPr>
                  </w:pPr>
                  <w:r>
                    <w:rPr>
                      <w:rFonts w:ascii="Times New Roman"/>
                      <w:b/>
                      <w:bCs/>
                      <w:szCs w:val="21"/>
                    </w:rPr>
                    <w:t>建设内容</w:t>
                  </w:r>
                </w:p>
              </w:tc>
            </w:tr>
            <w:tr w14:paraId="33133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6" w:type="pct"/>
                  <w:vMerge w:val="restart"/>
                  <w:tcBorders>
                    <w:tl2br w:val="nil"/>
                    <w:tr2bl w:val="nil"/>
                  </w:tcBorders>
                  <w:vAlign w:val="center"/>
                </w:tcPr>
                <w:p w14:paraId="29D25363">
                  <w:pPr>
                    <w:pStyle w:val="60"/>
                    <w:spacing w:beforeLines="0" w:afterLines="0" w:line="0" w:lineRule="atLeast"/>
                    <w:rPr>
                      <w:rFonts w:ascii="Times New Roman"/>
                      <w:szCs w:val="21"/>
                    </w:rPr>
                  </w:pPr>
                  <w:r>
                    <w:rPr>
                      <w:rFonts w:ascii="Times New Roman"/>
                      <w:szCs w:val="21"/>
                    </w:rPr>
                    <w:t>主体工程</w:t>
                  </w:r>
                </w:p>
              </w:tc>
              <w:tc>
                <w:tcPr>
                  <w:tcW w:w="419" w:type="pct"/>
                  <w:tcBorders>
                    <w:tl2br w:val="nil"/>
                    <w:tr2bl w:val="nil"/>
                  </w:tcBorders>
                  <w:vAlign w:val="center"/>
                </w:tcPr>
                <w:p w14:paraId="5F240287">
                  <w:pPr>
                    <w:pStyle w:val="60"/>
                    <w:spacing w:beforeLines="0" w:afterLines="0" w:line="0" w:lineRule="atLeast"/>
                    <w:rPr>
                      <w:rFonts w:ascii="Times New Roman"/>
                      <w:szCs w:val="21"/>
                    </w:rPr>
                  </w:pPr>
                  <w:r>
                    <w:rPr>
                      <w:rFonts w:ascii="Times New Roman"/>
                      <w:szCs w:val="21"/>
                    </w:rPr>
                    <w:t>风电场及箱变工程</w:t>
                  </w:r>
                </w:p>
              </w:tc>
              <w:tc>
                <w:tcPr>
                  <w:tcW w:w="4163" w:type="pct"/>
                  <w:gridSpan w:val="2"/>
                  <w:tcBorders>
                    <w:tl2br w:val="nil"/>
                    <w:tr2bl w:val="nil"/>
                  </w:tcBorders>
                  <w:vAlign w:val="center"/>
                </w:tcPr>
                <w:p w14:paraId="30E593C1">
                  <w:pPr>
                    <w:pStyle w:val="60"/>
                    <w:spacing w:beforeLines="0" w:afterLines="0" w:line="0" w:lineRule="atLeast"/>
                    <w:jc w:val="both"/>
                    <w:rPr>
                      <w:rFonts w:ascii="Times New Roman"/>
                      <w:szCs w:val="21"/>
                    </w:rPr>
                  </w:pPr>
                  <w:r>
                    <w:rPr>
                      <w:rFonts w:ascii="Times New Roman"/>
                      <w:szCs w:val="21"/>
                    </w:rPr>
                    <w:t>建设安装46台单机容量7.7MW的风力发电机组，装机总容量为350MW，单台风机叶轮直径220m，轮毂高度175/180/185m。</w:t>
                  </w:r>
                </w:p>
                <w:p w14:paraId="587C67E2">
                  <w:pPr>
                    <w:pStyle w:val="60"/>
                    <w:spacing w:beforeLines="0" w:afterLines="0" w:line="0" w:lineRule="atLeast"/>
                    <w:jc w:val="both"/>
                    <w:rPr>
                      <w:rFonts w:ascii="Times New Roman"/>
                      <w:szCs w:val="21"/>
                    </w:rPr>
                  </w:pPr>
                  <w:r>
                    <w:rPr>
                      <w:rFonts w:ascii="Times New Roman"/>
                      <w:szCs w:val="21"/>
                    </w:rPr>
                    <w:t>每台风机配置一台35kV的箱式变压器（油变）。</w:t>
                  </w:r>
                </w:p>
                <w:p w14:paraId="70B84CD4">
                  <w:pPr>
                    <w:pStyle w:val="60"/>
                    <w:spacing w:beforeLines="0" w:afterLines="0" w:line="0" w:lineRule="atLeast"/>
                    <w:jc w:val="both"/>
                    <w:rPr>
                      <w:rFonts w:ascii="Times New Roman"/>
                      <w:szCs w:val="21"/>
                    </w:rPr>
                  </w:pPr>
                  <w:r>
                    <w:rPr>
                      <w:rFonts w:ascii="Times New Roman"/>
                      <w:szCs w:val="21"/>
                    </w:rPr>
                    <w:t>箱变布置在风机基础承台上方，每台风力发电机组及箱变占地0.0576-0.0578hm</w:t>
                  </w:r>
                  <w:r>
                    <w:rPr>
                      <w:rFonts w:ascii="Times New Roman"/>
                      <w:szCs w:val="21"/>
                      <w:vertAlign w:val="superscript"/>
                    </w:rPr>
                    <w:t>2</w:t>
                  </w:r>
                  <w:r>
                    <w:rPr>
                      <w:rFonts w:ascii="Times New Roman"/>
                      <w:szCs w:val="21"/>
                    </w:rPr>
                    <w:t>，总占地面积为2.6498hm</w:t>
                  </w:r>
                  <w:r>
                    <w:rPr>
                      <w:rFonts w:ascii="Times New Roman"/>
                      <w:szCs w:val="21"/>
                      <w:vertAlign w:val="superscript"/>
                    </w:rPr>
                    <w:t>2</w:t>
                  </w:r>
                  <w:r>
                    <w:rPr>
                      <w:rFonts w:ascii="Times New Roman"/>
                      <w:szCs w:val="21"/>
                    </w:rPr>
                    <w:t>。</w:t>
                  </w:r>
                </w:p>
              </w:tc>
            </w:tr>
            <w:tr w14:paraId="4E363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6" w:type="pct"/>
                  <w:vMerge w:val="continue"/>
                  <w:tcBorders>
                    <w:tl2br w:val="nil"/>
                    <w:tr2bl w:val="nil"/>
                  </w:tcBorders>
                  <w:vAlign w:val="center"/>
                </w:tcPr>
                <w:p w14:paraId="23D89961">
                  <w:pPr>
                    <w:pStyle w:val="60"/>
                    <w:spacing w:beforeLines="0" w:afterLines="0" w:line="0" w:lineRule="atLeast"/>
                    <w:rPr>
                      <w:rFonts w:ascii="Times New Roman"/>
                      <w:szCs w:val="21"/>
                    </w:rPr>
                  </w:pPr>
                </w:p>
              </w:tc>
              <w:tc>
                <w:tcPr>
                  <w:tcW w:w="419" w:type="pct"/>
                  <w:tcBorders>
                    <w:tl2br w:val="nil"/>
                    <w:tr2bl w:val="nil"/>
                  </w:tcBorders>
                  <w:vAlign w:val="center"/>
                </w:tcPr>
                <w:p w14:paraId="77BBAF6A">
                  <w:pPr>
                    <w:pStyle w:val="60"/>
                    <w:spacing w:beforeLines="0" w:afterLines="0" w:line="0" w:lineRule="atLeast"/>
                    <w:rPr>
                      <w:rFonts w:ascii="Times New Roman"/>
                      <w:szCs w:val="21"/>
                    </w:rPr>
                  </w:pPr>
                  <w:r>
                    <w:rPr>
                      <w:rFonts w:ascii="Times New Roman"/>
                      <w:szCs w:val="21"/>
                    </w:rPr>
                    <w:t>集电线路工程</w:t>
                  </w:r>
                </w:p>
              </w:tc>
              <w:tc>
                <w:tcPr>
                  <w:tcW w:w="4163" w:type="pct"/>
                  <w:gridSpan w:val="2"/>
                  <w:tcBorders>
                    <w:tl2br w:val="nil"/>
                    <w:tr2bl w:val="nil"/>
                  </w:tcBorders>
                  <w:vAlign w:val="center"/>
                </w:tcPr>
                <w:p w14:paraId="16F4AFF9">
                  <w:pPr>
                    <w:pStyle w:val="60"/>
                    <w:spacing w:beforeLines="0" w:afterLines="0" w:line="0" w:lineRule="atLeast"/>
                    <w:jc w:val="both"/>
                    <w:rPr>
                      <w:rFonts w:ascii="Times New Roman"/>
                      <w:szCs w:val="21"/>
                    </w:rPr>
                  </w:pPr>
                  <w:r>
                    <w:rPr>
                      <w:rFonts w:ascii="Times New Roman"/>
                      <w:szCs w:val="21"/>
                    </w:rPr>
                    <w:t>本项目全线采用架空与直埋结合方式。集电线路全长约223.058km，其中架空线路长度约183.953km，电缆敷设路径长度约39.105km，电缆敷设方式采用直埋敷设、非开挖拉管敷设两种为主。</w:t>
                  </w:r>
                </w:p>
                <w:p w14:paraId="56BF6E19">
                  <w:pPr>
                    <w:rPr>
                      <w:szCs w:val="21"/>
                    </w:rPr>
                  </w:pPr>
                  <w:r>
                    <w:rPr>
                      <w:szCs w:val="21"/>
                    </w:rPr>
                    <w:t>本项目共设置468基铁塔，铁塔占地面积共约2.29hm</w:t>
                  </w:r>
                  <w:r>
                    <w:rPr>
                      <w:szCs w:val="21"/>
                      <w:vertAlign w:val="superscript"/>
                    </w:rPr>
                    <w:t>2</w:t>
                  </w:r>
                </w:p>
              </w:tc>
            </w:tr>
            <w:tr w14:paraId="3D0F8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16" w:type="pct"/>
                  <w:vMerge w:val="continue"/>
                  <w:tcBorders>
                    <w:tl2br w:val="nil"/>
                    <w:tr2bl w:val="nil"/>
                  </w:tcBorders>
                  <w:vAlign w:val="center"/>
                </w:tcPr>
                <w:p w14:paraId="32A9A9A5">
                  <w:pPr>
                    <w:pStyle w:val="60"/>
                    <w:spacing w:beforeLines="0" w:afterLines="0" w:line="0" w:lineRule="atLeast"/>
                    <w:rPr>
                      <w:rFonts w:ascii="Times New Roman"/>
                      <w:szCs w:val="21"/>
                    </w:rPr>
                  </w:pPr>
                </w:p>
              </w:tc>
              <w:tc>
                <w:tcPr>
                  <w:tcW w:w="419" w:type="pct"/>
                  <w:tcBorders>
                    <w:tl2br w:val="nil"/>
                    <w:tr2bl w:val="nil"/>
                  </w:tcBorders>
                  <w:vAlign w:val="center"/>
                </w:tcPr>
                <w:p w14:paraId="4AA2A5D1">
                  <w:pPr>
                    <w:pStyle w:val="60"/>
                    <w:spacing w:beforeLines="0" w:afterLines="0" w:line="0" w:lineRule="atLeast"/>
                    <w:rPr>
                      <w:rFonts w:ascii="Times New Roman"/>
                      <w:szCs w:val="21"/>
                    </w:rPr>
                  </w:pPr>
                  <w:r>
                    <w:rPr>
                      <w:rFonts w:ascii="Times New Roman"/>
                      <w:szCs w:val="21"/>
                    </w:rPr>
                    <w:t>升压站工程</w:t>
                  </w:r>
                </w:p>
              </w:tc>
              <w:tc>
                <w:tcPr>
                  <w:tcW w:w="4163" w:type="pct"/>
                  <w:gridSpan w:val="2"/>
                  <w:tcBorders>
                    <w:tl2br w:val="nil"/>
                    <w:tr2bl w:val="nil"/>
                  </w:tcBorders>
                  <w:vAlign w:val="center"/>
                </w:tcPr>
                <w:p w14:paraId="1DFC38A4">
                  <w:pPr>
                    <w:pStyle w:val="60"/>
                    <w:spacing w:beforeLines="0" w:afterLines="0" w:line="0" w:lineRule="atLeast"/>
                    <w:jc w:val="both"/>
                    <w:rPr>
                      <w:rFonts w:ascii="Times New Roman"/>
                      <w:szCs w:val="21"/>
                    </w:rPr>
                  </w:pPr>
                  <w:r>
                    <w:rPr>
                      <w:rFonts w:ascii="Times New Roman"/>
                      <w:szCs w:val="21"/>
                    </w:rPr>
                    <w:t>新建1座220kV升压站，占地面积1.616hm</w:t>
                  </w:r>
                  <w:r>
                    <w:rPr>
                      <w:rFonts w:ascii="Times New Roman"/>
                      <w:szCs w:val="21"/>
                      <w:vertAlign w:val="superscript"/>
                    </w:rPr>
                    <w:t>2</w:t>
                  </w:r>
                  <w:r>
                    <w:rPr>
                      <w:rFonts w:ascii="Times New Roman"/>
                      <w:szCs w:val="21"/>
                    </w:rPr>
                    <w:t>。</w:t>
                  </w:r>
                </w:p>
                <w:p w14:paraId="552AB3FB">
                  <w:pPr>
                    <w:pStyle w:val="60"/>
                    <w:spacing w:beforeLines="0" w:afterLines="0" w:line="0" w:lineRule="atLeast"/>
                    <w:jc w:val="both"/>
                    <w:rPr>
                      <w:rFonts w:ascii="Times New Roman"/>
                      <w:szCs w:val="21"/>
                    </w:rPr>
                  </w:pPr>
                  <w:r>
                    <w:rPr>
                      <w:rFonts w:ascii="Times New Roman"/>
                      <w:szCs w:val="21"/>
                    </w:rPr>
                    <w:t>站内设2台220/35kV主变，主变容量180MVA</w:t>
                  </w:r>
                </w:p>
                <w:p w14:paraId="0D27B5B0">
                  <w:pPr>
                    <w:pStyle w:val="60"/>
                    <w:spacing w:beforeLines="0" w:afterLines="0" w:line="0" w:lineRule="atLeast"/>
                    <w:jc w:val="both"/>
                    <w:rPr>
                      <w:rFonts w:ascii="Times New Roman"/>
                      <w:szCs w:val="21"/>
                    </w:rPr>
                  </w:pPr>
                  <w:r>
                    <w:rPr>
                      <w:rFonts w:ascii="Times New Roman"/>
                      <w:szCs w:val="21"/>
                    </w:rPr>
                    <w:t>升压站内设置35kV配电室、GIS室、综合楼、水泵房、库房、危废贮存库、事故油池、消防水池、污水处理池等。</w:t>
                  </w:r>
                </w:p>
              </w:tc>
            </w:tr>
            <w:tr w14:paraId="6BCF9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55" w:hRule="atLeast"/>
                <w:jc w:val="center"/>
              </w:trPr>
              <w:tc>
                <w:tcPr>
                  <w:tcW w:w="416" w:type="pct"/>
                  <w:tcBorders>
                    <w:tl2br w:val="nil"/>
                    <w:tr2bl w:val="nil"/>
                  </w:tcBorders>
                  <w:vAlign w:val="center"/>
                </w:tcPr>
                <w:p w14:paraId="26272465">
                  <w:pPr>
                    <w:pStyle w:val="60"/>
                    <w:spacing w:beforeLines="0" w:afterLines="0" w:line="0" w:lineRule="atLeast"/>
                    <w:rPr>
                      <w:rFonts w:ascii="Times New Roman"/>
                      <w:szCs w:val="21"/>
                      <w:highlight w:val="yellow"/>
                    </w:rPr>
                  </w:pPr>
                  <w:r>
                    <w:rPr>
                      <w:rFonts w:ascii="Times New Roman"/>
                      <w:szCs w:val="21"/>
                    </w:rPr>
                    <w:t>辅助工程</w:t>
                  </w:r>
                </w:p>
              </w:tc>
              <w:tc>
                <w:tcPr>
                  <w:tcW w:w="419" w:type="pct"/>
                  <w:tcBorders>
                    <w:tl2br w:val="nil"/>
                    <w:tr2bl w:val="nil"/>
                  </w:tcBorders>
                  <w:vAlign w:val="center"/>
                </w:tcPr>
                <w:p w14:paraId="2C4538CE">
                  <w:pPr>
                    <w:pStyle w:val="60"/>
                    <w:spacing w:before="24" w:after="24" w:line="0" w:lineRule="atLeast"/>
                    <w:rPr>
                      <w:rFonts w:ascii="Times New Roman"/>
                      <w:szCs w:val="21"/>
                    </w:rPr>
                  </w:pPr>
                  <w:r>
                    <w:rPr>
                      <w:rFonts w:ascii="Times New Roman"/>
                      <w:szCs w:val="21"/>
                    </w:rPr>
                    <w:t>道路工程</w:t>
                  </w:r>
                </w:p>
              </w:tc>
              <w:tc>
                <w:tcPr>
                  <w:tcW w:w="4163" w:type="pct"/>
                  <w:gridSpan w:val="2"/>
                  <w:tcBorders>
                    <w:tl2br w:val="nil"/>
                    <w:tr2bl w:val="nil"/>
                  </w:tcBorders>
                  <w:vAlign w:val="center"/>
                </w:tcPr>
                <w:p w14:paraId="1E44FB03">
                  <w:pPr>
                    <w:pStyle w:val="60"/>
                    <w:spacing w:beforeLines="0" w:afterLines="0" w:line="0" w:lineRule="atLeast"/>
                    <w:jc w:val="both"/>
                    <w:rPr>
                      <w:rFonts w:ascii="Times New Roman"/>
                      <w:szCs w:val="21"/>
                    </w:rPr>
                  </w:pPr>
                  <w:r>
                    <w:rPr>
                      <w:rFonts w:ascii="Times New Roman"/>
                      <w:szCs w:val="21"/>
                    </w:rPr>
                    <w:t>本项目运营期场内检修道路总长132.1km，其中利用场内现有道路70.6km，利用原有道路改建38.9km，新建道路为22.6km；场内新建及改建道路路基宽6 m，路面宽5 m，每侧土路肩0.5m。</w:t>
                  </w:r>
                </w:p>
                <w:p w14:paraId="212D3CCF">
                  <w:pPr>
                    <w:pStyle w:val="60"/>
                    <w:spacing w:beforeLines="0" w:afterLines="0" w:line="0" w:lineRule="atLeast"/>
                    <w:jc w:val="both"/>
                    <w:rPr>
                      <w:rFonts w:ascii="Times New Roman"/>
                      <w:szCs w:val="21"/>
                      <w:highlight w:val="yellow"/>
                    </w:rPr>
                  </w:pPr>
                  <w:r>
                    <w:rPr>
                      <w:rFonts w:ascii="Times New Roman"/>
                      <w:szCs w:val="21"/>
                    </w:rPr>
                    <w:t>升压站进站道路为0.035km。</w:t>
                  </w:r>
                </w:p>
              </w:tc>
            </w:tr>
            <w:tr w14:paraId="1D49E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16" w:type="pct"/>
                  <w:vMerge w:val="restart"/>
                  <w:tcBorders>
                    <w:tl2br w:val="nil"/>
                    <w:tr2bl w:val="nil"/>
                  </w:tcBorders>
                  <w:vAlign w:val="center"/>
                </w:tcPr>
                <w:p w14:paraId="7AA7C311">
                  <w:pPr>
                    <w:pStyle w:val="60"/>
                    <w:spacing w:beforeLines="0" w:afterLines="0" w:line="0" w:lineRule="atLeast"/>
                    <w:rPr>
                      <w:rFonts w:ascii="Times New Roman"/>
                      <w:szCs w:val="21"/>
                      <w:highlight w:val="yellow"/>
                    </w:rPr>
                  </w:pPr>
                  <w:r>
                    <w:rPr>
                      <w:rFonts w:ascii="Times New Roman"/>
                      <w:szCs w:val="21"/>
                    </w:rPr>
                    <w:t>临时工程</w:t>
                  </w:r>
                </w:p>
              </w:tc>
              <w:tc>
                <w:tcPr>
                  <w:tcW w:w="419" w:type="pct"/>
                  <w:tcBorders>
                    <w:tl2br w:val="nil"/>
                    <w:tr2bl w:val="nil"/>
                  </w:tcBorders>
                  <w:vAlign w:val="center"/>
                </w:tcPr>
                <w:p w14:paraId="2F8DD381">
                  <w:pPr>
                    <w:pStyle w:val="60"/>
                    <w:spacing w:before="24" w:after="24" w:line="0" w:lineRule="atLeast"/>
                    <w:rPr>
                      <w:rFonts w:ascii="Times New Roman"/>
                      <w:szCs w:val="21"/>
                    </w:rPr>
                  </w:pPr>
                  <w:r>
                    <w:rPr>
                      <w:rFonts w:ascii="Times New Roman"/>
                      <w:szCs w:val="21"/>
                    </w:rPr>
                    <w:t>施工临建区</w:t>
                  </w:r>
                </w:p>
              </w:tc>
              <w:tc>
                <w:tcPr>
                  <w:tcW w:w="4163" w:type="pct"/>
                  <w:gridSpan w:val="2"/>
                  <w:tcBorders>
                    <w:tl2br w:val="nil"/>
                    <w:tr2bl w:val="nil"/>
                  </w:tcBorders>
                  <w:vAlign w:val="center"/>
                </w:tcPr>
                <w:p w14:paraId="76A46BB8">
                  <w:pPr>
                    <w:pStyle w:val="60"/>
                    <w:spacing w:beforeLines="0" w:afterLines="0" w:line="0" w:lineRule="atLeast"/>
                    <w:jc w:val="both"/>
                    <w:rPr>
                      <w:rFonts w:ascii="Times New Roman"/>
                      <w:szCs w:val="21"/>
                    </w:rPr>
                  </w:pPr>
                  <w:r>
                    <w:rPr>
                      <w:rFonts w:ascii="Times New Roman"/>
                      <w:szCs w:val="21"/>
                    </w:rPr>
                    <w:t>本项目设置2个施工临建区，分别设置于升压站西南侧7700m和升压站东南侧7270m，单个施工临建区占地面积均为5000m</w:t>
                  </w:r>
                  <w:r>
                    <w:rPr>
                      <w:rFonts w:ascii="Times New Roman"/>
                      <w:szCs w:val="21"/>
                      <w:vertAlign w:val="superscript"/>
                    </w:rPr>
                    <w:t>2</w:t>
                  </w:r>
                  <w:r>
                    <w:rPr>
                      <w:rFonts w:ascii="Times New Roman"/>
                      <w:szCs w:val="21"/>
                    </w:rPr>
                    <w:t>，内设原材料堆场、综合加工厂、综合仓库、机械停放场、维修车间、设备仓库、临时生活办公区等。</w:t>
                  </w:r>
                </w:p>
              </w:tc>
            </w:tr>
            <w:tr w14:paraId="77908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16" w:type="pct"/>
                  <w:vMerge w:val="continue"/>
                  <w:tcBorders>
                    <w:tl2br w:val="nil"/>
                    <w:tr2bl w:val="nil"/>
                  </w:tcBorders>
                  <w:vAlign w:val="center"/>
                </w:tcPr>
                <w:p w14:paraId="56E473CA">
                  <w:pPr>
                    <w:pStyle w:val="60"/>
                    <w:spacing w:beforeLines="0" w:afterLines="0" w:line="0" w:lineRule="atLeast"/>
                    <w:rPr>
                      <w:rFonts w:ascii="Times New Roman"/>
                      <w:szCs w:val="21"/>
                    </w:rPr>
                  </w:pPr>
                </w:p>
              </w:tc>
              <w:tc>
                <w:tcPr>
                  <w:tcW w:w="419" w:type="pct"/>
                  <w:tcBorders>
                    <w:tl2br w:val="nil"/>
                    <w:tr2bl w:val="nil"/>
                  </w:tcBorders>
                  <w:vAlign w:val="center"/>
                </w:tcPr>
                <w:p w14:paraId="24ECAA5B">
                  <w:pPr>
                    <w:pStyle w:val="60"/>
                    <w:spacing w:before="24" w:after="24" w:line="0" w:lineRule="atLeast"/>
                    <w:rPr>
                      <w:rFonts w:ascii="Times New Roman"/>
                      <w:szCs w:val="21"/>
                    </w:rPr>
                  </w:pPr>
                  <w:r>
                    <w:rPr>
                      <w:rFonts w:ascii="Times New Roman"/>
                      <w:szCs w:val="21"/>
                    </w:rPr>
                    <w:t>风机施工吊装场地</w:t>
                  </w:r>
                </w:p>
              </w:tc>
              <w:tc>
                <w:tcPr>
                  <w:tcW w:w="4163" w:type="pct"/>
                  <w:gridSpan w:val="2"/>
                  <w:tcBorders>
                    <w:tl2br w:val="nil"/>
                    <w:tr2bl w:val="nil"/>
                  </w:tcBorders>
                  <w:vAlign w:val="center"/>
                </w:tcPr>
                <w:p w14:paraId="5028E428">
                  <w:pPr>
                    <w:pStyle w:val="60"/>
                    <w:spacing w:beforeLines="0" w:afterLines="0" w:line="0" w:lineRule="atLeast"/>
                    <w:jc w:val="both"/>
                    <w:rPr>
                      <w:rFonts w:ascii="Times New Roman"/>
                      <w:szCs w:val="21"/>
                    </w:rPr>
                  </w:pPr>
                  <w:r>
                    <w:rPr>
                      <w:rFonts w:ascii="Times New Roman"/>
                      <w:szCs w:val="21"/>
                    </w:rPr>
                    <w:t>根据风电场每个风机点位的具体地形条件及机位位置条件，每个风机点位设置有面积约为3000m</w:t>
                  </w:r>
                  <w:r>
                    <w:rPr>
                      <w:rFonts w:ascii="Times New Roman"/>
                      <w:szCs w:val="21"/>
                      <w:vertAlign w:val="superscript"/>
                    </w:rPr>
                    <w:t>2</w:t>
                  </w:r>
                  <w:r>
                    <w:rPr>
                      <w:rFonts w:ascii="Times New Roman"/>
                      <w:szCs w:val="21"/>
                    </w:rPr>
                    <w:t>左右的吊装平台，合计占地面积13.8hm</w:t>
                  </w:r>
                  <w:r>
                    <w:rPr>
                      <w:rFonts w:ascii="Times New Roman"/>
                      <w:szCs w:val="21"/>
                      <w:vertAlign w:val="superscript"/>
                    </w:rPr>
                    <w:t>2</w:t>
                  </w:r>
                </w:p>
              </w:tc>
            </w:tr>
            <w:tr w14:paraId="0934E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416" w:type="pct"/>
                  <w:vMerge w:val="continue"/>
                  <w:tcBorders>
                    <w:tl2br w:val="nil"/>
                    <w:tr2bl w:val="nil"/>
                  </w:tcBorders>
                  <w:vAlign w:val="center"/>
                </w:tcPr>
                <w:p w14:paraId="1433565E">
                  <w:pPr>
                    <w:pStyle w:val="60"/>
                    <w:spacing w:beforeLines="0" w:afterLines="0" w:line="0" w:lineRule="atLeast"/>
                    <w:rPr>
                      <w:rFonts w:ascii="Times New Roman"/>
                      <w:szCs w:val="21"/>
                      <w:highlight w:val="yellow"/>
                    </w:rPr>
                  </w:pPr>
                </w:p>
              </w:tc>
              <w:tc>
                <w:tcPr>
                  <w:tcW w:w="419" w:type="pct"/>
                  <w:tcBorders>
                    <w:tl2br w:val="nil"/>
                    <w:tr2bl w:val="nil"/>
                  </w:tcBorders>
                  <w:vAlign w:val="center"/>
                </w:tcPr>
                <w:p w14:paraId="43ABDCA4">
                  <w:pPr>
                    <w:pStyle w:val="60"/>
                    <w:spacing w:before="24" w:after="24" w:line="0" w:lineRule="atLeast"/>
                    <w:rPr>
                      <w:rFonts w:ascii="Times New Roman"/>
                      <w:szCs w:val="21"/>
                    </w:rPr>
                  </w:pPr>
                  <w:r>
                    <w:rPr>
                      <w:rFonts w:ascii="Times New Roman"/>
                      <w:szCs w:val="21"/>
                    </w:rPr>
                    <w:t>临时道路</w:t>
                  </w:r>
                </w:p>
              </w:tc>
              <w:tc>
                <w:tcPr>
                  <w:tcW w:w="4163" w:type="pct"/>
                  <w:gridSpan w:val="2"/>
                  <w:tcBorders>
                    <w:tl2br w:val="nil"/>
                    <w:tr2bl w:val="nil"/>
                  </w:tcBorders>
                  <w:vAlign w:val="center"/>
                </w:tcPr>
                <w:p w14:paraId="2185E09A">
                  <w:pPr>
                    <w:pStyle w:val="60"/>
                    <w:spacing w:beforeLines="0" w:afterLines="0" w:line="0" w:lineRule="atLeast"/>
                    <w:jc w:val="both"/>
                    <w:rPr>
                      <w:rFonts w:ascii="Times New Roman"/>
                      <w:szCs w:val="21"/>
                    </w:rPr>
                  </w:pPr>
                  <w:r>
                    <w:rPr>
                      <w:rFonts w:ascii="Times New Roman"/>
                      <w:szCs w:val="21"/>
                    </w:rPr>
                    <w:t>项目施工期临时道路为永临结合，总长132.1km，其中利用现有道路70.6     km，利用原有道路改建38.9 km，新建道路为22.6km；道路路基宽6m，路面宽5m，每侧土路肩0.5m。路面材质为泥结碎石。</w:t>
                  </w:r>
                </w:p>
              </w:tc>
            </w:tr>
            <w:tr w14:paraId="50CC9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16" w:type="pct"/>
                  <w:vMerge w:val="restart"/>
                  <w:tcBorders>
                    <w:tl2br w:val="nil"/>
                    <w:tr2bl w:val="nil"/>
                  </w:tcBorders>
                  <w:vAlign w:val="center"/>
                </w:tcPr>
                <w:p w14:paraId="6B19CE1F">
                  <w:pPr>
                    <w:adjustRightInd w:val="0"/>
                    <w:snapToGrid w:val="0"/>
                    <w:spacing w:line="0" w:lineRule="atLeast"/>
                    <w:jc w:val="center"/>
                    <w:rPr>
                      <w:szCs w:val="21"/>
                    </w:rPr>
                  </w:pPr>
                  <w:r>
                    <w:rPr>
                      <w:szCs w:val="21"/>
                    </w:rPr>
                    <w:t>公用工程</w:t>
                  </w:r>
                </w:p>
                <w:p w14:paraId="036C4F40">
                  <w:pPr>
                    <w:pStyle w:val="60"/>
                    <w:spacing w:beforeLines="0" w:afterLines="0" w:line="0" w:lineRule="atLeast"/>
                    <w:rPr>
                      <w:rFonts w:ascii="Times New Roman"/>
                      <w:szCs w:val="21"/>
                      <w:highlight w:val="yellow"/>
                    </w:rPr>
                  </w:pPr>
                </w:p>
              </w:tc>
              <w:tc>
                <w:tcPr>
                  <w:tcW w:w="419" w:type="pct"/>
                  <w:tcBorders>
                    <w:tl2br w:val="nil"/>
                    <w:tr2bl w:val="nil"/>
                  </w:tcBorders>
                  <w:vAlign w:val="center"/>
                </w:tcPr>
                <w:p w14:paraId="7EABF24D">
                  <w:pPr>
                    <w:adjustRightInd w:val="0"/>
                    <w:snapToGrid w:val="0"/>
                    <w:spacing w:line="0" w:lineRule="atLeast"/>
                    <w:jc w:val="center"/>
                    <w:rPr>
                      <w:szCs w:val="21"/>
                    </w:rPr>
                  </w:pPr>
                  <w:r>
                    <w:rPr>
                      <w:szCs w:val="21"/>
                    </w:rPr>
                    <w:t>给水</w:t>
                  </w:r>
                </w:p>
              </w:tc>
              <w:tc>
                <w:tcPr>
                  <w:tcW w:w="4163" w:type="pct"/>
                  <w:gridSpan w:val="2"/>
                  <w:tcBorders>
                    <w:tl2br w:val="nil"/>
                    <w:tr2bl w:val="nil"/>
                  </w:tcBorders>
                  <w:vAlign w:val="center"/>
                </w:tcPr>
                <w:p w14:paraId="6A6C8CE6">
                  <w:pPr>
                    <w:pStyle w:val="60"/>
                    <w:spacing w:beforeLines="0" w:afterLines="0" w:line="0" w:lineRule="atLeast"/>
                    <w:jc w:val="both"/>
                    <w:rPr>
                      <w:rFonts w:ascii="Times New Roman"/>
                      <w:szCs w:val="21"/>
                    </w:rPr>
                  </w:pPr>
                  <w:r>
                    <w:rPr>
                      <w:rFonts w:ascii="Times New Roman"/>
                      <w:bCs/>
                      <w:szCs w:val="21"/>
                    </w:rPr>
                    <w:t>施工期、运营期用水均为外购</w:t>
                  </w:r>
                </w:p>
              </w:tc>
            </w:tr>
            <w:tr w14:paraId="7F275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16" w:type="pct"/>
                  <w:vMerge w:val="continue"/>
                  <w:tcBorders>
                    <w:tl2br w:val="nil"/>
                    <w:tr2bl w:val="nil"/>
                  </w:tcBorders>
                  <w:vAlign w:val="center"/>
                </w:tcPr>
                <w:p w14:paraId="427BFE5A">
                  <w:pPr>
                    <w:pStyle w:val="60"/>
                    <w:spacing w:beforeLines="0" w:afterLines="0" w:line="0" w:lineRule="atLeast"/>
                    <w:rPr>
                      <w:rFonts w:ascii="Times New Roman"/>
                      <w:szCs w:val="21"/>
                      <w:highlight w:val="yellow"/>
                    </w:rPr>
                  </w:pPr>
                </w:p>
              </w:tc>
              <w:tc>
                <w:tcPr>
                  <w:tcW w:w="419" w:type="pct"/>
                  <w:tcBorders>
                    <w:tl2br w:val="nil"/>
                    <w:tr2bl w:val="nil"/>
                  </w:tcBorders>
                  <w:shd w:val="clear" w:color="auto" w:fill="auto"/>
                  <w:vAlign w:val="center"/>
                </w:tcPr>
                <w:p w14:paraId="72B37ED5">
                  <w:pPr>
                    <w:adjustRightInd w:val="0"/>
                    <w:snapToGrid w:val="0"/>
                    <w:spacing w:line="0" w:lineRule="atLeast"/>
                    <w:jc w:val="center"/>
                    <w:rPr>
                      <w:szCs w:val="21"/>
                    </w:rPr>
                  </w:pPr>
                  <w:r>
                    <w:rPr>
                      <w:szCs w:val="21"/>
                    </w:rPr>
                    <w:t>排水</w:t>
                  </w:r>
                </w:p>
              </w:tc>
              <w:tc>
                <w:tcPr>
                  <w:tcW w:w="4163" w:type="pct"/>
                  <w:gridSpan w:val="2"/>
                  <w:tcBorders>
                    <w:tl2br w:val="nil"/>
                    <w:tr2bl w:val="nil"/>
                  </w:tcBorders>
                  <w:shd w:val="clear" w:color="auto" w:fill="auto"/>
                  <w:vAlign w:val="center"/>
                </w:tcPr>
                <w:p w14:paraId="5E8F5930">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w:t>
                  </w:r>
                </w:p>
                <w:p w14:paraId="3D2D3E08">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施工期生产废水经收集、沉淀后循环使用不外排；</w:t>
                  </w:r>
                </w:p>
                <w:p w14:paraId="7CC35F11">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施工营地内设置移动型环保厕所，委托清掏处理；</w:t>
                  </w:r>
                </w:p>
                <w:p w14:paraId="42B81245">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施工期基坑降水排入沉淀池，沉淀后回用于施工场地洒水降尘；</w:t>
                  </w:r>
                </w:p>
                <w:p w14:paraId="564FCCEE">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混凝土养护废水全部蒸发，无废水外排。</w:t>
                  </w:r>
                </w:p>
                <w:p w14:paraId="4BD6970A">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p w14:paraId="4D600597">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升压站内食堂废水采用隔油池处理后与其他生活污水共同排入化粪池，定期清掏。</w:t>
                  </w:r>
                </w:p>
              </w:tc>
            </w:tr>
            <w:tr w14:paraId="166DE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16" w:type="pct"/>
                  <w:vMerge w:val="continue"/>
                  <w:tcBorders>
                    <w:tl2br w:val="nil"/>
                    <w:tr2bl w:val="nil"/>
                  </w:tcBorders>
                  <w:vAlign w:val="center"/>
                </w:tcPr>
                <w:p w14:paraId="21E48799">
                  <w:pPr>
                    <w:pStyle w:val="60"/>
                    <w:spacing w:beforeLines="0" w:afterLines="0" w:line="0" w:lineRule="atLeast"/>
                    <w:rPr>
                      <w:rFonts w:ascii="Times New Roman"/>
                      <w:szCs w:val="21"/>
                      <w:highlight w:val="yellow"/>
                    </w:rPr>
                  </w:pPr>
                </w:p>
              </w:tc>
              <w:tc>
                <w:tcPr>
                  <w:tcW w:w="419" w:type="pct"/>
                  <w:tcBorders>
                    <w:tl2br w:val="nil"/>
                    <w:tr2bl w:val="nil"/>
                  </w:tcBorders>
                  <w:vAlign w:val="center"/>
                </w:tcPr>
                <w:p w14:paraId="5E18E914">
                  <w:pPr>
                    <w:adjustRightInd w:val="0"/>
                    <w:snapToGrid w:val="0"/>
                    <w:spacing w:line="0" w:lineRule="atLeast"/>
                    <w:jc w:val="center"/>
                    <w:rPr>
                      <w:szCs w:val="21"/>
                    </w:rPr>
                  </w:pPr>
                  <w:r>
                    <w:rPr>
                      <w:szCs w:val="21"/>
                    </w:rPr>
                    <w:t>供电</w:t>
                  </w:r>
                </w:p>
              </w:tc>
              <w:tc>
                <w:tcPr>
                  <w:tcW w:w="4163" w:type="pct"/>
                  <w:gridSpan w:val="2"/>
                  <w:tcBorders>
                    <w:tl2br w:val="nil"/>
                    <w:tr2bl w:val="nil"/>
                  </w:tcBorders>
                  <w:vAlign w:val="center"/>
                </w:tcPr>
                <w:p w14:paraId="2F44CEE7">
                  <w:pPr>
                    <w:pStyle w:val="60"/>
                    <w:spacing w:beforeLines="0" w:afterLines="0" w:line="0" w:lineRule="atLeast"/>
                    <w:jc w:val="both"/>
                    <w:rPr>
                      <w:rFonts w:ascii="Times New Roman"/>
                      <w:szCs w:val="21"/>
                    </w:rPr>
                  </w:pPr>
                  <w:r>
                    <w:rPr>
                      <w:rFonts w:ascii="Times New Roman"/>
                      <w:szCs w:val="21"/>
                    </w:rPr>
                    <w:t>施工期：供电接附近农网10kv线路，施工临建区设置变压器。</w:t>
                  </w:r>
                </w:p>
                <w:p w14:paraId="68D92777">
                  <w:pPr>
                    <w:pStyle w:val="60"/>
                    <w:spacing w:beforeLines="0" w:afterLines="0" w:line="0" w:lineRule="atLeast"/>
                    <w:jc w:val="both"/>
                    <w:rPr>
                      <w:rFonts w:ascii="Times New Roman"/>
                      <w:szCs w:val="21"/>
                    </w:rPr>
                  </w:pPr>
                  <w:r>
                    <w:rPr>
                      <w:rFonts w:ascii="Times New Roman"/>
                      <w:szCs w:val="21"/>
                    </w:rPr>
                    <w:t>运营期：供电接附近农网10kv线路和风电场所发电力，设置站用变。站内有蓄电池室，为备用电源。</w:t>
                  </w:r>
                </w:p>
              </w:tc>
            </w:tr>
            <w:tr w14:paraId="582F2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16" w:type="pct"/>
                  <w:vMerge w:val="continue"/>
                  <w:tcBorders>
                    <w:tl2br w:val="nil"/>
                    <w:tr2bl w:val="nil"/>
                  </w:tcBorders>
                  <w:vAlign w:val="center"/>
                </w:tcPr>
                <w:p w14:paraId="29FB3933">
                  <w:pPr>
                    <w:pStyle w:val="60"/>
                    <w:spacing w:beforeLines="0" w:afterLines="0" w:line="0" w:lineRule="atLeast"/>
                    <w:rPr>
                      <w:rFonts w:ascii="Times New Roman"/>
                      <w:szCs w:val="21"/>
                      <w:highlight w:val="yellow"/>
                    </w:rPr>
                  </w:pPr>
                </w:p>
              </w:tc>
              <w:tc>
                <w:tcPr>
                  <w:tcW w:w="419" w:type="pct"/>
                  <w:tcBorders>
                    <w:tl2br w:val="nil"/>
                    <w:tr2bl w:val="nil"/>
                  </w:tcBorders>
                  <w:vAlign w:val="center"/>
                </w:tcPr>
                <w:p w14:paraId="39A763FA">
                  <w:pPr>
                    <w:adjustRightInd w:val="0"/>
                    <w:snapToGrid w:val="0"/>
                    <w:spacing w:line="0" w:lineRule="atLeast"/>
                    <w:jc w:val="center"/>
                    <w:rPr>
                      <w:szCs w:val="21"/>
                    </w:rPr>
                  </w:pPr>
                  <w:r>
                    <w:rPr>
                      <w:szCs w:val="21"/>
                    </w:rPr>
                    <w:t>制冷与供热</w:t>
                  </w:r>
                </w:p>
              </w:tc>
              <w:tc>
                <w:tcPr>
                  <w:tcW w:w="4163" w:type="pct"/>
                  <w:gridSpan w:val="2"/>
                  <w:tcBorders>
                    <w:tl2br w:val="nil"/>
                    <w:tr2bl w:val="nil"/>
                  </w:tcBorders>
                  <w:vAlign w:val="center"/>
                </w:tcPr>
                <w:p w14:paraId="73DFBE06">
                  <w:pPr>
                    <w:widowControl/>
                    <w:jc w:val="left"/>
                    <w:rPr>
                      <w:szCs w:val="21"/>
                    </w:rPr>
                  </w:pPr>
                  <w:r>
                    <w:rPr>
                      <w:kern w:val="0"/>
                      <w:szCs w:val="21"/>
                    </w:rPr>
                    <w:t>施工期：无制冷采暖措施；</w:t>
                  </w:r>
                </w:p>
                <w:p w14:paraId="135A88D4">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运营期：本项目升压站运营期供暖采用电暖器，制冷采用单体空调。</w:t>
                  </w:r>
                </w:p>
              </w:tc>
            </w:tr>
            <w:tr w14:paraId="4F3F6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416" w:type="pct"/>
                  <w:vMerge w:val="restart"/>
                  <w:tcBorders>
                    <w:tl2br w:val="nil"/>
                    <w:tr2bl w:val="nil"/>
                  </w:tcBorders>
                  <w:vAlign w:val="center"/>
                </w:tcPr>
                <w:p w14:paraId="4C1D820F">
                  <w:pPr>
                    <w:adjustRightInd w:val="0"/>
                    <w:snapToGrid w:val="0"/>
                    <w:spacing w:line="0" w:lineRule="atLeast"/>
                    <w:jc w:val="center"/>
                    <w:rPr>
                      <w:szCs w:val="21"/>
                      <w:highlight w:val="yellow"/>
                    </w:rPr>
                  </w:pPr>
                  <w:r>
                    <w:rPr>
                      <w:szCs w:val="21"/>
                    </w:rPr>
                    <w:t>环保工程</w:t>
                  </w:r>
                </w:p>
              </w:tc>
              <w:tc>
                <w:tcPr>
                  <w:tcW w:w="419" w:type="pct"/>
                  <w:vMerge w:val="restart"/>
                  <w:tcBorders>
                    <w:tl2br w:val="nil"/>
                    <w:tr2bl w:val="nil"/>
                  </w:tcBorders>
                  <w:vAlign w:val="center"/>
                </w:tcPr>
                <w:p w14:paraId="7ADD860D">
                  <w:pPr>
                    <w:adjustRightInd w:val="0"/>
                    <w:snapToGrid w:val="0"/>
                    <w:spacing w:line="0" w:lineRule="atLeast"/>
                    <w:jc w:val="center"/>
                    <w:rPr>
                      <w:szCs w:val="21"/>
                    </w:rPr>
                  </w:pPr>
                  <w:r>
                    <w:rPr>
                      <w:szCs w:val="21"/>
                    </w:rPr>
                    <w:t>废水</w:t>
                  </w:r>
                </w:p>
              </w:tc>
              <w:tc>
                <w:tcPr>
                  <w:tcW w:w="513" w:type="pct"/>
                  <w:tcBorders>
                    <w:tl2br w:val="nil"/>
                    <w:tr2bl w:val="nil"/>
                  </w:tcBorders>
                  <w:vAlign w:val="center"/>
                </w:tcPr>
                <w:p w14:paraId="46AF4CD9">
                  <w:pPr>
                    <w:adjustRightInd w:val="0"/>
                    <w:snapToGrid w:val="0"/>
                    <w:spacing w:line="0" w:lineRule="atLeast"/>
                    <w:rPr>
                      <w:szCs w:val="21"/>
                    </w:rPr>
                  </w:pPr>
                  <w:r>
                    <w:rPr>
                      <w:szCs w:val="21"/>
                    </w:rPr>
                    <w:t>施工期</w:t>
                  </w:r>
                </w:p>
              </w:tc>
              <w:tc>
                <w:tcPr>
                  <w:tcW w:w="3650" w:type="pct"/>
                  <w:tcBorders>
                    <w:tl2br w:val="nil"/>
                    <w:tr2bl w:val="nil"/>
                  </w:tcBorders>
                  <w:vAlign w:val="center"/>
                </w:tcPr>
                <w:p w14:paraId="142D8792">
                  <w:pPr>
                    <w:pStyle w:val="60"/>
                    <w:spacing w:beforeLines="0" w:afterLines="0" w:line="0" w:lineRule="atLeast"/>
                    <w:jc w:val="both"/>
                    <w:rPr>
                      <w:rFonts w:ascii="Times New Roman"/>
                      <w:szCs w:val="21"/>
                    </w:rPr>
                  </w:pPr>
                  <w:r>
                    <w:rPr>
                      <w:rFonts w:ascii="Times New Roman"/>
                      <w:szCs w:val="21"/>
                    </w:rPr>
                    <w:t>施工期废水主要包括车辆冲洗废水、生活污水、基坑降水等。</w:t>
                  </w:r>
                </w:p>
                <w:p w14:paraId="3CD55E53">
                  <w:pPr>
                    <w:pStyle w:val="60"/>
                    <w:spacing w:beforeLines="0" w:afterLines="0" w:line="0" w:lineRule="atLeast"/>
                    <w:jc w:val="both"/>
                    <w:rPr>
                      <w:rFonts w:ascii="Times New Roman"/>
                      <w:szCs w:val="21"/>
                    </w:rPr>
                  </w:pPr>
                  <w:r>
                    <w:rPr>
                      <w:rFonts w:ascii="Times New Roman"/>
                      <w:szCs w:val="21"/>
                    </w:rPr>
                    <w:t>施工现场设置临时沉淀池，施工过程中产生的车辆冲洗废水、基坑降水，经沉淀后循环使用；</w:t>
                  </w:r>
                </w:p>
                <w:p w14:paraId="6DA4B59B">
                  <w:pPr>
                    <w:pStyle w:val="60"/>
                    <w:spacing w:beforeLines="0" w:afterLines="0" w:line="0" w:lineRule="atLeast"/>
                    <w:jc w:val="both"/>
                    <w:rPr>
                      <w:rFonts w:ascii="Times New Roman"/>
                      <w:szCs w:val="21"/>
                    </w:rPr>
                  </w:pPr>
                  <w:r>
                    <w:rPr>
                      <w:rFonts w:ascii="Times New Roman"/>
                      <w:szCs w:val="21"/>
                    </w:rPr>
                    <w:t>施工营地设置环保型旱厕，生活污水排入环保临时旱厕，定期清运。</w:t>
                  </w:r>
                </w:p>
              </w:tc>
            </w:tr>
            <w:tr w14:paraId="78BEE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49" w:hRule="atLeast"/>
                <w:jc w:val="center"/>
              </w:trPr>
              <w:tc>
                <w:tcPr>
                  <w:tcW w:w="416" w:type="pct"/>
                  <w:vMerge w:val="continue"/>
                  <w:tcBorders>
                    <w:tl2br w:val="nil"/>
                    <w:tr2bl w:val="nil"/>
                  </w:tcBorders>
                  <w:vAlign w:val="center"/>
                </w:tcPr>
                <w:p w14:paraId="6A60DA33">
                  <w:pPr>
                    <w:adjustRightInd w:val="0"/>
                    <w:snapToGrid w:val="0"/>
                    <w:spacing w:line="0" w:lineRule="atLeast"/>
                    <w:jc w:val="center"/>
                    <w:rPr>
                      <w:szCs w:val="21"/>
                    </w:rPr>
                  </w:pPr>
                </w:p>
              </w:tc>
              <w:tc>
                <w:tcPr>
                  <w:tcW w:w="419" w:type="pct"/>
                  <w:vMerge w:val="continue"/>
                  <w:tcBorders>
                    <w:tl2br w:val="nil"/>
                    <w:tr2bl w:val="nil"/>
                  </w:tcBorders>
                  <w:vAlign w:val="center"/>
                </w:tcPr>
                <w:p w14:paraId="40B4435E">
                  <w:pPr>
                    <w:adjustRightInd w:val="0"/>
                    <w:snapToGrid w:val="0"/>
                    <w:spacing w:line="0" w:lineRule="atLeast"/>
                    <w:jc w:val="center"/>
                    <w:rPr>
                      <w:szCs w:val="21"/>
                    </w:rPr>
                  </w:pPr>
                </w:p>
              </w:tc>
              <w:tc>
                <w:tcPr>
                  <w:tcW w:w="513" w:type="pct"/>
                  <w:tcBorders>
                    <w:tl2br w:val="nil"/>
                    <w:tr2bl w:val="nil"/>
                  </w:tcBorders>
                  <w:vAlign w:val="center"/>
                </w:tcPr>
                <w:p w14:paraId="24447185">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tc>
              <w:tc>
                <w:tcPr>
                  <w:tcW w:w="3650" w:type="pct"/>
                  <w:tcBorders>
                    <w:tl2br w:val="nil"/>
                    <w:tr2bl w:val="nil"/>
                  </w:tcBorders>
                  <w:vAlign w:val="center"/>
                </w:tcPr>
                <w:p w14:paraId="487BA447">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升压站内食堂废水采用隔油池处理后与其他生活污水共同排入化粪池，定期清掏</w:t>
                  </w:r>
                </w:p>
              </w:tc>
            </w:tr>
            <w:tr w14:paraId="4FB9B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6" w:type="pct"/>
                  <w:vMerge w:val="continue"/>
                  <w:tcBorders>
                    <w:tl2br w:val="nil"/>
                    <w:tr2bl w:val="nil"/>
                  </w:tcBorders>
                  <w:vAlign w:val="center"/>
                </w:tcPr>
                <w:p w14:paraId="44D4A05D">
                  <w:pPr>
                    <w:adjustRightInd w:val="0"/>
                    <w:snapToGrid w:val="0"/>
                    <w:spacing w:line="0" w:lineRule="atLeast"/>
                    <w:jc w:val="center"/>
                    <w:rPr>
                      <w:szCs w:val="21"/>
                    </w:rPr>
                  </w:pPr>
                </w:p>
              </w:tc>
              <w:tc>
                <w:tcPr>
                  <w:tcW w:w="419" w:type="pct"/>
                  <w:vMerge w:val="restart"/>
                  <w:tcBorders>
                    <w:tl2br w:val="nil"/>
                    <w:tr2bl w:val="nil"/>
                  </w:tcBorders>
                  <w:vAlign w:val="center"/>
                </w:tcPr>
                <w:p w14:paraId="2E630F73">
                  <w:pPr>
                    <w:adjustRightInd w:val="0"/>
                    <w:snapToGrid w:val="0"/>
                    <w:spacing w:line="0" w:lineRule="atLeast"/>
                    <w:jc w:val="center"/>
                    <w:rPr>
                      <w:szCs w:val="21"/>
                    </w:rPr>
                  </w:pPr>
                  <w:r>
                    <w:rPr>
                      <w:szCs w:val="21"/>
                    </w:rPr>
                    <w:t>废气</w:t>
                  </w:r>
                </w:p>
              </w:tc>
              <w:tc>
                <w:tcPr>
                  <w:tcW w:w="513" w:type="pct"/>
                  <w:tcBorders>
                    <w:tl2br w:val="nil"/>
                    <w:tr2bl w:val="nil"/>
                  </w:tcBorders>
                  <w:vAlign w:val="center"/>
                </w:tcPr>
                <w:p w14:paraId="079AA26C">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施工期</w:t>
                  </w:r>
                </w:p>
              </w:tc>
              <w:tc>
                <w:tcPr>
                  <w:tcW w:w="3650" w:type="pct"/>
                  <w:tcBorders>
                    <w:tl2br w:val="nil"/>
                    <w:tr2bl w:val="nil"/>
                  </w:tcBorders>
                  <w:vAlign w:val="center"/>
                </w:tcPr>
                <w:p w14:paraId="1FBA7E6B">
                  <w:pPr>
                    <w:pStyle w:val="74"/>
                    <w:adjustRightInd w:val="0"/>
                    <w:snapToGrid w:val="0"/>
                    <w:spacing w:line="0" w:lineRule="atLeast"/>
                    <w:ind w:firstLine="0" w:firstLineChars="0"/>
                    <w:jc w:val="both"/>
                    <w:rPr>
                      <w:rFonts w:ascii="Times New Roman"/>
                      <w:spacing w:val="0"/>
                      <w:sz w:val="21"/>
                      <w:szCs w:val="21"/>
                    </w:rPr>
                  </w:pPr>
                  <w:r>
                    <w:rPr>
                      <w:rFonts w:ascii="Times New Roman"/>
                      <w:bCs/>
                      <w:spacing w:val="0"/>
                      <w:sz w:val="21"/>
                      <w:szCs w:val="21"/>
                    </w:rPr>
                    <w:t>施工时安装视频监控或扬尘监测设施，并与有关部门联网；开挖土方、临时堆料在指定地点堆放，采取围挡、覆盖措施，开挖土方及时回填；</w:t>
                  </w:r>
                  <w:r>
                    <w:rPr>
                      <w:rFonts w:ascii="Times New Roman"/>
                      <w:snapToGrid w:val="0"/>
                      <w:kern w:val="0"/>
                      <w:sz w:val="21"/>
                      <w:szCs w:val="21"/>
                    </w:rPr>
                    <w:t>施工现场设置围挡，施工道路和作业场地硬化，出入口设车轮冲洗装置对出场车轮进行冲洗，施工现场洒水抑尘，</w:t>
                  </w:r>
                  <w:r>
                    <w:rPr>
                      <w:rFonts w:ascii="Times New Roman"/>
                      <w:bCs/>
                      <w:spacing w:val="10"/>
                      <w:sz w:val="21"/>
                      <w:szCs w:val="21"/>
                    </w:rPr>
                    <w:t>对易产生扬尘的建筑材料和运输车辆采取防尘布苫盖等</w:t>
                  </w:r>
                  <w:r>
                    <w:rPr>
                      <w:rFonts w:ascii="Times New Roman"/>
                      <w:sz w:val="21"/>
                      <w:szCs w:val="21"/>
                    </w:rPr>
                    <w:t>，施工现场的建筑垃圾必须设置垃圾存放点，及时清运；物料</w:t>
                  </w:r>
                  <w:r>
                    <w:rPr>
                      <w:rFonts w:hint="eastAsia" w:ascii="Times New Roman"/>
                      <w:sz w:val="21"/>
                      <w:szCs w:val="21"/>
                    </w:rPr>
                    <w:t>及土方等</w:t>
                  </w:r>
                  <w:r>
                    <w:rPr>
                      <w:rFonts w:ascii="Times New Roman"/>
                      <w:sz w:val="21"/>
                      <w:szCs w:val="21"/>
                    </w:rPr>
                    <w:t>装卸过程采用雾炮喷雾抑尘；</w:t>
                  </w:r>
                  <w:r>
                    <w:rPr>
                      <w:rFonts w:ascii="Times New Roman"/>
                      <w:bCs/>
                      <w:spacing w:val="0"/>
                      <w:sz w:val="21"/>
                      <w:szCs w:val="21"/>
                    </w:rPr>
                    <w:t>焊接烟尘采用焊烟净化器处理后排放；加强各种施工机械的维修与保养</w:t>
                  </w:r>
                </w:p>
              </w:tc>
            </w:tr>
            <w:tr w14:paraId="69A79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416" w:type="pct"/>
                  <w:vMerge w:val="continue"/>
                  <w:tcBorders>
                    <w:tl2br w:val="nil"/>
                    <w:tr2bl w:val="nil"/>
                  </w:tcBorders>
                  <w:vAlign w:val="center"/>
                </w:tcPr>
                <w:p w14:paraId="5F58C46C">
                  <w:pPr>
                    <w:adjustRightInd w:val="0"/>
                    <w:snapToGrid w:val="0"/>
                    <w:spacing w:line="0" w:lineRule="atLeast"/>
                    <w:jc w:val="center"/>
                    <w:rPr>
                      <w:szCs w:val="21"/>
                    </w:rPr>
                  </w:pPr>
                </w:p>
              </w:tc>
              <w:tc>
                <w:tcPr>
                  <w:tcW w:w="419" w:type="pct"/>
                  <w:vMerge w:val="continue"/>
                  <w:tcBorders>
                    <w:tl2br w:val="nil"/>
                    <w:tr2bl w:val="nil"/>
                  </w:tcBorders>
                  <w:vAlign w:val="center"/>
                </w:tcPr>
                <w:p w14:paraId="7BE72F41">
                  <w:pPr>
                    <w:adjustRightInd w:val="0"/>
                    <w:snapToGrid w:val="0"/>
                    <w:spacing w:line="0" w:lineRule="atLeast"/>
                    <w:jc w:val="center"/>
                    <w:rPr>
                      <w:szCs w:val="21"/>
                    </w:rPr>
                  </w:pPr>
                </w:p>
              </w:tc>
              <w:tc>
                <w:tcPr>
                  <w:tcW w:w="513" w:type="pct"/>
                  <w:tcBorders>
                    <w:tl2br w:val="nil"/>
                    <w:tr2bl w:val="nil"/>
                  </w:tcBorders>
                  <w:vAlign w:val="center"/>
                </w:tcPr>
                <w:p w14:paraId="58A542C4">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运营期</w:t>
                  </w:r>
                </w:p>
              </w:tc>
              <w:tc>
                <w:tcPr>
                  <w:tcW w:w="3650" w:type="pct"/>
                  <w:tcBorders>
                    <w:tl2br w:val="nil"/>
                    <w:tr2bl w:val="nil"/>
                  </w:tcBorders>
                  <w:vAlign w:val="center"/>
                </w:tcPr>
                <w:p w14:paraId="7CC3C299">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食堂油烟经油烟净化器处理后确保达标排放</w:t>
                  </w:r>
                </w:p>
              </w:tc>
            </w:tr>
            <w:tr w14:paraId="5B507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416" w:type="pct"/>
                  <w:vMerge w:val="continue"/>
                  <w:tcBorders>
                    <w:tl2br w:val="nil"/>
                    <w:tr2bl w:val="nil"/>
                  </w:tcBorders>
                  <w:vAlign w:val="center"/>
                </w:tcPr>
                <w:p w14:paraId="3132596C">
                  <w:pPr>
                    <w:adjustRightInd w:val="0"/>
                    <w:snapToGrid w:val="0"/>
                    <w:spacing w:line="0" w:lineRule="atLeast"/>
                    <w:jc w:val="center"/>
                    <w:rPr>
                      <w:szCs w:val="21"/>
                      <w:highlight w:val="yellow"/>
                    </w:rPr>
                  </w:pPr>
                </w:p>
              </w:tc>
              <w:tc>
                <w:tcPr>
                  <w:tcW w:w="419" w:type="pct"/>
                  <w:vMerge w:val="restart"/>
                  <w:tcBorders>
                    <w:tl2br w:val="nil"/>
                    <w:tr2bl w:val="nil"/>
                  </w:tcBorders>
                  <w:vAlign w:val="center"/>
                </w:tcPr>
                <w:p w14:paraId="6595AAB2">
                  <w:pPr>
                    <w:adjustRightInd w:val="0"/>
                    <w:snapToGrid w:val="0"/>
                    <w:spacing w:line="0" w:lineRule="atLeast"/>
                    <w:jc w:val="center"/>
                    <w:rPr>
                      <w:szCs w:val="21"/>
                    </w:rPr>
                  </w:pPr>
                  <w:r>
                    <w:rPr>
                      <w:szCs w:val="21"/>
                    </w:rPr>
                    <w:t>噪声</w:t>
                  </w:r>
                </w:p>
              </w:tc>
              <w:tc>
                <w:tcPr>
                  <w:tcW w:w="513" w:type="pct"/>
                  <w:tcBorders>
                    <w:tl2br w:val="nil"/>
                    <w:tr2bl w:val="nil"/>
                  </w:tcBorders>
                  <w:vAlign w:val="center"/>
                </w:tcPr>
                <w:p w14:paraId="2C848901">
                  <w:pPr>
                    <w:adjustRightInd w:val="0"/>
                    <w:snapToGrid w:val="0"/>
                    <w:spacing w:line="0" w:lineRule="atLeast"/>
                    <w:rPr>
                      <w:szCs w:val="21"/>
                    </w:rPr>
                  </w:pPr>
                  <w:r>
                    <w:rPr>
                      <w:szCs w:val="21"/>
                    </w:rPr>
                    <w:t>施工期</w:t>
                  </w:r>
                </w:p>
              </w:tc>
              <w:tc>
                <w:tcPr>
                  <w:tcW w:w="3650" w:type="pct"/>
                  <w:tcBorders>
                    <w:tl2br w:val="nil"/>
                    <w:tr2bl w:val="nil"/>
                  </w:tcBorders>
                  <w:vAlign w:val="center"/>
                </w:tcPr>
                <w:p w14:paraId="48D98961">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选用低噪声设备和工作方式，合理安排施工作业计划，加强设备和车辆保养和施工管理，采取设置围挡等隔声降噪措施。</w:t>
                  </w:r>
                </w:p>
              </w:tc>
            </w:tr>
            <w:tr w14:paraId="1924E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416" w:type="pct"/>
                  <w:vMerge w:val="continue"/>
                  <w:tcBorders>
                    <w:tl2br w:val="nil"/>
                    <w:tr2bl w:val="nil"/>
                  </w:tcBorders>
                  <w:vAlign w:val="center"/>
                </w:tcPr>
                <w:p w14:paraId="52427B47">
                  <w:pPr>
                    <w:adjustRightInd w:val="0"/>
                    <w:snapToGrid w:val="0"/>
                    <w:spacing w:line="0" w:lineRule="atLeast"/>
                    <w:jc w:val="center"/>
                    <w:rPr>
                      <w:szCs w:val="21"/>
                      <w:highlight w:val="yellow"/>
                    </w:rPr>
                  </w:pPr>
                </w:p>
              </w:tc>
              <w:tc>
                <w:tcPr>
                  <w:tcW w:w="419" w:type="pct"/>
                  <w:vMerge w:val="continue"/>
                  <w:tcBorders>
                    <w:tl2br w:val="nil"/>
                    <w:tr2bl w:val="nil"/>
                  </w:tcBorders>
                  <w:vAlign w:val="center"/>
                </w:tcPr>
                <w:p w14:paraId="11FD1BDE">
                  <w:pPr>
                    <w:adjustRightInd w:val="0"/>
                    <w:snapToGrid w:val="0"/>
                    <w:spacing w:line="0" w:lineRule="atLeast"/>
                    <w:jc w:val="center"/>
                    <w:rPr>
                      <w:szCs w:val="21"/>
                    </w:rPr>
                  </w:pPr>
                </w:p>
              </w:tc>
              <w:tc>
                <w:tcPr>
                  <w:tcW w:w="513" w:type="pct"/>
                  <w:tcBorders>
                    <w:tl2br w:val="nil"/>
                    <w:tr2bl w:val="nil"/>
                  </w:tcBorders>
                  <w:vAlign w:val="center"/>
                </w:tcPr>
                <w:p w14:paraId="2815377C">
                  <w:pPr>
                    <w:adjustRightInd w:val="0"/>
                    <w:snapToGrid w:val="0"/>
                    <w:spacing w:line="0" w:lineRule="atLeast"/>
                    <w:rPr>
                      <w:szCs w:val="21"/>
                    </w:rPr>
                  </w:pPr>
                  <w:r>
                    <w:rPr>
                      <w:szCs w:val="21"/>
                    </w:rPr>
                    <w:t>运营期</w:t>
                  </w:r>
                </w:p>
              </w:tc>
              <w:tc>
                <w:tcPr>
                  <w:tcW w:w="3650" w:type="pct"/>
                  <w:tcBorders>
                    <w:tl2br w:val="nil"/>
                    <w:tr2bl w:val="nil"/>
                  </w:tcBorders>
                  <w:vAlign w:val="center"/>
                </w:tcPr>
                <w:p w14:paraId="1F21362D">
                  <w:pPr>
                    <w:pStyle w:val="74"/>
                    <w:adjustRightInd w:val="0"/>
                    <w:snapToGrid w:val="0"/>
                    <w:spacing w:line="0" w:lineRule="atLeast"/>
                    <w:ind w:firstLine="0" w:firstLineChars="0"/>
                    <w:jc w:val="both"/>
                    <w:rPr>
                      <w:rFonts w:ascii="Times New Roman"/>
                      <w:spacing w:val="0"/>
                      <w:sz w:val="21"/>
                      <w:szCs w:val="21"/>
                    </w:rPr>
                  </w:pPr>
                  <w:r>
                    <w:rPr>
                      <w:rFonts w:ascii="Times New Roman"/>
                      <w:spacing w:val="0"/>
                      <w:sz w:val="21"/>
                      <w:szCs w:val="21"/>
                    </w:rPr>
                    <w:t>加强设备保养，选用低噪声设备 ，基础减振</w:t>
                  </w:r>
                </w:p>
              </w:tc>
            </w:tr>
            <w:tr w14:paraId="068CD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416" w:type="pct"/>
                  <w:vMerge w:val="continue"/>
                  <w:tcBorders>
                    <w:tl2br w:val="nil"/>
                    <w:tr2bl w:val="nil"/>
                  </w:tcBorders>
                  <w:vAlign w:val="center"/>
                </w:tcPr>
                <w:p w14:paraId="4A27FEC2">
                  <w:pPr>
                    <w:adjustRightInd w:val="0"/>
                    <w:snapToGrid w:val="0"/>
                    <w:spacing w:line="0" w:lineRule="atLeast"/>
                    <w:jc w:val="center"/>
                    <w:rPr>
                      <w:szCs w:val="21"/>
                      <w:highlight w:val="yellow"/>
                    </w:rPr>
                  </w:pPr>
                </w:p>
              </w:tc>
              <w:tc>
                <w:tcPr>
                  <w:tcW w:w="419" w:type="pct"/>
                  <w:vMerge w:val="restart"/>
                  <w:tcBorders>
                    <w:tl2br w:val="nil"/>
                    <w:tr2bl w:val="nil"/>
                  </w:tcBorders>
                  <w:vAlign w:val="center"/>
                </w:tcPr>
                <w:p w14:paraId="2864C455">
                  <w:pPr>
                    <w:adjustRightInd w:val="0"/>
                    <w:snapToGrid w:val="0"/>
                    <w:spacing w:line="0" w:lineRule="atLeast"/>
                    <w:jc w:val="center"/>
                    <w:rPr>
                      <w:szCs w:val="21"/>
                    </w:rPr>
                  </w:pPr>
                  <w:r>
                    <w:rPr>
                      <w:szCs w:val="21"/>
                    </w:rPr>
                    <w:t>固体废物</w:t>
                  </w:r>
                </w:p>
              </w:tc>
              <w:tc>
                <w:tcPr>
                  <w:tcW w:w="513" w:type="pct"/>
                  <w:tcBorders>
                    <w:tl2br w:val="nil"/>
                    <w:tr2bl w:val="nil"/>
                  </w:tcBorders>
                  <w:vAlign w:val="center"/>
                </w:tcPr>
                <w:p w14:paraId="23F6B445">
                  <w:pPr>
                    <w:adjustRightInd w:val="0"/>
                    <w:snapToGrid w:val="0"/>
                    <w:spacing w:line="0" w:lineRule="atLeast"/>
                    <w:rPr>
                      <w:szCs w:val="21"/>
                    </w:rPr>
                  </w:pPr>
                  <w:r>
                    <w:rPr>
                      <w:szCs w:val="21"/>
                    </w:rPr>
                    <w:t>施工期</w:t>
                  </w:r>
                </w:p>
              </w:tc>
              <w:tc>
                <w:tcPr>
                  <w:tcW w:w="3650" w:type="pct"/>
                  <w:tcBorders>
                    <w:tl2br w:val="nil"/>
                    <w:tr2bl w:val="nil"/>
                  </w:tcBorders>
                  <w:vAlign w:val="center"/>
                </w:tcPr>
                <w:p w14:paraId="30F9D708">
                  <w:pPr>
                    <w:adjustRightInd w:val="0"/>
                    <w:snapToGrid w:val="0"/>
                    <w:spacing w:line="0" w:lineRule="atLeast"/>
                    <w:rPr>
                      <w:szCs w:val="21"/>
                    </w:rPr>
                  </w:pPr>
                  <w:r>
                    <w:rPr>
                      <w:szCs w:val="21"/>
                    </w:rPr>
                    <w:t>施工期：</w:t>
                  </w:r>
                </w:p>
                <w:p w14:paraId="1B9768D8">
                  <w:pPr>
                    <w:adjustRightInd w:val="0"/>
                    <w:snapToGrid w:val="0"/>
                    <w:spacing w:line="0" w:lineRule="atLeast"/>
                    <w:rPr>
                      <w:szCs w:val="21"/>
                    </w:rPr>
                  </w:pPr>
                  <w:r>
                    <w:rPr>
                      <w:szCs w:val="21"/>
                    </w:rPr>
                    <w:t>项目开挖的土石方均能全部回填利用，不需设置弃渣场；</w:t>
                  </w:r>
                </w:p>
                <w:p w14:paraId="36CFDE3A">
                  <w:pPr>
                    <w:adjustRightInd w:val="0"/>
                    <w:snapToGrid w:val="0"/>
                    <w:spacing w:line="0" w:lineRule="atLeast"/>
                    <w:rPr>
                      <w:szCs w:val="21"/>
                    </w:rPr>
                  </w:pPr>
                  <w:r>
                    <w:rPr>
                      <w:szCs w:val="21"/>
                    </w:rPr>
                    <w:t>施工期清理的淤泥，桩基施工、拉管施工过程产生的废弃泥浆，其他建筑施工废物，委托许可单位运送至相关管理部门指定地点处理；</w:t>
                  </w:r>
                </w:p>
                <w:p w14:paraId="4692FB90">
                  <w:pPr>
                    <w:adjustRightInd w:val="0"/>
                    <w:snapToGrid w:val="0"/>
                    <w:spacing w:line="0" w:lineRule="atLeast"/>
                    <w:rPr>
                      <w:szCs w:val="21"/>
                    </w:rPr>
                  </w:pPr>
                  <w:r>
                    <w:rPr>
                      <w:szCs w:val="21"/>
                    </w:rPr>
                    <w:t>设备安装产生的固废等由厂家回收；</w:t>
                  </w:r>
                </w:p>
                <w:p w14:paraId="7329EB1A">
                  <w:pPr>
                    <w:adjustRightInd w:val="0"/>
                    <w:snapToGrid w:val="0"/>
                    <w:spacing w:line="0" w:lineRule="atLeast"/>
                    <w:rPr>
                      <w:szCs w:val="21"/>
                    </w:rPr>
                  </w:pPr>
                  <w:r>
                    <w:rPr>
                      <w:szCs w:val="21"/>
                    </w:rPr>
                    <w:t>生活垃圾收集后由当地环卫部门统一处理</w:t>
                  </w:r>
                </w:p>
              </w:tc>
            </w:tr>
            <w:tr w14:paraId="6326A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416" w:type="pct"/>
                  <w:vMerge w:val="continue"/>
                  <w:tcBorders>
                    <w:tl2br w:val="nil"/>
                    <w:tr2bl w:val="nil"/>
                  </w:tcBorders>
                  <w:vAlign w:val="center"/>
                </w:tcPr>
                <w:p w14:paraId="43AEBF76">
                  <w:pPr>
                    <w:adjustRightInd w:val="0"/>
                    <w:snapToGrid w:val="0"/>
                    <w:spacing w:line="0" w:lineRule="atLeast"/>
                    <w:jc w:val="center"/>
                    <w:rPr>
                      <w:szCs w:val="21"/>
                      <w:highlight w:val="yellow"/>
                    </w:rPr>
                  </w:pPr>
                </w:p>
              </w:tc>
              <w:tc>
                <w:tcPr>
                  <w:tcW w:w="419" w:type="pct"/>
                  <w:vMerge w:val="continue"/>
                  <w:tcBorders>
                    <w:tl2br w:val="nil"/>
                    <w:tr2bl w:val="nil"/>
                  </w:tcBorders>
                  <w:vAlign w:val="center"/>
                </w:tcPr>
                <w:p w14:paraId="491AA191">
                  <w:pPr>
                    <w:adjustRightInd w:val="0"/>
                    <w:snapToGrid w:val="0"/>
                    <w:spacing w:line="0" w:lineRule="atLeast"/>
                    <w:jc w:val="center"/>
                    <w:rPr>
                      <w:szCs w:val="21"/>
                    </w:rPr>
                  </w:pPr>
                </w:p>
              </w:tc>
              <w:tc>
                <w:tcPr>
                  <w:tcW w:w="513" w:type="pct"/>
                  <w:tcBorders>
                    <w:tl2br w:val="nil"/>
                    <w:tr2bl w:val="nil"/>
                  </w:tcBorders>
                  <w:vAlign w:val="center"/>
                </w:tcPr>
                <w:p w14:paraId="7B6380A1">
                  <w:pPr>
                    <w:adjustRightInd w:val="0"/>
                    <w:snapToGrid w:val="0"/>
                    <w:spacing w:line="0" w:lineRule="atLeast"/>
                    <w:rPr>
                      <w:szCs w:val="21"/>
                    </w:rPr>
                  </w:pPr>
                  <w:r>
                    <w:rPr>
                      <w:szCs w:val="21"/>
                    </w:rPr>
                    <w:t>运营期</w:t>
                  </w:r>
                </w:p>
              </w:tc>
              <w:tc>
                <w:tcPr>
                  <w:tcW w:w="3650" w:type="pct"/>
                  <w:tcBorders>
                    <w:tl2br w:val="nil"/>
                    <w:tr2bl w:val="nil"/>
                  </w:tcBorders>
                  <w:vAlign w:val="center"/>
                </w:tcPr>
                <w:p w14:paraId="443C0B5E">
                  <w:pPr>
                    <w:widowControl/>
                    <w:jc w:val="left"/>
                    <w:rPr>
                      <w:szCs w:val="21"/>
                    </w:rPr>
                  </w:pPr>
                  <w:r>
                    <w:rPr>
                      <w:kern w:val="0"/>
                      <w:szCs w:val="21"/>
                    </w:rPr>
                    <w:t xml:space="preserve">生活垃圾统一收集，置于环卫部门指定地点，由环卫部门处理；  </w:t>
                  </w:r>
                </w:p>
                <w:p w14:paraId="4A6DD493">
                  <w:pPr>
                    <w:widowControl/>
                    <w:jc w:val="left"/>
                    <w:rPr>
                      <w:szCs w:val="21"/>
                    </w:rPr>
                  </w:pPr>
                  <w:r>
                    <w:rPr>
                      <w:kern w:val="0"/>
                      <w:szCs w:val="21"/>
                    </w:rPr>
                    <w:t xml:space="preserve">更换设备产生的废包装物，收集后暂存于一般固废间，外售物资回收单位；   </w:t>
                  </w:r>
                </w:p>
                <w:p w14:paraId="781F1221">
                  <w:pPr>
                    <w:widowControl/>
                    <w:jc w:val="left"/>
                    <w:rPr>
                      <w:szCs w:val="21"/>
                    </w:rPr>
                  </w:pPr>
                  <w:r>
                    <w:rPr>
                      <w:kern w:val="0"/>
                      <w:szCs w:val="21"/>
                    </w:rPr>
                    <w:t>废变压器油</w:t>
                  </w:r>
                  <w:r>
                    <w:rPr>
                      <w:rFonts w:hint="eastAsia"/>
                      <w:kern w:val="0"/>
                      <w:szCs w:val="21"/>
                    </w:rPr>
                    <w:t>更换后立即</w:t>
                  </w:r>
                  <w:r>
                    <w:rPr>
                      <w:kern w:val="0"/>
                      <w:szCs w:val="21"/>
                    </w:rPr>
                    <w:t>委托有资质单位定期处置</w:t>
                  </w:r>
                  <w:r>
                    <w:rPr>
                      <w:rFonts w:hint="eastAsia"/>
                      <w:kern w:val="0"/>
                      <w:szCs w:val="21"/>
                    </w:rPr>
                    <w:t>；</w:t>
                  </w:r>
                  <w:r>
                    <w:rPr>
                      <w:kern w:val="0"/>
                      <w:szCs w:val="21"/>
                    </w:rPr>
                    <w:t>废齿轮油、废铅蓄电池、废油桶集中收集，暂存于危废贮存库，委托有资质单位定期处置</w:t>
                  </w:r>
                </w:p>
              </w:tc>
            </w:tr>
            <w:tr w14:paraId="559BF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416" w:type="pct"/>
                  <w:vMerge w:val="continue"/>
                  <w:tcBorders>
                    <w:tl2br w:val="nil"/>
                    <w:tr2bl w:val="nil"/>
                  </w:tcBorders>
                  <w:vAlign w:val="center"/>
                </w:tcPr>
                <w:p w14:paraId="656685DC">
                  <w:pPr>
                    <w:adjustRightInd w:val="0"/>
                    <w:snapToGrid w:val="0"/>
                    <w:spacing w:line="0" w:lineRule="atLeast"/>
                    <w:jc w:val="center"/>
                    <w:rPr>
                      <w:szCs w:val="21"/>
                    </w:rPr>
                  </w:pPr>
                </w:p>
              </w:tc>
              <w:tc>
                <w:tcPr>
                  <w:tcW w:w="419" w:type="pct"/>
                  <w:vMerge w:val="restart"/>
                  <w:tcBorders>
                    <w:tl2br w:val="nil"/>
                    <w:tr2bl w:val="nil"/>
                  </w:tcBorders>
                  <w:vAlign w:val="center"/>
                </w:tcPr>
                <w:p w14:paraId="214AE1F5">
                  <w:pPr>
                    <w:adjustRightInd w:val="0"/>
                    <w:snapToGrid w:val="0"/>
                    <w:spacing w:line="0" w:lineRule="atLeast"/>
                    <w:jc w:val="center"/>
                    <w:rPr>
                      <w:szCs w:val="21"/>
                    </w:rPr>
                  </w:pPr>
                  <w:r>
                    <w:rPr>
                      <w:szCs w:val="21"/>
                    </w:rPr>
                    <w:t>风险防范措施</w:t>
                  </w:r>
                </w:p>
              </w:tc>
              <w:tc>
                <w:tcPr>
                  <w:tcW w:w="513" w:type="pct"/>
                  <w:tcBorders>
                    <w:tl2br w:val="nil"/>
                    <w:tr2bl w:val="nil"/>
                  </w:tcBorders>
                  <w:vAlign w:val="center"/>
                </w:tcPr>
                <w:p w14:paraId="79C7F4C5">
                  <w:pPr>
                    <w:adjustRightInd w:val="0"/>
                    <w:snapToGrid w:val="0"/>
                    <w:spacing w:line="0" w:lineRule="atLeast"/>
                    <w:rPr>
                      <w:szCs w:val="21"/>
                    </w:rPr>
                  </w:pPr>
                  <w:r>
                    <w:rPr>
                      <w:szCs w:val="21"/>
                    </w:rPr>
                    <w:t>贮油池、事故油池</w:t>
                  </w:r>
                </w:p>
              </w:tc>
              <w:tc>
                <w:tcPr>
                  <w:tcW w:w="3650" w:type="pct"/>
                  <w:tcBorders>
                    <w:tl2br w:val="nil"/>
                    <w:tr2bl w:val="nil"/>
                  </w:tcBorders>
                  <w:vAlign w:val="center"/>
                </w:tcPr>
                <w:p w14:paraId="2D0459F6">
                  <w:pPr>
                    <w:widowControl/>
                    <w:jc w:val="left"/>
                    <w:rPr>
                      <w:bCs/>
                      <w:szCs w:val="21"/>
                    </w:rPr>
                  </w:pPr>
                  <w:r>
                    <w:rPr>
                      <w:kern w:val="0"/>
                      <w:szCs w:val="21"/>
                    </w:rPr>
                    <w:t>2台主变压器底部均设有贮油坑，容积为</w:t>
                  </w:r>
                  <w:r>
                    <w:rPr>
                      <w:bCs/>
                      <w:szCs w:val="21"/>
                    </w:rPr>
                    <w:t>16m</w:t>
                  </w:r>
                  <w:r>
                    <w:rPr>
                      <w:bCs/>
                      <w:szCs w:val="21"/>
                      <w:vertAlign w:val="superscript"/>
                    </w:rPr>
                    <w:t>3</w:t>
                  </w:r>
                  <w:r>
                    <w:rPr>
                      <w:kern w:val="0"/>
                      <w:szCs w:val="21"/>
                    </w:rPr>
                    <w:t>，贮油坑的四周设挡油坎，高出地面100mm。坑内铺设厚度为250mm的卵石，卵石粒径为50--80mm，坑底设有排油管，能将事故油排至事故油池中。事故油池布置在GIS室东侧，</w:t>
                  </w:r>
                  <w:r>
                    <w:rPr>
                      <w:bCs/>
                      <w:szCs w:val="21"/>
                    </w:rPr>
                    <w:t>容积为90m</w:t>
                  </w:r>
                  <w:r>
                    <w:rPr>
                      <w:bCs/>
                      <w:szCs w:val="21"/>
                      <w:vertAlign w:val="superscript"/>
                    </w:rPr>
                    <w:t>3</w:t>
                  </w:r>
                  <w:r>
                    <w:rPr>
                      <w:bCs/>
                      <w:szCs w:val="21"/>
                    </w:rPr>
                    <w:t>，主变压器发生事故时，将事故油排至</w:t>
                  </w:r>
                  <w:r>
                    <w:rPr>
                      <w:kern w:val="0"/>
                      <w:szCs w:val="21"/>
                    </w:rPr>
                    <w:t>贮油坑，再经排油管排入</w:t>
                  </w:r>
                  <w:r>
                    <w:rPr>
                      <w:bCs/>
                      <w:szCs w:val="21"/>
                    </w:rPr>
                    <w:t>事故油池中。事故油池地面采用混凝土硬化，并铺设2mm厚HDPE膜防渗，渗透系数≤10</w:t>
                  </w:r>
                  <w:r>
                    <w:rPr>
                      <w:bCs/>
                      <w:szCs w:val="21"/>
                      <w:vertAlign w:val="superscript"/>
                    </w:rPr>
                    <w:t>-10</w:t>
                  </w:r>
                  <w:r>
                    <w:rPr>
                      <w:bCs/>
                      <w:szCs w:val="21"/>
                    </w:rPr>
                    <w:t>cm/s。</w:t>
                  </w:r>
                </w:p>
                <w:p w14:paraId="04134581">
                  <w:pPr>
                    <w:widowControl/>
                    <w:jc w:val="left"/>
                    <w:rPr>
                      <w:szCs w:val="21"/>
                    </w:rPr>
                  </w:pPr>
                  <w:r>
                    <w:rPr>
                      <w:szCs w:val="21"/>
                    </w:rPr>
                    <w:t>风电场箱变均设置事故油池，</w:t>
                  </w:r>
                  <w:r>
                    <w:rPr>
                      <w:bCs/>
                      <w:szCs w:val="21"/>
                    </w:rPr>
                    <w:t>容积为80m</w:t>
                  </w:r>
                  <w:r>
                    <w:rPr>
                      <w:bCs/>
                      <w:szCs w:val="21"/>
                      <w:vertAlign w:val="superscript"/>
                    </w:rPr>
                    <w:t>3</w:t>
                  </w:r>
                  <w:r>
                    <w:rPr>
                      <w:bCs/>
                      <w:szCs w:val="21"/>
                    </w:rPr>
                    <w:t>，事故油池地面采用混凝土硬化，并铺设2mm厚HDPE膜防渗，渗透系数≤10</w:t>
                  </w:r>
                  <w:r>
                    <w:rPr>
                      <w:bCs/>
                      <w:szCs w:val="21"/>
                      <w:vertAlign w:val="superscript"/>
                    </w:rPr>
                    <w:t>-10</w:t>
                  </w:r>
                  <w:r>
                    <w:rPr>
                      <w:bCs/>
                      <w:szCs w:val="21"/>
                    </w:rPr>
                    <w:t>cm/s。</w:t>
                  </w:r>
                  <w:r>
                    <w:rPr>
                      <w:szCs w:val="21"/>
                    </w:rPr>
                    <w:t>箱变</w:t>
                  </w:r>
                  <w:r>
                    <w:rPr>
                      <w:bCs/>
                      <w:szCs w:val="21"/>
                    </w:rPr>
                    <w:t>发生事故时</w:t>
                  </w:r>
                  <w:r>
                    <w:rPr>
                      <w:kern w:val="0"/>
                      <w:szCs w:val="21"/>
                    </w:rPr>
                    <w:t>，经事故油池收集后委托有资质单位进行处理，不外排</w:t>
                  </w:r>
                </w:p>
              </w:tc>
            </w:tr>
            <w:tr w14:paraId="789AF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416" w:type="pct"/>
                  <w:vMerge w:val="continue"/>
                  <w:tcBorders>
                    <w:tl2br w:val="nil"/>
                    <w:tr2bl w:val="nil"/>
                  </w:tcBorders>
                  <w:vAlign w:val="center"/>
                </w:tcPr>
                <w:p w14:paraId="4985599F">
                  <w:pPr>
                    <w:adjustRightInd w:val="0"/>
                    <w:snapToGrid w:val="0"/>
                    <w:spacing w:line="0" w:lineRule="atLeast"/>
                    <w:jc w:val="center"/>
                    <w:rPr>
                      <w:szCs w:val="21"/>
                    </w:rPr>
                  </w:pPr>
                </w:p>
              </w:tc>
              <w:tc>
                <w:tcPr>
                  <w:tcW w:w="419" w:type="pct"/>
                  <w:vMerge w:val="continue"/>
                  <w:tcBorders>
                    <w:tl2br w:val="nil"/>
                    <w:tr2bl w:val="nil"/>
                  </w:tcBorders>
                  <w:vAlign w:val="center"/>
                </w:tcPr>
                <w:p w14:paraId="7ECDA5E5">
                  <w:pPr>
                    <w:adjustRightInd w:val="0"/>
                    <w:snapToGrid w:val="0"/>
                    <w:spacing w:line="0" w:lineRule="atLeast"/>
                    <w:jc w:val="center"/>
                    <w:rPr>
                      <w:szCs w:val="21"/>
                    </w:rPr>
                  </w:pPr>
                </w:p>
              </w:tc>
              <w:tc>
                <w:tcPr>
                  <w:tcW w:w="513" w:type="pct"/>
                  <w:tcBorders>
                    <w:tl2br w:val="nil"/>
                    <w:tr2bl w:val="nil"/>
                  </w:tcBorders>
                  <w:vAlign w:val="center"/>
                </w:tcPr>
                <w:p w14:paraId="460C7F1E">
                  <w:pPr>
                    <w:adjustRightInd w:val="0"/>
                    <w:snapToGrid w:val="0"/>
                    <w:spacing w:line="0" w:lineRule="atLeast"/>
                    <w:rPr>
                      <w:szCs w:val="21"/>
                      <w:highlight w:val="yellow"/>
                    </w:rPr>
                  </w:pPr>
                  <w:r>
                    <w:rPr>
                      <w:kern w:val="0"/>
                      <w:szCs w:val="21"/>
                    </w:rPr>
                    <w:t>危废贮存库</w:t>
                  </w:r>
                </w:p>
              </w:tc>
              <w:tc>
                <w:tcPr>
                  <w:tcW w:w="3650" w:type="pct"/>
                  <w:tcBorders>
                    <w:tl2br w:val="nil"/>
                    <w:tr2bl w:val="nil"/>
                  </w:tcBorders>
                  <w:vAlign w:val="center"/>
                </w:tcPr>
                <w:p w14:paraId="0EEEBA61">
                  <w:pPr>
                    <w:adjustRightInd w:val="0"/>
                    <w:snapToGrid w:val="0"/>
                    <w:spacing w:line="0" w:lineRule="atLeast"/>
                    <w:rPr>
                      <w:szCs w:val="21"/>
                      <w:highlight w:val="yellow"/>
                    </w:rPr>
                  </w:pPr>
                  <w:r>
                    <w:rPr>
                      <w:szCs w:val="21"/>
                    </w:rPr>
                    <w:t>本项目设置1个危废贮存库，占地面积约46 m</w:t>
                  </w:r>
                  <w:r>
                    <w:rPr>
                      <w:szCs w:val="21"/>
                      <w:vertAlign w:val="superscript"/>
                    </w:rPr>
                    <w:t>2</w:t>
                  </w:r>
                  <w:r>
                    <w:rPr>
                      <w:szCs w:val="21"/>
                    </w:rPr>
                    <w:t>，</w:t>
                  </w:r>
                  <w:r>
                    <w:rPr>
                      <w:bCs/>
                      <w:szCs w:val="21"/>
                    </w:rPr>
                    <w:t>防渗层为至少1m厚黏土层或至少2mm厚高密度聚乙烯膜等人工防渗材料，或其他防渗性能等效的材料（渗透系数不大于10</w:t>
                  </w:r>
                  <w:r>
                    <w:rPr>
                      <w:bCs/>
                      <w:szCs w:val="21"/>
                      <w:vertAlign w:val="superscript"/>
                    </w:rPr>
                    <w:t>-10</w:t>
                  </w:r>
                  <w:r>
                    <w:rPr>
                      <w:bCs/>
                      <w:szCs w:val="21"/>
                    </w:rPr>
                    <w:t>cm/s），并设置泄漏液体的收集装置。</w:t>
                  </w:r>
                </w:p>
              </w:tc>
            </w:tr>
            <w:tr w14:paraId="2E52D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6" w:type="pct"/>
                  <w:vMerge w:val="continue"/>
                  <w:tcBorders>
                    <w:tl2br w:val="nil"/>
                    <w:tr2bl w:val="nil"/>
                  </w:tcBorders>
                  <w:vAlign w:val="center"/>
                </w:tcPr>
                <w:p w14:paraId="3D532FAD">
                  <w:pPr>
                    <w:adjustRightInd w:val="0"/>
                    <w:snapToGrid w:val="0"/>
                    <w:spacing w:line="0" w:lineRule="atLeast"/>
                    <w:jc w:val="center"/>
                    <w:rPr>
                      <w:szCs w:val="21"/>
                    </w:rPr>
                  </w:pPr>
                </w:p>
              </w:tc>
              <w:tc>
                <w:tcPr>
                  <w:tcW w:w="419" w:type="pct"/>
                  <w:vMerge w:val="restart"/>
                  <w:tcBorders>
                    <w:tl2br w:val="nil"/>
                    <w:tr2bl w:val="nil"/>
                  </w:tcBorders>
                  <w:vAlign w:val="center"/>
                </w:tcPr>
                <w:p w14:paraId="01EA5579">
                  <w:pPr>
                    <w:adjustRightInd w:val="0"/>
                    <w:snapToGrid w:val="0"/>
                    <w:spacing w:line="0" w:lineRule="atLeast"/>
                    <w:jc w:val="center"/>
                    <w:rPr>
                      <w:szCs w:val="21"/>
                    </w:rPr>
                  </w:pPr>
                  <w:r>
                    <w:rPr>
                      <w:szCs w:val="21"/>
                    </w:rPr>
                    <w:t>生态影响防治措施</w:t>
                  </w:r>
                </w:p>
              </w:tc>
              <w:tc>
                <w:tcPr>
                  <w:tcW w:w="513" w:type="pct"/>
                  <w:tcBorders>
                    <w:tl2br w:val="nil"/>
                    <w:tr2bl w:val="nil"/>
                  </w:tcBorders>
                  <w:vAlign w:val="center"/>
                </w:tcPr>
                <w:p w14:paraId="7744C3D4">
                  <w:pPr>
                    <w:adjustRightInd w:val="0"/>
                    <w:snapToGrid w:val="0"/>
                    <w:spacing w:line="0" w:lineRule="atLeast"/>
                    <w:jc w:val="center"/>
                    <w:rPr>
                      <w:szCs w:val="21"/>
                    </w:rPr>
                  </w:pPr>
                  <w:r>
                    <w:rPr>
                      <w:szCs w:val="21"/>
                    </w:rPr>
                    <w:t>施工期</w:t>
                  </w:r>
                </w:p>
              </w:tc>
              <w:tc>
                <w:tcPr>
                  <w:tcW w:w="3650" w:type="pct"/>
                  <w:tcBorders>
                    <w:tl2br w:val="nil"/>
                    <w:tr2bl w:val="nil"/>
                  </w:tcBorders>
                  <w:vAlign w:val="center"/>
                </w:tcPr>
                <w:p w14:paraId="27322DE4">
                  <w:pPr>
                    <w:adjustRightInd w:val="0"/>
                    <w:snapToGrid w:val="0"/>
                    <w:spacing w:line="0" w:lineRule="atLeast"/>
                    <w:rPr>
                      <w:szCs w:val="21"/>
                    </w:rPr>
                  </w:pPr>
                  <w:r>
                    <w:rPr>
                      <w:szCs w:val="21"/>
                    </w:rPr>
                    <w:t>①落实施工期占地控制、植被保护、土壤及水土保持、野生动物保护、生态恢复及补偿措施等生态环境保护措施；</w:t>
                  </w:r>
                </w:p>
                <w:p w14:paraId="44F5A0DC">
                  <w:pPr>
                    <w:adjustRightInd w:val="0"/>
                    <w:snapToGrid w:val="0"/>
                    <w:spacing w:line="0" w:lineRule="atLeast"/>
                    <w:rPr>
                      <w:szCs w:val="21"/>
                    </w:rPr>
                  </w:pPr>
                  <w:r>
                    <w:rPr>
                      <w:szCs w:val="21"/>
                    </w:rPr>
                    <w:t>②控制施工作业带宽度；分层开挖，分层复原</w:t>
                  </w:r>
                </w:p>
              </w:tc>
            </w:tr>
            <w:tr w14:paraId="08F1F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6" w:type="pct"/>
                  <w:vMerge w:val="continue"/>
                  <w:tcBorders>
                    <w:tl2br w:val="nil"/>
                    <w:tr2bl w:val="nil"/>
                  </w:tcBorders>
                  <w:vAlign w:val="center"/>
                </w:tcPr>
                <w:p w14:paraId="6E80FEE5">
                  <w:pPr>
                    <w:adjustRightInd w:val="0"/>
                    <w:snapToGrid w:val="0"/>
                    <w:spacing w:line="0" w:lineRule="atLeast"/>
                    <w:jc w:val="center"/>
                    <w:rPr>
                      <w:szCs w:val="21"/>
                    </w:rPr>
                  </w:pPr>
                </w:p>
              </w:tc>
              <w:tc>
                <w:tcPr>
                  <w:tcW w:w="419" w:type="pct"/>
                  <w:vMerge w:val="continue"/>
                  <w:tcBorders>
                    <w:tl2br w:val="nil"/>
                    <w:tr2bl w:val="nil"/>
                  </w:tcBorders>
                  <w:vAlign w:val="center"/>
                </w:tcPr>
                <w:p w14:paraId="75DAFEAF">
                  <w:pPr>
                    <w:adjustRightInd w:val="0"/>
                    <w:snapToGrid w:val="0"/>
                    <w:spacing w:line="0" w:lineRule="atLeast"/>
                    <w:jc w:val="center"/>
                    <w:rPr>
                      <w:szCs w:val="21"/>
                    </w:rPr>
                  </w:pPr>
                </w:p>
              </w:tc>
              <w:tc>
                <w:tcPr>
                  <w:tcW w:w="513" w:type="pct"/>
                  <w:tcBorders>
                    <w:tl2br w:val="nil"/>
                    <w:tr2bl w:val="nil"/>
                  </w:tcBorders>
                  <w:vAlign w:val="center"/>
                </w:tcPr>
                <w:p w14:paraId="4BB3016B">
                  <w:pPr>
                    <w:adjustRightInd w:val="0"/>
                    <w:snapToGrid w:val="0"/>
                    <w:spacing w:line="0" w:lineRule="atLeast"/>
                    <w:jc w:val="center"/>
                    <w:rPr>
                      <w:szCs w:val="21"/>
                    </w:rPr>
                  </w:pPr>
                  <w:r>
                    <w:rPr>
                      <w:szCs w:val="21"/>
                    </w:rPr>
                    <w:t>运营期</w:t>
                  </w:r>
                </w:p>
              </w:tc>
              <w:tc>
                <w:tcPr>
                  <w:tcW w:w="3650" w:type="pct"/>
                  <w:tcBorders>
                    <w:tl2br w:val="nil"/>
                    <w:tr2bl w:val="nil"/>
                  </w:tcBorders>
                  <w:vAlign w:val="center"/>
                </w:tcPr>
                <w:p w14:paraId="3A718B88">
                  <w:pPr>
                    <w:topLinePunct/>
                    <w:adjustRightInd w:val="0"/>
                    <w:snapToGrid w:val="0"/>
                    <w:spacing w:line="0" w:lineRule="atLeast"/>
                    <w:rPr>
                      <w:szCs w:val="21"/>
                    </w:rPr>
                  </w:pPr>
                  <w:r>
                    <w:rPr>
                      <w:szCs w:val="21"/>
                    </w:rPr>
                    <w:t>①风机处设置警示色标识，合理使用光源，安装鸟类分流器</w:t>
                  </w:r>
                  <w:r>
                    <w:rPr>
                      <w:rFonts w:hint="eastAsia"/>
                      <w:szCs w:val="21"/>
                    </w:rPr>
                    <w:t>，</w:t>
                  </w:r>
                  <w:r>
                    <w:rPr>
                      <w:szCs w:val="21"/>
                    </w:rPr>
                    <w:t>适时关闭风机，</w:t>
                  </w:r>
                  <w:r>
                    <w:rPr>
                      <w:rFonts w:hint="eastAsia"/>
                      <w:szCs w:val="21"/>
                    </w:rPr>
                    <w:t>定期</w:t>
                  </w:r>
                  <w:r>
                    <w:rPr>
                      <w:szCs w:val="21"/>
                    </w:rPr>
                    <w:t>巡检</w:t>
                  </w:r>
                  <w:r>
                    <w:rPr>
                      <w:rFonts w:hint="eastAsia"/>
                      <w:szCs w:val="21"/>
                    </w:rPr>
                    <w:t>，</w:t>
                  </w:r>
                  <w:r>
                    <w:rPr>
                      <w:szCs w:val="21"/>
                    </w:rPr>
                    <w:t>加强鸟类监测</w:t>
                  </w:r>
                  <w:r>
                    <w:rPr>
                      <w:rFonts w:hint="eastAsia"/>
                      <w:szCs w:val="21"/>
                    </w:rPr>
                    <w:t>，加强管理</w:t>
                  </w:r>
                </w:p>
                <w:p w14:paraId="3992B9C8">
                  <w:pPr>
                    <w:topLinePunct/>
                    <w:adjustRightInd w:val="0"/>
                    <w:snapToGrid w:val="0"/>
                    <w:spacing w:line="0" w:lineRule="atLeast"/>
                    <w:rPr>
                      <w:szCs w:val="21"/>
                    </w:rPr>
                  </w:pPr>
                  <w:r>
                    <w:rPr>
                      <w:szCs w:val="21"/>
                    </w:rPr>
                    <w:t>②根据相关部门要求对</w:t>
                  </w:r>
                  <w:r>
                    <w:rPr>
                      <w:rFonts w:hint="eastAsia"/>
                      <w:szCs w:val="21"/>
                    </w:rPr>
                    <w:t>项目所占地块</w:t>
                  </w:r>
                  <w:r>
                    <w:rPr>
                      <w:szCs w:val="21"/>
                    </w:rPr>
                    <w:t>进行占地补偿。</w:t>
                  </w:r>
                </w:p>
              </w:tc>
            </w:tr>
            <w:tr w14:paraId="3A534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16" w:type="pct"/>
                  <w:vMerge w:val="continue"/>
                  <w:tcBorders>
                    <w:tl2br w:val="nil"/>
                    <w:tr2bl w:val="nil"/>
                  </w:tcBorders>
                  <w:vAlign w:val="center"/>
                </w:tcPr>
                <w:p w14:paraId="49507E54">
                  <w:pPr>
                    <w:adjustRightInd w:val="0"/>
                    <w:snapToGrid w:val="0"/>
                    <w:spacing w:line="0" w:lineRule="atLeast"/>
                    <w:jc w:val="center"/>
                    <w:rPr>
                      <w:szCs w:val="21"/>
                    </w:rPr>
                  </w:pPr>
                </w:p>
              </w:tc>
              <w:tc>
                <w:tcPr>
                  <w:tcW w:w="419" w:type="pct"/>
                  <w:vMerge w:val="continue"/>
                  <w:tcBorders>
                    <w:tl2br w:val="nil"/>
                    <w:tr2bl w:val="nil"/>
                  </w:tcBorders>
                  <w:vAlign w:val="center"/>
                </w:tcPr>
                <w:p w14:paraId="5ACC341A">
                  <w:pPr>
                    <w:adjustRightInd w:val="0"/>
                    <w:snapToGrid w:val="0"/>
                    <w:spacing w:line="0" w:lineRule="atLeast"/>
                    <w:jc w:val="center"/>
                    <w:rPr>
                      <w:szCs w:val="21"/>
                    </w:rPr>
                  </w:pPr>
                </w:p>
              </w:tc>
              <w:tc>
                <w:tcPr>
                  <w:tcW w:w="513" w:type="pct"/>
                  <w:tcBorders>
                    <w:tl2br w:val="nil"/>
                    <w:tr2bl w:val="nil"/>
                  </w:tcBorders>
                  <w:vAlign w:val="center"/>
                </w:tcPr>
                <w:p w14:paraId="457E0907">
                  <w:pPr>
                    <w:adjustRightInd w:val="0"/>
                    <w:snapToGrid w:val="0"/>
                    <w:spacing w:line="0" w:lineRule="atLeast"/>
                    <w:jc w:val="center"/>
                    <w:rPr>
                      <w:szCs w:val="21"/>
                    </w:rPr>
                  </w:pPr>
                  <w:r>
                    <w:rPr>
                      <w:szCs w:val="21"/>
                    </w:rPr>
                    <w:t>服务期满</w:t>
                  </w:r>
                </w:p>
              </w:tc>
              <w:tc>
                <w:tcPr>
                  <w:tcW w:w="3650" w:type="pct"/>
                  <w:tcBorders>
                    <w:tl2br w:val="nil"/>
                    <w:tr2bl w:val="nil"/>
                  </w:tcBorders>
                  <w:vAlign w:val="center"/>
                </w:tcPr>
                <w:p w14:paraId="6A2AE019">
                  <w:pPr>
                    <w:topLinePunct/>
                    <w:adjustRightInd w:val="0"/>
                    <w:snapToGrid w:val="0"/>
                    <w:spacing w:line="0" w:lineRule="atLeast"/>
                    <w:rPr>
                      <w:szCs w:val="21"/>
                    </w:rPr>
                  </w:pPr>
                  <w:r>
                    <w:rPr>
                      <w:szCs w:val="21"/>
                    </w:rPr>
                    <w:t>拆除所有风机组件等固体废物，由风机组件供应厂商回收处理；掘除风机机组硬化地面基础，对场地进行恢复；拆除过程中应尽量减小对土地的扰动，对施工检修道路进行土地整治，恢复使用前的地类及生态；掘除混凝土的基础部分场地应进行恢复，恢复后的场地进行洒水、压实，以固结地表，防止产生扬尘和对土壤的风蚀；对扰动的地表恢复植被种植，使植被得到恢复，最大限度减小对生态环境的影响。</w:t>
                  </w:r>
                </w:p>
                <w:p w14:paraId="5DBE29D8">
                  <w:pPr>
                    <w:topLinePunct/>
                    <w:adjustRightInd w:val="0"/>
                    <w:snapToGrid w:val="0"/>
                    <w:spacing w:line="0" w:lineRule="atLeast"/>
                    <w:rPr>
                      <w:szCs w:val="21"/>
                    </w:rPr>
                  </w:pPr>
                  <w:r>
                    <w:rPr>
                      <w:rFonts w:hint="eastAsia"/>
                    </w:rPr>
                    <w:t>具体拆除及恢复措施由后续拆除方案中要求，不在本项目评价内容内。</w:t>
                  </w:r>
                </w:p>
              </w:tc>
            </w:tr>
            <w:tr w14:paraId="17196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836" w:type="pct"/>
                  <w:gridSpan w:val="2"/>
                  <w:vMerge w:val="restart"/>
                  <w:tcBorders>
                    <w:tl2br w:val="nil"/>
                    <w:tr2bl w:val="nil"/>
                  </w:tcBorders>
                  <w:vAlign w:val="center"/>
                </w:tcPr>
                <w:p w14:paraId="0BF2E0DD">
                  <w:pPr>
                    <w:adjustRightInd w:val="0"/>
                    <w:snapToGrid w:val="0"/>
                    <w:spacing w:line="0" w:lineRule="atLeast"/>
                    <w:jc w:val="center"/>
                    <w:rPr>
                      <w:szCs w:val="21"/>
                    </w:rPr>
                  </w:pPr>
                  <w:r>
                    <w:t>储运工程</w:t>
                  </w:r>
                </w:p>
              </w:tc>
              <w:tc>
                <w:tcPr>
                  <w:tcW w:w="513" w:type="pct"/>
                  <w:tcBorders>
                    <w:tl2br w:val="nil"/>
                    <w:tr2bl w:val="nil"/>
                  </w:tcBorders>
                  <w:vAlign w:val="center"/>
                </w:tcPr>
                <w:p w14:paraId="7F050D81">
                  <w:pPr>
                    <w:adjustRightInd w:val="0"/>
                    <w:snapToGrid w:val="0"/>
                    <w:spacing w:line="0" w:lineRule="atLeast"/>
                    <w:jc w:val="center"/>
                    <w:rPr>
                      <w:szCs w:val="21"/>
                    </w:rPr>
                  </w:pPr>
                  <w:r>
                    <w:rPr>
                      <w:rFonts w:hint="eastAsia"/>
                      <w:szCs w:val="21"/>
                    </w:rPr>
                    <w:t>施工期</w:t>
                  </w:r>
                </w:p>
              </w:tc>
              <w:tc>
                <w:tcPr>
                  <w:tcW w:w="6209" w:type="dxa"/>
                  <w:tcBorders>
                    <w:tl2br w:val="nil"/>
                    <w:tr2bl w:val="nil"/>
                  </w:tcBorders>
                </w:tcPr>
                <w:p w14:paraId="484DABE6">
                  <w:pPr>
                    <w:topLinePunct/>
                    <w:adjustRightInd w:val="0"/>
                    <w:snapToGrid w:val="0"/>
                    <w:spacing w:line="0" w:lineRule="atLeast"/>
                    <w:rPr>
                      <w:szCs w:val="21"/>
                    </w:rPr>
                  </w:pPr>
                  <w:r>
                    <w:rPr>
                      <w:szCs w:val="21"/>
                    </w:rPr>
                    <w:t>①钢筋、商用混凝土</w:t>
                  </w:r>
                  <w:r>
                    <w:rPr>
                      <w:rFonts w:hint="eastAsia"/>
                      <w:szCs w:val="21"/>
                    </w:rPr>
                    <w:t>、</w:t>
                  </w:r>
                  <w:r>
                    <w:rPr>
                      <w:szCs w:val="21"/>
                    </w:rPr>
                    <w:t>钢结构、砂石料等使用运输车、罐车运至</w:t>
                  </w:r>
                  <w:r>
                    <w:rPr>
                      <w:rFonts w:hint="eastAsia"/>
                      <w:szCs w:val="21"/>
                    </w:rPr>
                    <w:t>施工临建区</w:t>
                  </w:r>
                  <w:r>
                    <w:rPr>
                      <w:szCs w:val="21"/>
                    </w:rPr>
                    <w:t>；</w:t>
                  </w:r>
                </w:p>
                <w:p w14:paraId="68588F30">
                  <w:pPr>
                    <w:topLinePunct/>
                    <w:adjustRightInd w:val="0"/>
                    <w:snapToGrid w:val="0"/>
                    <w:spacing w:line="0" w:lineRule="atLeast"/>
                    <w:rPr>
                      <w:szCs w:val="21"/>
                    </w:rPr>
                  </w:pPr>
                  <w:r>
                    <w:rPr>
                      <w:szCs w:val="21"/>
                    </w:rPr>
                    <w:t>②风机机组采用</w:t>
                  </w:r>
                  <w:r>
                    <w:rPr>
                      <w:rFonts w:hint="eastAsia"/>
                      <w:szCs w:val="21"/>
                    </w:rPr>
                    <w:t>特种车辆</w:t>
                  </w:r>
                  <w:r>
                    <w:rPr>
                      <w:szCs w:val="21"/>
                    </w:rPr>
                    <w:t>运至风机施工吊装场地；</w:t>
                  </w:r>
                </w:p>
                <w:p w14:paraId="572CE9BF">
                  <w:pPr>
                    <w:topLinePunct/>
                    <w:adjustRightInd w:val="0"/>
                    <w:snapToGrid w:val="0"/>
                    <w:spacing w:line="0" w:lineRule="atLeast"/>
                    <w:rPr>
                      <w:szCs w:val="21"/>
                    </w:rPr>
                  </w:pPr>
                  <w:r>
                    <w:rPr>
                      <w:szCs w:val="21"/>
                    </w:rPr>
                    <w:t>③施工设备储存于</w:t>
                  </w:r>
                  <w:r>
                    <w:rPr>
                      <w:rFonts w:hint="eastAsia"/>
                      <w:szCs w:val="21"/>
                    </w:rPr>
                    <w:t>施工临建区</w:t>
                  </w:r>
                  <w:r>
                    <w:rPr>
                      <w:szCs w:val="21"/>
                    </w:rPr>
                    <w:t>内的仓库。</w:t>
                  </w:r>
                </w:p>
              </w:tc>
            </w:tr>
            <w:tr w14:paraId="33B68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836" w:type="pct"/>
                  <w:gridSpan w:val="2"/>
                  <w:vMerge w:val="continue"/>
                  <w:tcBorders>
                    <w:tl2br w:val="nil"/>
                    <w:tr2bl w:val="nil"/>
                  </w:tcBorders>
                  <w:vAlign w:val="center"/>
                </w:tcPr>
                <w:p w14:paraId="04D8D992">
                  <w:pPr>
                    <w:adjustRightInd w:val="0"/>
                    <w:snapToGrid w:val="0"/>
                    <w:spacing w:line="0" w:lineRule="atLeast"/>
                    <w:jc w:val="center"/>
                    <w:rPr>
                      <w:szCs w:val="21"/>
                    </w:rPr>
                  </w:pPr>
                </w:p>
              </w:tc>
              <w:tc>
                <w:tcPr>
                  <w:tcW w:w="513" w:type="pct"/>
                  <w:tcBorders>
                    <w:tl2br w:val="nil"/>
                    <w:tr2bl w:val="nil"/>
                  </w:tcBorders>
                  <w:vAlign w:val="center"/>
                </w:tcPr>
                <w:p w14:paraId="0F9F8F4A">
                  <w:pPr>
                    <w:adjustRightInd w:val="0"/>
                    <w:snapToGrid w:val="0"/>
                    <w:spacing w:line="0" w:lineRule="atLeast"/>
                    <w:jc w:val="center"/>
                    <w:rPr>
                      <w:szCs w:val="21"/>
                    </w:rPr>
                  </w:pPr>
                  <w:r>
                    <w:rPr>
                      <w:rFonts w:hint="eastAsia"/>
                      <w:szCs w:val="21"/>
                    </w:rPr>
                    <w:t>运营期</w:t>
                  </w:r>
                </w:p>
              </w:tc>
              <w:tc>
                <w:tcPr>
                  <w:tcW w:w="6209" w:type="dxa"/>
                  <w:tcBorders>
                    <w:tl2br w:val="nil"/>
                    <w:tr2bl w:val="nil"/>
                  </w:tcBorders>
                </w:tcPr>
                <w:p w14:paraId="6B47C79E">
                  <w:pPr>
                    <w:topLinePunct/>
                    <w:adjustRightInd w:val="0"/>
                    <w:snapToGrid w:val="0"/>
                    <w:spacing w:line="0" w:lineRule="atLeast"/>
                    <w:rPr>
                      <w:szCs w:val="21"/>
                    </w:rPr>
                  </w:pPr>
                  <w:r>
                    <w:rPr>
                      <w:szCs w:val="21"/>
                    </w:rPr>
                    <w:t>①油品</w:t>
                  </w:r>
                  <w:r>
                    <w:rPr>
                      <w:rFonts w:hint="eastAsia"/>
                      <w:szCs w:val="21"/>
                    </w:rPr>
                    <w:t>如</w:t>
                  </w:r>
                  <w:r>
                    <w:rPr>
                      <w:szCs w:val="21"/>
                    </w:rPr>
                    <w:t>变压器油、齿轮油</w:t>
                  </w:r>
                  <w:r>
                    <w:rPr>
                      <w:rFonts w:hint="eastAsia"/>
                      <w:szCs w:val="21"/>
                    </w:rPr>
                    <w:t>等</w:t>
                  </w:r>
                  <w:r>
                    <w:rPr>
                      <w:szCs w:val="21"/>
                    </w:rPr>
                    <w:t>通过汽车运输至</w:t>
                  </w:r>
                  <w:r>
                    <w:rPr>
                      <w:rFonts w:hint="eastAsia"/>
                      <w:szCs w:val="21"/>
                    </w:rPr>
                    <w:t>升压站内，随用随购不在站内储存</w:t>
                  </w:r>
                  <w:r>
                    <w:rPr>
                      <w:szCs w:val="21"/>
                    </w:rPr>
                    <w:t>；</w:t>
                  </w:r>
                </w:p>
                <w:p w14:paraId="2EF11C68">
                  <w:pPr>
                    <w:topLinePunct/>
                    <w:adjustRightInd w:val="0"/>
                    <w:snapToGrid w:val="0"/>
                    <w:spacing w:line="0" w:lineRule="atLeast"/>
                    <w:rPr>
                      <w:szCs w:val="21"/>
                    </w:rPr>
                  </w:pPr>
                  <w:r>
                    <w:rPr>
                      <w:szCs w:val="21"/>
                    </w:rPr>
                    <w:t>②风机、变压器维护保养配件采用汽车运输；</w:t>
                  </w:r>
                </w:p>
                <w:p w14:paraId="402A1271">
                  <w:pPr>
                    <w:topLinePunct/>
                    <w:adjustRightInd w:val="0"/>
                    <w:snapToGrid w:val="0"/>
                    <w:spacing w:line="0" w:lineRule="atLeast"/>
                    <w:rPr>
                      <w:szCs w:val="21"/>
                    </w:rPr>
                  </w:pPr>
                  <w:r>
                    <w:rPr>
                      <w:szCs w:val="21"/>
                    </w:rPr>
                    <w:t>③一般固废暂存固废暂存间</w:t>
                  </w:r>
                  <w:r>
                    <w:rPr>
                      <w:rFonts w:hint="eastAsia"/>
                      <w:szCs w:val="21"/>
                    </w:rPr>
                    <w:t>；</w:t>
                  </w:r>
                  <w:r>
                    <w:rPr>
                      <w:szCs w:val="21"/>
                    </w:rPr>
                    <w:t>危险废物：维护产生的废齿轮油、废蓄电池等暂存于</w:t>
                  </w:r>
                  <w:r>
                    <w:rPr>
                      <w:rFonts w:hint="eastAsia"/>
                      <w:szCs w:val="21"/>
                    </w:rPr>
                    <w:t>危废贮存库，委托有</w:t>
                  </w:r>
                  <w:r>
                    <w:rPr>
                      <w:szCs w:val="21"/>
                    </w:rPr>
                    <w:t>资质单位</w:t>
                  </w:r>
                  <w:r>
                    <w:rPr>
                      <w:rFonts w:hint="eastAsia"/>
                      <w:szCs w:val="21"/>
                    </w:rPr>
                    <w:t>运输及</w:t>
                  </w:r>
                  <w:r>
                    <w:rPr>
                      <w:szCs w:val="21"/>
                    </w:rPr>
                    <w:t>处置；事故</w:t>
                  </w:r>
                  <w:r>
                    <w:rPr>
                      <w:rFonts w:hint="eastAsia"/>
                      <w:szCs w:val="21"/>
                    </w:rPr>
                    <w:t>状态</w:t>
                  </w:r>
                  <w:r>
                    <w:rPr>
                      <w:szCs w:val="21"/>
                    </w:rPr>
                    <w:t>废变压器油暂存事故油池，</w:t>
                  </w:r>
                  <w:r>
                    <w:rPr>
                      <w:rFonts w:hint="eastAsia"/>
                      <w:szCs w:val="21"/>
                    </w:rPr>
                    <w:t>委托有</w:t>
                  </w:r>
                  <w:r>
                    <w:rPr>
                      <w:szCs w:val="21"/>
                    </w:rPr>
                    <w:t>资质单位</w:t>
                  </w:r>
                  <w:r>
                    <w:rPr>
                      <w:rFonts w:hint="eastAsia"/>
                      <w:szCs w:val="21"/>
                    </w:rPr>
                    <w:t>运输及</w:t>
                  </w:r>
                  <w:r>
                    <w:rPr>
                      <w:szCs w:val="21"/>
                    </w:rPr>
                    <w:t>处置；维护产生的废变压油</w:t>
                  </w:r>
                  <w:r>
                    <w:rPr>
                      <w:rFonts w:hint="eastAsia"/>
                      <w:szCs w:val="21"/>
                    </w:rPr>
                    <w:t>及时委托有</w:t>
                  </w:r>
                  <w:r>
                    <w:rPr>
                      <w:szCs w:val="21"/>
                    </w:rPr>
                    <w:t>资质单位</w:t>
                  </w:r>
                  <w:r>
                    <w:rPr>
                      <w:rFonts w:hint="eastAsia"/>
                      <w:szCs w:val="21"/>
                    </w:rPr>
                    <w:t>运输及</w:t>
                  </w:r>
                  <w:r>
                    <w:rPr>
                      <w:szCs w:val="21"/>
                    </w:rPr>
                    <w:t>处置</w:t>
                  </w:r>
                  <w:r>
                    <w:rPr>
                      <w:rFonts w:hint="eastAsia"/>
                      <w:szCs w:val="21"/>
                    </w:rPr>
                    <w:t>，不在厂区内贮存。事故油池常规状态不储存废油</w:t>
                  </w:r>
                  <w:r>
                    <w:rPr>
                      <w:szCs w:val="21"/>
                    </w:rPr>
                    <w:t>。</w:t>
                  </w:r>
                </w:p>
              </w:tc>
            </w:tr>
          </w:tbl>
          <w:p w14:paraId="013E31D4">
            <w:pPr>
              <w:adjustRightInd w:val="0"/>
              <w:snapToGrid w:val="0"/>
              <w:spacing w:line="480" w:lineRule="exact"/>
              <w:rPr>
                <w:b/>
                <w:bCs/>
                <w:sz w:val="24"/>
              </w:rPr>
            </w:pPr>
            <w:r>
              <w:rPr>
                <w:b/>
                <w:bCs/>
                <w:sz w:val="24"/>
              </w:rPr>
              <w:t>（2）工程特性</w:t>
            </w:r>
          </w:p>
          <w:p w14:paraId="00A00B1B">
            <w:pPr>
              <w:spacing w:line="480" w:lineRule="exact"/>
              <w:ind w:firstLine="480" w:firstLineChars="200"/>
              <w:rPr>
                <w:sz w:val="24"/>
              </w:rPr>
            </w:pPr>
            <w:r>
              <w:rPr>
                <w:sz w:val="24"/>
              </w:rPr>
              <w:t>本项目主要工程特性参数具体见下表。</w:t>
            </w:r>
          </w:p>
          <w:p w14:paraId="7DDC9981">
            <w:pPr>
              <w:pStyle w:val="108"/>
              <w:snapToGrid/>
              <w:spacing w:after="0" w:line="480" w:lineRule="exact"/>
              <w:ind w:left="0" w:leftChars="0" w:firstLine="0" w:firstLineChars="0"/>
              <w:jc w:val="center"/>
              <w:rPr>
                <w:rFonts w:ascii="Times New Roman" w:eastAsia="宋体"/>
              </w:rPr>
            </w:pPr>
            <w:r>
              <w:rPr>
                <w:rFonts w:ascii="Times New Roman" w:eastAsia="宋体"/>
                <w:b/>
                <w:bCs/>
                <w:sz w:val="21"/>
                <w:szCs w:val="21"/>
              </w:rPr>
              <w:t>表2-4      项目工程特性一览表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28" w:type="dxa"/>
                <w:bottom w:w="0" w:type="dxa"/>
                <w:right w:w="28" w:type="dxa"/>
              </w:tblCellMar>
            </w:tblPr>
            <w:tblGrid>
              <w:gridCol w:w="679"/>
              <w:gridCol w:w="568"/>
              <w:gridCol w:w="632"/>
              <w:gridCol w:w="408"/>
              <w:gridCol w:w="937"/>
              <w:gridCol w:w="1000"/>
              <w:gridCol w:w="2398"/>
              <w:gridCol w:w="1315"/>
            </w:tblGrid>
            <w:tr w14:paraId="5E198E0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3224" w:type="dxa"/>
                  <w:gridSpan w:val="5"/>
                  <w:tcBorders>
                    <w:tl2br w:val="nil"/>
                    <w:tr2bl w:val="nil"/>
                  </w:tcBorders>
                  <w:vAlign w:val="center"/>
                </w:tcPr>
                <w:p w14:paraId="636876A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名称</w:t>
                  </w:r>
                </w:p>
              </w:tc>
              <w:tc>
                <w:tcPr>
                  <w:tcW w:w="1000" w:type="dxa"/>
                  <w:tcBorders>
                    <w:tl2br w:val="nil"/>
                    <w:tr2bl w:val="nil"/>
                  </w:tcBorders>
                  <w:vAlign w:val="center"/>
                </w:tcPr>
                <w:p w14:paraId="46D873EF">
                  <w:pPr>
                    <w:spacing w:line="320" w:lineRule="exact"/>
                    <w:jc w:val="center"/>
                    <w:rPr>
                      <w:szCs w:val="21"/>
                    </w:rPr>
                  </w:pPr>
                  <w:r>
                    <w:rPr>
                      <w:szCs w:val="21"/>
                    </w:rPr>
                    <w:t>单位</w:t>
                  </w:r>
                </w:p>
              </w:tc>
              <w:tc>
                <w:tcPr>
                  <w:tcW w:w="2398" w:type="dxa"/>
                  <w:tcBorders>
                    <w:tl2br w:val="nil"/>
                    <w:tr2bl w:val="nil"/>
                  </w:tcBorders>
                  <w:vAlign w:val="center"/>
                </w:tcPr>
                <w:p w14:paraId="22A8DBC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数量</w:t>
                  </w:r>
                </w:p>
              </w:tc>
              <w:tc>
                <w:tcPr>
                  <w:tcW w:w="1315" w:type="dxa"/>
                  <w:tcBorders>
                    <w:tl2br w:val="nil"/>
                    <w:tr2bl w:val="nil"/>
                  </w:tcBorders>
                  <w:vAlign w:val="center"/>
                </w:tcPr>
                <w:p w14:paraId="6005FA1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备注</w:t>
                  </w:r>
                </w:p>
              </w:tc>
            </w:tr>
            <w:tr w14:paraId="0E62A21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restart"/>
                  <w:tcBorders>
                    <w:tl2br w:val="nil"/>
                    <w:tr2bl w:val="nil"/>
                  </w:tcBorders>
                  <w:vAlign w:val="center"/>
                </w:tcPr>
                <w:p w14:paraId="08AC3CB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风电场厂址</w:t>
                  </w:r>
                </w:p>
              </w:tc>
              <w:tc>
                <w:tcPr>
                  <w:tcW w:w="2545" w:type="dxa"/>
                  <w:gridSpan w:val="4"/>
                  <w:tcBorders>
                    <w:tl2br w:val="nil"/>
                    <w:tr2bl w:val="nil"/>
                  </w:tcBorders>
                  <w:vAlign w:val="center"/>
                </w:tcPr>
                <w:p w14:paraId="7A47EE4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海拔高度</w:t>
                  </w:r>
                </w:p>
              </w:tc>
              <w:tc>
                <w:tcPr>
                  <w:tcW w:w="1000" w:type="dxa"/>
                  <w:tcBorders>
                    <w:tl2br w:val="nil"/>
                    <w:tr2bl w:val="nil"/>
                  </w:tcBorders>
                  <w:vAlign w:val="center"/>
                </w:tcPr>
                <w:p w14:paraId="1700D75B">
                  <w:pPr>
                    <w:spacing w:line="320" w:lineRule="exact"/>
                    <w:jc w:val="center"/>
                    <w:rPr>
                      <w:szCs w:val="21"/>
                    </w:rPr>
                  </w:pPr>
                  <w:r>
                    <w:rPr>
                      <w:szCs w:val="21"/>
                    </w:rPr>
                    <w:t>m</w:t>
                  </w:r>
                </w:p>
              </w:tc>
              <w:tc>
                <w:tcPr>
                  <w:tcW w:w="2398" w:type="dxa"/>
                  <w:tcBorders>
                    <w:tl2br w:val="nil"/>
                    <w:tr2bl w:val="nil"/>
                  </w:tcBorders>
                  <w:vAlign w:val="center"/>
                </w:tcPr>
                <w:p w14:paraId="54E52596">
                  <w:pPr>
                    <w:pStyle w:val="60"/>
                    <w:spacing w:beforeLines="0" w:afterLines="0" w:line="320" w:lineRule="exact"/>
                    <w:rPr>
                      <w:rFonts w:ascii="Times New Roman"/>
                      <w:szCs w:val="21"/>
                    </w:rPr>
                  </w:pPr>
                  <w:r>
                    <w:rPr>
                      <w:rFonts w:ascii="Times New Roman"/>
                      <w:szCs w:val="21"/>
                    </w:rPr>
                    <w:t>1</w:t>
                  </w:r>
                </w:p>
              </w:tc>
              <w:tc>
                <w:tcPr>
                  <w:tcW w:w="1315" w:type="dxa"/>
                  <w:tcBorders>
                    <w:tl2br w:val="nil"/>
                    <w:tr2bl w:val="nil"/>
                  </w:tcBorders>
                  <w:vAlign w:val="center"/>
                </w:tcPr>
                <w:p w14:paraId="0EA54294">
                  <w:pPr>
                    <w:pStyle w:val="97"/>
                    <w:spacing w:before="0" w:beforeAutospacing="0" w:after="0" w:afterAutospacing="0" w:line="320" w:lineRule="exact"/>
                    <w:jc w:val="center"/>
                    <w:rPr>
                      <w:rFonts w:ascii="Times New Roman" w:hAnsi="Times New Roman"/>
                      <w:sz w:val="21"/>
                      <w:szCs w:val="21"/>
                    </w:rPr>
                  </w:pPr>
                </w:p>
              </w:tc>
            </w:tr>
            <w:tr w14:paraId="2E78C34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13A0A209">
                  <w:pPr>
                    <w:pStyle w:val="97"/>
                    <w:spacing w:before="0" w:beforeAutospacing="0" w:after="0" w:afterAutospacing="0" w:line="320" w:lineRule="exact"/>
                    <w:jc w:val="center"/>
                    <w:rPr>
                      <w:rFonts w:ascii="Times New Roman" w:hAnsi="Times New Roman"/>
                      <w:sz w:val="21"/>
                      <w:szCs w:val="21"/>
                    </w:rPr>
                  </w:pPr>
                </w:p>
              </w:tc>
              <w:tc>
                <w:tcPr>
                  <w:tcW w:w="1608" w:type="dxa"/>
                  <w:gridSpan w:val="3"/>
                  <w:vMerge w:val="restart"/>
                  <w:tcBorders>
                    <w:tl2br w:val="nil"/>
                    <w:tr2bl w:val="nil"/>
                  </w:tcBorders>
                  <w:vAlign w:val="center"/>
                </w:tcPr>
                <w:p w14:paraId="092480EE">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风电场中心坐标</w:t>
                  </w:r>
                </w:p>
              </w:tc>
              <w:tc>
                <w:tcPr>
                  <w:tcW w:w="937" w:type="dxa"/>
                  <w:tcBorders>
                    <w:tl2br w:val="nil"/>
                    <w:tr2bl w:val="nil"/>
                  </w:tcBorders>
                  <w:vAlign w:val="center"/>
                </w:tcPr>
                <w:p w14:paraId="7003710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经度</w:t>
                  </w:r>
                </w:p>
              </w:tc>
              <w:tc>
                <w:tcPr>
                  <w:tcW w:w="1000" w:type="dxa"/>
                  <w:tcBorders>
                    <w:tl2br w:val="nil"/>
                    <w:tr2bl w:val="nil"/>
                  </w:tcBorders>
                  <w:vAlign w:val="center"/>
                </w:tcPr>
                <w:p w14:paraId="3284C0C6">
                  <w:pPr>
                    <w:spacing w:line="320" w:lineRule="exact"/>
                    <w:jc w:val="center"/>
                    <w:rPr>
                      <w:szCs w:val="21"/>
                    </w:rPr>
                  </w:pPr>
                  <w:r>
                    <w:rPr>
                      <w:szCs w:val="21"/>
                    </w:rPr>
                    <w:t>/</w:t>
                  </w:r>
                </w:p>
              </w:tc>
              <w:tc>
                <w:tcPr>
                  <w:tcW w:w="2398" w:type="dxa"/>
                  <w:tcBorders>
                    <w:tl2br w:val="nil"/>
                    <w:tr2bl w:val="nil"/>
                  </w:tcBorders>
                  <w:vAlign w:val="center"/>
                </w:tcPr>
                <w:p w14:paraId="4C700C99">
                  <w:pPr>
                    <w:pStyle w:val="60"/>
                    <w:spacing w:beforeLines="0" w:afterLines="0" w:line="320" w:lineRule="exact"/>
                    <w:rPr>
                      <w:rFonts w:ascii="Times New Roman"/>
                      <w:szCs w:val="21"/>
                    </w:rPr>
                  </w:pPr>
                  <w:r>
                    <w:rPr>
                      <w:rFonts w:ascii="Times New Roman"/>
                      <w:szCs w:val="21"/>
                    </w:rPr>
                    <w:t>E118°22'18.469"</w:t>
                  </w:r>
                </w:p>
              </w:tc>
              <w:tc>
                <w:tcPr>
                  <w:tcW w:w="1315" w:type="dxa"/>
                  <w:tcBorders>
                    <w:tl2br w:val="nil"/>
                    <w:tr2bl w:val="nil"/>
                  </w:tcBorders>
                  <w:vAlign w:val="center"/>
                </w:tcPr>
                <w:p w14:paraId="159718CC">
                  <w:pPr>
                    <w:pStyle w:val="97"/>
                    <w:spacing w:before="0" w:beforeAutospacing="0" w:after="0" w:afterAutospacing="0" w:line="320" w:lineRule="exact"/>
                    <w:jc w:val="center"/>
                    <w:rPr>
                      <w:rFonts w:ascii="Times New Roman" w:hAnsi="Times New Roman"/>
                      <w:sz w:val="21"/>
                      <w:szCs w:val="21"/>
                    </w:rPr>
                  </w:pPr>
                </w:p>
              </w:tc>
            </w:tr>
            <w:tr w14:paraId="4811CD3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53C15FAF">
                  <w:pPr>
                    <w:pStyle w:val="97"/>
                    <w:spacing w:before="0" w:beforeAutospacing="0" w:after="0" w:afterAutospacing="0" w:line="320" w:lineRule="exact"/>
                    <w:jc w:val="center"/>
                    <w:rPr>
                      <w:rFonts w:ascii="Times New Roman" w:hAnsi="Times New Roman"/>
                      <w:sz w:val="21"/>
                      <w:szCs w:val="21"/>
                    </w:rPr>
                  </w:pPr>
                </w:p>
              </w:tc>
              <w:tc>
                <w:tcPr>
                  <w:tcW w:w="1608" w:type="dxa"/>
                  <w:gridSpan w:val="3"/>
                  <w:vMerge w:val="continue"/>
                  <w:tcBorders>
                    <w:tl2br w:val="nil"/>
                    <w:tr2bl w:val="nil"/>
                  </w:tcBorders>
                  <w:vAlign w:val="center"/>
                </w:tcPr>
                <w:p w14:paraId="7E98440D">
                  <w:pPr>
                    <w:pStyle w:val="97"/>
                    <w:spacing w:before="0" w:beforeAutospacing="0" w:after="0" w:afterAutospacing="0" w:line="320" w:lineRule="exact"/>
                    <w:jc w:val="center"/>
                    <w:rPr>
                      <w:rFonts w:ascii="Times New Roman" w:hAnsi="Times New Roman"/>
                      <w:sz w:val="21"/>
                      <w:szCs w:val="21"/>
                    </w:rPr>
                  </w:pPr>
                </w:p>
              </w:tc>
              <w:tc>
                <w:tcPr>
                  <w:tcW w:w="937" w:type="dxa"/>
                  <w:tcBorders>
                    <w:tl2br w:val="nil"/>
                    <w:tr2bl w:val="nil"/>
                  </w:tcBorders>
                  <w:vAlign w:val="center"/>
                </w:tcPr>
                <w:p w14:paraId="6C7541A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纬度</w:t>
                  </w:r>
                </w:p>
              </w:tc>
              <w:tc>
                <w:tcPr>
                  <w:tcW w:w="1000" w:type="dxa"/>
                  <w:tcBorders>
                    <w:tl2br w:val="nil"/>
                    <w:tr2bl w:val="nil"/>
                  </w:tcBorders>
                  <w:vAlign w:val="center"/>
                </w:tcPr>
                <w:p w14:paraId="315AEB63">
                  <w:pPr>
                    <w:spacing w:line="320" w:lineRule="exact"/>
                    <w:jc w:val="center"/>
                    <w:rPr>
                      <w:szCs w:val="21"/>
                    </w:rPr>
                  </w:pPr>
                  <w:r>
                    <w:rPr>
                      <w:szCs w:val="21"/>
                    </w:rPr>
                    <w:t>/</w:t>
                  </w:r>
                </w:p>
              </w:tc>
              <w:tc>
                <w:tcPr>
                  <w:tcW w:w="2398" w:type="dxa"/>
                  <w:tcBorders>
                    <w:tl2br w:val="nil"/>
                    <w:tr2bl w:val="nil"/>
                  </w:tcBorders>
                  <w:vAlign w:val="center"/>
                </w:tcPr>
                <w:p w14:paraId="742E82E1">
                  <w:pPr>
                    <w:pStyle w:val="60"/>
                    <w:spacing w:beforeLines="0" w:afterLines="0" w:line="320" w:lineRule="exact"/>
                    <w:rPr>
                      <w:rFonts w:ascii="Times New Roman"/>
                      <w:szCs w:val="21"/>
                    </w:rPr>
                  </w:pPr>
                  <w:r>
                    <w:rPr>
                      <w:rFonts w:ascii="Times New Roman"/>
                      <w:szCs w:val="21"/>
                    </w:rPr>
                    <w:t>N39°17'34.584"</w:t>
                  </w:r>
                </w:p>
              </w:tc>
              <w:tc>
                <w:tcPr>
                  <w:tcW w:w="1315" w:type="dxa"/>
                  <w:tcBorders>
                    <w:tl2br w:val="nil"/>
                    <w:tr2bl w:val="nil"/>
                  </w:tcBorders>
                  <w:vAlign w:val="center"/>
                </w:tcPr>
                <w:p w14:paraId="3100B994">
                  <w:pPr>
                    <w:pStyle w:val="97"/>
                    <w:spacing w:before="0" w:beforeAutospacing="0" w:after="0" w:afterAutospacing="0" w:line="320" w:lineRule="exact"/>
                    <w:jc w:val="center"/>
                    <w:rPr>
                      <w:rFonts w:ascii="Times New Roman" w:hAnsi="Times New Roman"/>
                      <w:sz w:val="21"/>
                      <w:szCs w:val="21"/>
                    </w:rPr>
                  </w:pPr>
                </w:p>
              </w:tc>
            </w:tr>
            <w:tr w14:paraId="7407207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5A94D161">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149CDC7B">
                  <w:pPr>
                    <w:pStyle w:val="60"/>
                    <w:spacing w:beforeLines="0" w:afterLines="0" w:line="320" w:lineRule="exact"/>
                    <w:rPr>
                      <w:rFonts w:ascii="Times New Roman"/>
                      <w:szCs w:val="21"/>
                    </w:rPr>
                  </w:pPr>
                  <w:r>
                    <w:rPr>
                      <w:rFonts w:ascii="Times New Roman"/>
                      <w:szCs w:val="21"/>
                    </w:rPr>
                    <w:t>轮毂高度处年平均风速</w:t>
                  </w:r>
                </w:p>
              </w:tc>
              <w:tc>
                <w:tcPr>
                  <w:tcW w:w="1000" w:type="dxa"/>
                  <w:tcBorders>
                    <w:tl2br w:val="nil"/>
                    <w:tr2bl w:val="nil"/>
                  </w:tcBorders>
                  <w:vAlign w:val="center"/>
                </w:tcPr>
                <w:p w14:paraId="09F3DB54">
                  <w:pPr>
                    <w:pStyle w:val="60"/>
                    <w:spacing w:beforeLines="0" w:afterLines="0" w:line="320" w:lineRule="exact"/>
                    <w:rPr>
                      <w:rFonts w:ascii="Times New Roman"/>
                      <w:szCs w:val="21"/>
                    </w:rPr>
                  </w:pPr>
                  <w:r>
                    <w:rPr>
                      <w:rFonts w:ascii="Times New Roman"/>
                      <w:szCs w:val="21"/>
                    </w:rPr>
                    <w:t>m/s</w:t>
                  </w:r>
                </w:p>
              </w:tc>
              <w:tc>
                <w:tcPr>
                  <w:tcW w:w="2398" w:type="dxa"/>
                  <w:tcBorders>
                    <w:tl2br w:val="nil"/>
                    <w:tr2bl w:val="nil"/>
                  </w:tcBorders>
                  <w:vAlign w:val="center"/>
                </w:tcPr>
                <w:p w14:paraId="32D11078">
                  <w:pPr>
                    <w:pStyle w:val="60"/>
                    <w:spacing w:beforeLines="0" w:afterLines="0" w:line="320" w:lineRule="exact"/>
                    <w:rPr>
                      <w:rFonts w:ascii="Times New Roman"/>
                      <w:szCs w:val="21"/>
                    </w:rPr>
                  </w:pPr>
                  <w:r>
                    <w:rPr>
                      <w:rFonts w:ascii="Times New Roman"/>
                      <w:szCs w:val="21"/>
                    </w:rPr>
                    <w:t>6.91</w:t>
                  </w:r>
                </w:p>
              </w:tc>
              <w:tc>
                <w:tcPr>
                  <w:tcW w:w="1315" w:type="dxa"/>
                  <w:tcBorders>
                    <w:tl2br w:val="nil"/>
                    <w:tr2bl w:val="nil"/>
                  </w:tcBorders>
                  <w:vAlign w:val="center"/>
                </w:tcPr>
                <w:p w14:paraId="2F50F134">
                  <w:pPr>
                    <w:spacing w:line="320" w:lineRule="exact"/>
                    <w:jc w:val="center"/>
                    <w:rPr>
                      <w:szCs w:val="21"/>
                    </w:rPr>
                  </w:pPr>
                </w:p>
              </w:tc>
            </w:tr>
            <w:tr w14:paraId="3F5A9D3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1F05BCCF">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7F9B8DF6">
                  <w:pPr>
                    <w:pStyle w:val="60"/>
                    <w:spacing w:beforeLines="0" w:afterLines="0" w:line="320" w:lineRule="exact"/>
                    <w:rPr>
                      <w:rFonts w:ascii="Times New Roman"/>
                      <w:szCs w:val="21"/>
                    </w:rPr>
                  </w:pPr>
                  <w:r>
                    <w:rPr>
                      <w:rFonts w:ascii="Times New Roman"/>
                      <w:szCs w:val="21"/>
                    </w:rPr>
                    <w:t>风功率密度</w:t>
                  </w:r>
                </w:p>
              </w:tc>
              <w:tc>
                <w:tcPr>
                  <w:tcW w:w="1000" w:type="dxa"/>
                  <w:tcBorders>
                    <w:tl2br w:val="nil"/>
                    <w:tr2bl w:val="nil"/>
                  </w:tcBorders>
                  <w:vAlign w:val="center"/>
                </w:tcPr>
                <w:p w14:paraId="092007F2">
                  <w:pPr>
                    <w:pStyle w:val="60"/>
                    <w:spacing w:beforeLines="0" w:afterLines="0" w:line="320" w:lineRule="exact"/>
                    <w:rPr>
                      <w:rFonts w:ascii="Times New Roman"/>
                      <w:szCs w:val="21"/>
                    </w:rPr>
                  </w:pPr>
                  <w:r>
                    <w:rPr>
                      <w:rFonts w:ascii="Times New Roman"/>
                      <w:szCs w:val="21"/>
                    </w:rPr>
                    <w:t>W/m</w:t>
                  </w:r>
                  <w:r>
                    <w:rPr>
                      <w:rFonts w:ascii="Times New Roman"/>
                      <w:szCs w:val="21"/>
                      <w:vertAlign w:val="superscript"/>
                    </w:rPr>
                    <w:t>2</w:t>
                  </w:r>
                </w:p>
              </w:tc>
              <w:tc>
                <w:tcPr>
                  <w:tcW w:w="2398" w:type="dxa"/>
                  <w:tcBorders>
                    <w:tl2br w:val="nil"/>
                    <w:tr2bl w:val="nil"/>
                  </w:tcBorders>
                  <w:vAlign w:val="center"/>
                </w:tcPr>
                <w:p w14:paraId="7A4F4208">
                  <w:pPr>
                    <w:pStyle w:val="60"/>
                    <w:spacing w:beforeLines="0" w:afterLines="0" w:line="320" w:lineRule="exact"/>
                    <w:rPr>
                      <w:rFonts w:ascii="Times New Roman"/>
                      <w:szCs w:val="21"/>
                    </w:rPr>
                  </w:pPr>
                  <w:r>
                    <w:rPr>
                      <w:rFonts w:ascii="Times New Roman"/>
                      <w:szCs w:val="21"/>
                    </w:rPr>
                    <w:t>287</w:t>
                  </w:r>
                </w:p>
              </w:tc>
              <w:tc>
                <w:tcPr>
                  <w:tcW w:w="1315" w:type="dxa"/>
                  <w:tcBorders>
                    <w:tl2br w:val="nil"/>
                    <w:tr2bl w:val="nil"/>
                  </w:tcBorders>
                  <w:vAlign w:val="center"/>
                </w:tcPr>
                <w:p w14:paraId="26BB03F0">
                  <w:pPr>
                    <w:spacing w:line="320" w:lineRule="exact"/>
                    <w:jc w:val="center"/>
                    <w:rPr>
                      <w:szCs w:val="21"/>
                    </w:rPr>
                  </w:pPr>
                </w:p>
              </w:tc>
            </w:tr>
            <w:tr w14:paraId="09A6148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461A9BB5">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430CC04F">
                  <w:pPr>
                    <w:pStyle w:val="60"/>
                    <w:spacing w:beforeLines="0" w:afterLines="0" w:line="320" w:lineRule="exact"/>
                    <w:rPr>
                      <w:rFonts w:ascii="Times New Roman"/>
                      <w:szCs w:val="21"/>
                    </w:rPr>
                  </w:pPr>
                  <w:r>
                    <w:rPr>
                      <w:rFonts w:ascii="Times New Roman"/>
                      <w:szCs w:val="21"/>
                    </w:rPr>
                    <w:t>风电场等级</w:t>
                  </w:r>
                </w:p>
              </w:tc>
              <w:tc>
                <w:tcPr>
                  <w:tcW w:w="1000" w:type="dxa"/>
                  <w:tcBorders>
                    <w:tl2br w:val="nil"/>
                    <w:tr2bl w:val="nil"/>
                  </w:tcBorders>
                  <w:vAlign w:val="center"/>
                </w:tcPr>
                <w:p w14:paraId="2A25BA19">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46C9C46A">
                  <w:pPr>
                    <w:pStyle w:val="60"/>
                    <w:spacing w:beforeLines="0" w:afterLines="0" w:line="320" w:lineRule="exact"/>
                    <w:rPr>
                      <w:rFonts w:ascii="Times New Roman"/>
                      <w:szCs w:val="21"/>
                    </w:rPr>
                  </w:pPr>
                  <w:r>
                    <w:rPr>
                      <w:rFonts w:ascii="Times New Roman"/>
                      <w:szCs w:val="21"/>
                    </w:rPr>
                    <w:t>D-3</w:t>
                  </w:r>
                </w:p>
              </w:tc>
              <w:tc>
                <w:tcPr>
                  <w:tcW w:w="1315" w:type="dxa"/>
                  <w:tcBorders>
                    <w:tl2br w:val="nil"/>
                    <w:tr2bl w:val="nil"/>
                  </w:tcBorders>
                  <w:vAlign w:val="center"/>
                </w:tcPr>
                <w:p w14:paraId="62C64E37">
                  <w:pPr>
                    <w:spacing w:line="320" w:lineRule="exact"/>
                    <w:jc w:val="center"/>
                    <w:rPr>
                      <w:szCs w:val="21"/>
                    </w:rPr>
                  </w:pPr>
                </w:p>
              </w:tc>
            </w:tr>
            <w:tr w14:paraId="72AE321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69" w:hRule="atLeast"/>
                <w:jc w:val="center"/>
              </w:trPr>
              <w:tc>
                <w:tcPr>
                  <w:tcW w:w="679" w:type="dxa"/>
                  <w:vMerge w:val="continue"/>
                  <w:tcBorders>
                    <w:tl2br w:val="nil"/>
                    <w:tr2bl w:val="nil"/>
                  </w:tcBorders>
                  <w:vAlign w:val="center"/>
                </w:tcPr>
                <w:p w14:paraId="02146DD9">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6BB76621">
                  <w:pPr>
                    <w:pStyle w:val="60"/>
                    <w:spacing w:beforeLines="0" w:afterLines="0" w:line="320" w:lineRule="exact"/>
                    <w:rPr>
                      <w:rFonts w:ascii="Times New Roman"/>
                      <w:szCs w:val="21"/>
                    </w:rPr>
                  </w:pPr>
                  <w:r>
                    <w:rPr>
                      <w:rFonts w:ascii="Times New Roman"/>
                      <w:szCs w:val="21"/>
                    </w:rPr>
                    <w:t>风场容量系数</w:t>
                  </w:r>
                </w:p>
              </w:tc>
              <w:tc>
                <w:tcPr>
                  <w:tcW w:w="1000" w:type="dxa"/>
                  <w:tcBorders>
                    <w:tl2br w:val="nil"/>
                    <w:tr2bl w:val="nil"/>
                  </w:tcBorders>
                  <w:vAlign w:val="center"/>
                </w:tcPr>
                <w:p w14:paraId="3786EB66">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1A74C091">
                  <w:pPr>
                    <w:pStyle w:val="60"/>
                    <w:spacing w:beforeLines="0" w:afterLines="0" w:line="320" w:lineRule="exact"/>
                    <w:rPr>
                      <w:rFonts w:ascii="Times New Roman"/>
                      <w:szCs w:val="21"/>
                    </w:rPr>
                  </w:pPr>
                  <w:r>
                    <w:rPr>
                      <w:rFonts w:ascii="Times New Roman"/>
                      <w:szCs w:val="21"/>
                    </w:rPr>
                    <w:t>0.293</w:t>
                  </w:r>
                </w:p>
              </w:tc>
              <w:tc>
                <w:tcPr>
                  <w:tcW w:w="1315" w:type="dxa"/>
                  <w:tcBorders>
                    <w:tl2br w:val="nil"/>
                    <w:tr2bl w:val="nil"/>
                  </w:tcBorders>
                  <w:vAlign w:val="center"/>
                </w:tcPr>
                <w:p w14:paraId="48C679E1">
                  <w:pPr>
                    <w:spacing w:line="320" w:lineRule="exact"/>
                    <w:jc w:val="center"/>
                    <w:rPr>
                      <w:szCs w:val="21"/>
                    </w:rPr>
                  </w:pPr>
                </w:p>
              </w:tc>
            </w:tr>
            <w:tr w14:paraId="17165F7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414" w:hRule="atLeast"/>
                <w:jc w:val="center"/>
              </w:trPr>
              <w:tc>
                <w:tcPr>
                  <w:tcW w:w="679" w:type="dxa"/>
                  <w:vMerge w:val="continue"/>
                  <w:tcBorders>
                    <w:tl2br w:val="nil"/>
                    <w:tr2bl w:val="nil"/>
                  </w:tcBorders>
                  <w:vAlign w:val="center"/>
                </w:tcPr>
                <w:p w14:paraId="473EE90E">
                  <w:pPr>
                    <w:pStyle w:val="97"/>
                    <w:spacing w:before="0" w:beforeAutospacing="0" w:after="0" w:afterAutospacing="0" w:line="320" w:lineRule="exact"/>
                    <w:jc w:val="center"/>
                    <w:rPr>
                      <w:rFonts w:ascii="Times New Roman" w:hAnsi="Times New Roman"/>
                      <w:sz w:val="21"/>
                      <w:szCs w:val="21"/>
                    </w:rPr>
                  </w:pPr>
                </w:p>
              </w:tc>
              <w:tc>
                <w:tcPr>
                  <w:tcW w:w="2545" w:type="dxa"/>
                  <w:gridSpan w:val="4"/>
                  <w:tcBorders>
                    <w:tl2br w:val="nil"/>
                    <w:tr2bl w:val="nil"/>
                  </w:tcBorders>
                  <w:vAlign w:val="center"/>
                </w:tcPr>
                <w:p w14:paraId="246C6AF5">
                  <w:pPr>
                    <w:pStyle w:val="60"/>
                    <w:spacing w:beforeLines="0" w:afterLines="0" w:line="320" w:lineRule="exact"/>
                    <w:rPr>
                      <w:rFonts w:ascii="Times New Roman"/>
                      <w:szCs w:val="21"/>
                    </w:rPr>
                  </w:pPr>
                  <w:r>
                    <w:rPr>
                      <w:rFonts w:ascii="Times New Roman"/>
                      <w:szCs w:val="21"/>
                    </w:rPr>
                    <w:t>盛行风能方向</w:t>
                  </w:r>
                </w:p>
              </w:tc>
              <w:tc>
                <w:tcPr>
                  <w:tcW w:w="1000" w:type="dxa"/>
                  <w:tcBorders>
                    <w:tl2br w:val="nil"/>
                    <w:tr2bl w:val="nil"/>
                  </w:tcBorders>
                  <w:vAlign w:val="center"/>
                </w:tcPr>
                <w:p w14:paraId="3BAC4D09">
                  <w:pPr>
                    <w:pStyle w:val="60"/>
                    <w:spacing w:beforeLines="0" w:afterLines="0" w:line="320" w:lineRule="exact"/>
                    <w:rPr>
                      <w:rFonts w:ascii="Times New Roman"/>
                      <w:szCs w:val="21"/>
                    </w:rPr>
                  </w:pPr>
                  <w:r>
                    <w:rPr>
                      <w:rFonts w:ascii="Times New Roman"/>
                      <w:szCs w:val="21"/>
                    </w:rPr>
                    <w:t>—</w:t>
                  </w:r>
                </w:p>
              </w:tc>
              <w:tc>
                <w:tcPr>
                  <w:tcW w:w="2398" w:type="dxa"/>
                  <w:tcBorders>
                    <w:tl2br w:val="nil"/>
                    <w:tr2bl w:val="nil"/>
                  </w:tcBorders>
                  <w:vAlign w:val="center"/>
                </w:tcPr>
                <w:p w14:paraId="51BF0CDF">
                  <w:pPr>
                    <w:pStyle w:val="60"/>
                    <w:spacing w:beforeLines="0" w:afterLines="0" w:line="320" w:lineRule="exact"/>
                    <w:rPr>
                      <w:rFonts w:ascii="Times New Roman"/>
                      <w:szCs w:val="21"/>
                    </w:rPr>
                  </w:pPr>
                  <w:r>
                    <w:rPr>
                      <w:rFonts w:ascii="Times New Roman"/>
                      <w:szCs w:val="21"/>
                    </w:rPr>
                    <w:t>SSW</w:t>
                  </w:r>
                </w:p>
              </w:tc>
              <w:tc>
                <w:tcPr>
                  <w:tcW w:w="1315" w:type="dxa"/>
                  <w:tcBorders>
                    <w:tl2br w:val="nil"/>
                    <w:tr2bl w:val="nil"/>
                  </w:tcBorders>
                  <w:vAlign w:val="center"/>
                </w:tcPr>
                <w:p w14:paraId="0715A5AD">
                  <w:pPr>
                    <w:spacing w:line="320" w:lineRule="exact"/>
                    <w:jc w:val="center"/>
                    <w:rPr>
                      <w:szCs w:val="21"/>
                    </w:rPr>
                  </w:pPr>
                </w:p>
              </w:tc>
            </w:tr>
            <w:tr w14:paraId="25F8D46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restart"/>
                  <w:tcBorders>
                    <w:tl2br w:val="nil"/>
                    <w:tr2bl w:val="nil"/>
                  </w:tcBorders>
                  <w:vAlign w:val="center"/>
                </w:tcPr>
                <w:p w14:paraId="6E0D531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主要</w:t>
                  </w:r>
                </w:p>
                <w:p w14:paraId="1AA84E9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设备</w:t>
                  </w:r>
                </w:p>
              </w:tc>
              <w:tc>
                <w:tcPr>
                  <w:tcW w:w="568" w:type="dxa"/>
                  <w:vMerge w:val="restart"/>
                  <w:tcBorders>
                    <w:tl2br w:val="nil"/>
                    <w:tr2bl w:val="nil"/>
                  </w:tcBorders>
                  <w:vAlign w:val="center"/>
                </w:tcPr>
                <w:p w14:paraId="013215F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风电场主要机电设备</w:t>
                  </w:r>
                </w:p>
              </w:tc>
              <w:tc>
                <w:tcPr>
                  <w:tcW w:w="632" w:type="dxa"/>
                  <w:vMerge w:val="restart"/>
                  <w:tcBorders>
                    <w:tl2br w:val="nil"/>
                    <w:tr2bl w:val="nil"/>
                  </w:tcBorders>
                  <w:vAlign w:val="center"/>
                </w:tcPr>
                <w:p w14:paraId="581015A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风电机组</w:t>
                  </w:r>
                </w:p>
              </w:tc>
              <w:tc>
                <w:tcPr>
                  <w:tcW w:w="1345" w:type="dxa"/>
                  <w:gridSpan w:val="2"/>
                  <w:tcBorders>
                    <w:tl2br w:val="nil"/>
                    <w:tr2bl w:val="nil"/>
                  </w:tcBorders>
                  <w:vAlign w:val="center"/>
                </w:tcPr>
                <w:p w14:paraId="4396719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台数</w:t>
                  </w:r>
                </w:p>
              </w:tc>
              <w:tc>
                <w:tcPr>
                  <w:tcW w:w="1000" w:type="dxa"/>
                  <w:tcBorders>
                    <w:tl2br w:val="nil"/>
                    <w:tr2bl w:val="nil"/>
                  </w:tcBorders>
                  <w:vAlign w:val="center"/>
                </w:tcPr>
                <w:p w14:paraId="76B5172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w:t>
                  </w:r>
                </w:p>
              </w:tc>
              <w:tc>
                <w:tcPr>
                  <w:tcW w:w="2398" w:type="dxa"/>
                  <w:tcBorders>
                    <w:tl2br w:val="nil"/>
                    <w:tr2bl w:val="nil"/>
                  </w:tcBorders>
                  <w:vAlign w:val="center"/>
                </w:tcPr>
                <w:p w14:paraId="52C6666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46</w:t>
                  </w:r>
                </w:p>
              </w:tc>
              <w:tc>
                <w:tcPr>
                  <w:tcW w:w="1315" w:type="dxa"/>
                  <w:tcBorders>
                    <w:tl2br w:val="nil"/>
                    <w:tr2bl w:val="nil"/>
                  </w:tcBorders>
                  <w:vAlign w:val="center"/>
                </w:tcPr>
                <w:p w14:paraId="2B940E36">
                  <w:pPr>
                    <w:spacing w:line="320" w:lineRule="exact"/>
                    <w:jc w:val="center"/>
                    <w:rPr>
                      <w:szCs w:val="21"/>
                    </w:rPr>
                  </w:pPr>
                </w:p>
              </w:tc>
            </w:tr>
            <w:tr w14:paraId="3D21D7D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6E8A198">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E44AB97">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4CAEB85B">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4E4AA06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型号</w:t>
                  </w:r>
                </w:p>
              </w:tc>
              <w:tc>
                <w:tcPr>
                  <w:tcW w:w="1000" w:type="dxa"/>
                  <w:tcBorders>
                    <w:tl2br w:val="nil"/>
                    <w:tr2bl w:val="nil"/>
                  </w:tcBorders>
                  <w:vAlign w:val="center"/>
                </w:tcPr>
                <w:p w14:paraId="485EDE14">
                  <w:pPr>
                    <w:pStyle w:val="97"/>
                    <w:spacing w:before="0" w:beforeAutospacing="0" w:after="0" w:afterAutospacing="0" w:line="320" w:lineRule="exact"/>
                    <w:jc w:val="center"/>
                    <w:rPr>
                      <w:rFonts w:ascii="Times New Roman" w:hAnsi="Times New Roman"/>
                      <w:sz w:val="21"/>
                      <w:szCs w:val="21"/>
                    </w:rPr>
                  </w:pPr>
                </w:p>
              </w:tc>
              <w:tc>
                <w:tcPr>
                  <w:tcW w:w="2398" w:type="dxa"/>
                  <w:tcBorders>
                    <w:tl2br w:val="nil"/>
                    <w:tr2bl w:val="nil"/>
                  </w:tcBorders>
                  <w:vAlign w:val="center"/>
                </w:tcPr>
                <w:p w14:paraId="69F652B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EN220-7700</w:t>
                  </w:r>
                </w:p>
              </w:tc>
              <w:tc>
                <w:tcPr>
                  <w:tcW w:w="1315" w:type="dxa"/>
                  <w:tcBorders>
                    <w:tl2br w:val="nil"/>
                    <w:tr2bl w:val="nil"/>
                  </w:tcBorders>
                  <w:vAlign w:val="center"/>
                </w:tcPr>
                <w:p w14:paraId="7128DA81">
                  <w:pPr>
                    <w:spacing w:line="320" w:lineRule="exact"/>
                    <w:jc w:val="center"/>
                    <w:rPr>
                      <w:szCs w:val="21"/>
                    </w:rPr>
                  </w:pPr>
                </w:p>
              </w:tc>
            </w:tr>
            <w:tr w14:paraId="5CD8783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29C89C8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398F49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4D6B019">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EEFCCB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额定功率</w:t>
                  </w:r>
                </w:p>
              </w:tc>
              <w:tc>
                <w:tcPr>
                  <w:tcW w:w="1000" w:type="dxa"/>
                  <w:tcBorders>
                    <w:tl2br w:val="nil"/>
                    <w:tr2bl w:val="nil"/>
                  </w:tcBorders>
                  <w:vAlign w:val="center"/>
                </w:tcPr>
                <w:p w14:paraId="694DC45F">
                  <w:pPr>
                    <w:pStyle w:val="60"/>
                    <w:spacing w:beforeLines="0" w:afterLines="0" w:line="320" w:lineRule="exact"/>
                    <w:rPr>
                      <w:rFonts w:ascii="Times New Roman"/>
                      <w:szCs w:val="21"/>
                    </w:rPr>
                  </w:pPr>
                  <w:r>
                    <w:rPr>
                      <w:rFonts w:ascii="Times New Roman"/>
                      <w:szCs w:val="21"/>
                    </w:rPr>
                    <w:t>MW/台</w:t>
                  </w:r>
                </w:p>
              </w:tc>
              <w:tc>
                <w:tcPr>
                  <w:tcW w:w="2398" w:type="dxa"/>
                  <w:tcBorders>
                    <w:tl2br w:val="nil"/>
                    <w:tr2bl w:val="nil"/>
                  </w:tcBorders>
                  <w:vAlign w:val="center"/>
                </w:tcPr>
                <w:p w14:paraId="6CDC3445">
                  <w:pPr>
                    <w:pStyle w:val="60"/>
                    <w:spacing w:beforeLines="0" w:afterLines="0" w:line="320" w:lineRule="exact"/>
                    <w:rPr>
                      <w:rFonts w:ascii="Times New Roman"/>
                      <w:szCs w:val="21"/>
                    </w:rPr>
                  </w:pPr>
                  <w:r>
                    <w:rPr>
                      <w:rFonts w:ascii="Times New Roman"/>
                      <w:szCs w:val="21"/>
                    </w:rPr>
                    <w:t>7.7</w:t>
                  </w:r>
                </w:p>
              </w:tc>
              <w:tc>
                <w:tcPr>
                  <w:tcW w:w="1315" w:type="dxa"/>
                  <w:tcBorders>
                    <w:tl2br w:val="nil"/>
                    <w:tr2bl w:val="nil"/>
                  </w:tcBorders>
                  <w:vAlign w:val="center"/>
                </w:tcPr>
                <w:p w14:paraId="4CE0D8EE">
                  <w:pPr>
                    <w:spacing w:line="320" w:lineRule="exact"/>
                    <w:jc w:val="center"/>
                    <w:rPr>
                      <w:szCs w:val="21"/>
                    </w:rPr>
                  </w:pPr>
                </w:p>
              </w:tc>
            </w:tr>
            <w:tr w14:paraId="1117E10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20877A8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BFE2DFC">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99983AF">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672837A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叶片数</w:t>
                  </w:r>
                </w:p>
              </w:tc>
              <w:tc>
                <w:tcPr>
                  <w:tcW w:w="1000" w:type="dxa"/>
                  <w:tcBorders>
                    <w:tl2br w:val="nil"/>
                    <w:tr2bl w:val="nil"/>
                  </w:tcBorders>
                  <w:vAlign w:val="center"/>
                </w:tcPr>
                <w:p w14:paraId="0F4E12A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片</w:t>
                  </w:r>
                </w:p>
              </w:tc>
              <w:tc>
                <w:tcPr>
                  <w:tcW w:w="2398" w:type="dxa"/>
                  <w:tcBorders>
                    <w:tl2br w:val="nil"/>
                    <w:tr2bl w:val="nil"/>
                  </w:tcBorders>
                  <w:vAlign w:val="center"/>
                </w:tcPr>
                <w:p w14:paraId="6C12732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w:t>
                  </w:r>
                </w:p>
              </w:tc>
              <w:tc>
                <w:tcPr>
                  <w:tcW w:w="1315" w:type="dxa"/>
                  <w:tcBorders>
                    <w:tl2br w:val="nil"/>
                    <w:tr2bl w:val="nil"/>
                  </w:tcBorders>
                  <w:vAlign w:val="center"/>
                </w:tcPr>
                <w:p w14:paraId="7AEC63E6">
                  <w:pPr>
                    <w:spacing w:line="320" w:lineRule="exact"/>
                    <w:jc w:val="center"/>
                    <w:rPr>
                      <w:szCs w:val="21"/>
                    </w:rPr>
                  </w:pPr>
                </w:p>
              </w:tc>
            </w:tr>
            <w:tr w14:paraId="069AE65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93A4FAC">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265298A">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3330B062">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100C92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风轮直径</w:t>
                  </w:r>
                </w:p>
              </w:tc>
              <w:tc>
                <w:tcPr>
                  <w:tcW w:w="1000" w:type="dxa"/>
                  <w:tcBorders>
                    <w:tl2br w:val="nil"/>
                    <w:tr2bl w:val="nil"/>
                  </w:tcBorders>
                  <w:vAlign w:val="center"/>
                </w:tcPr>
                <w:p w14:paraId="52D58D4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0540323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220</w:t>
                  </w:r>
                </w:p>
              </w:tc>
              <w:tc>
                <w:tcPr>
                  <w:tcW w:w="1315" w:type="dxa"/>
                  <w:tcBorders>
                    <w:tl2br w:val="nil"/>
                    <w:tr2bl w:val="nil"/>
                  </w:tcBorders>
                  <w:vAlign w:val="center"/>
                </w:tcPr>
                <w:p w14:paraId="29F09F44">
                  <w:pPr>
                    <w:spacing w:line="320" w:lineRule="exact"/>
                    <w:jc w:val="center"/>
                    <w:rPr>
                      <w:szCs w:val="21"/>
                    </w:rPr>
                  </w:pPr>
                </w:p>
              </w:tc>
            </w:tr>
            <w:tr w14:paraId="186B047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028AAE55">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08C00A6">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1CDAAFB">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42CBEB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风轮扫掠面积</w:t>
                  </w:r>
                </w:p>
              </w:tc>
              <w:tc>
                <w:tcPr>
                  <w:tcW w:w="1000" w:type="dxa"/>
                  <w:tcBorders>
                    <w:tl2br w:val="nil"/>
                    <w:tr2bl w:val="nil"/>
                  </w:tcBorders>
                  <w:vAlign w:val="center"/>
                </w:tcPr>
                <w:p w14:paraId="704A3C3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2398" w:type="dxa"/>
                  <w:tcBorders>
                    <w:tl2br w:val="nil"/>
                    <w:tr2bl w:val="nil"/>
                  </w:tcBorders>
                  <w:vAlign w:val="center"/>
                </w:tcPr>
                <w:p w14:paraId="3E64DF9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38013</w:t>
                  </w:r>
                </w:p>
              </w:tc>
              <w:tc>
                <w:tcPr>
                  <w:tcW w:w="1315" w:type="dxa"/>
                  <w:tcBorders>
                    <w:tl2br w:val="nil"/>
                    <w:tr2bl w:val="nil"/>
                  </w:tcBorders>
                  <w:vAlign w:val="center"/>
                </w:tcPr>
                <w:p w14:paraId="7CEEC6C6">
                  <w:pPr>
                    <w:spacing w:line="320" w:lineRule="exact"/>
                    <w:jc w:val="center"/>
                    <w:rPr>
                      <w:szCs w:val="21"/>
                    </w:rPr>
                  </w:pPr>
                </w:p>
              </w:tc>
            </w:tr>
            <w:tr w14:paraId="3A5AE4D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9342E0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628964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BF4EF7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0DCAB4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切入风速</w:t>
                  </w:r>
                </w:p>
              </w:tc>
              <w:tc>
                <w:tcPr>
                  <w:tcW w:w="1000" w:type="dxa"/>
                  <w:tcBorders>
                    <w:tl2br w:val="nil"/>
                    <w:tr2bl w:val="nil"/>
                  </w:tcBorders>
                  <w:vAlign w:val="center"/>
                </w:tcPr>
                <w:p w14:paraId="0B4D5B9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374756E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w:t>
                  </w:r>
                </w:p>
              </w:tc>
              <w:tc>
                <w:tcPr>
                  <w:tcW w:w="1315" w:type="dxa"/>
                  <w:tcBorders>
                    <w:tl2br w:val="nil"/>
                    <w:tr2bl w:val="nil"/>
                  </w:tcBorders>
                  <w:vAlign w:val="center"/>
                </w:tcPr>
                <w:p w14:paraId="50D44C03">
                  <w:pPr>
                    <w:spacing w:line="320" w:lineRule="exact"/>
                    <w:jc w:val="center"/>
                    <w:rPr>
                      <w:szCs w:val="21"/>
                    </w:rPr>
                  </w:pPr>
                </w:p>
              </w:tc>
            </w:tr>
            <w:tr w14:paraId="44F98D7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52EB11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EFAC13B">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5DECA88">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5E7C94A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额定风速</w:t>
                  </w:r>
                </w:p>
              </w:tc>
              <w:tc>
                <w:tcPr>
                  <w:tcW w:w="1000" w:type="dxa"/>
                  <w:tcBorders>
                    <w:tl2br w:val="nil"/>
                    <w:tr2bl w:val="nil"/>
                  </w:tcBorders>
                  <w:vAlign w:val="center"/>
                </w:tcPr>
                <w:p w14:paraId="53ADA10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2099D3B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13.5</w:t>
                  </w:r>
                </w:p>
              </w:tc>
              <w:tc>
                <w:tcPr>
                  <w:tcW w:w="1315" w:type="dxa"/>
                  <w:tcBorders>
                    <w:tl2br w:val="nil"/>
                    <w:tr2bl w:val="nil"/>
                  </w:tcBorders>
                  <w:vAlign w:val="center"/>
                </w:tcPr>
                <w:p w14:paraId="160E7B2C">
                  <w:pPr>
                    <w:spacing w:line="320" w:lineRule="exact"/>
                    <w:jc w:val="center"/>
                    <w:rPr>
                      <w:szCs w:val="21"/>
                    </w:rPr>
                  </w:pPr>
                </w:p>
              </w:tc>
            </w:tr>
            <w:tr w14:paraId="01B5DBF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2CBEC2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480E059">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1BC61C1">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55DD2D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切出风速</w:t>
                  </w:r>
                </w:p>
              </w:tc>
              <w:tc>
                <w:tcPr>
                  <w:tcW w:w="1000" w:type="dxa"/>
                  <w:tcBorders>
                    <w:tl2br w:val="nil"/>
                    <w:tr2bl w:val="nil"/>
                  </w:tcBorders>
                  <w:vAlign w:val="center"/>
                </w:tcPr>
                <w:p w14:paraId="3029686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m/s</w:t>
                  </w:r>
                </w:p>
              </w:tc>
              <w:tc>
                <w:tcPr>
                  <w:tcW w:w="2398" w:type="dxa"/>
                  <w:tcBorders>
                    <w:tl2br w:val="nil"/>
                    <w:tr2bl w:val="nil"/>
                  </w:tcBorders>
                  <w:vAlign w:val="center"/>
                </w:tcPr>
                <w:p w14:paraId="0C68955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25</w:t>
                  </w:r>
                </w:p>
              </w:tc>
              <w:tc>
                <w:tcPr>
                  <w:tcW w:w="1315" w:type="dxa"/>
                  <w:tcBorders>
                    <w:tl2br w:val="nil"/>
                    <w:tr2bl w:val="nil"/>
                  </w:tcBorders>
                  <w:vAlign w:val="center"/>
                </w:tcPr>
                <w:p w14:paraId="0378CCED">
                  <w:pPr>
                    <w:spacing w:line="320" w:lineRule="exact"/>
                    <w:jc w:val="center"/>
                    <w:rPr>
                      <w:szCs w:val="21"/>
                    </w:rPr>
                  </w:pPr>
                </w:p>
              </w:tc>
            </w:tr>
            <w:tr w14:paraId="2FB3F3C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5B45E1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822CEE9">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8EB923E">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A88FC1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轮毂高度</w:t>
                  </w:r>
                </w:p>
              </w:tc>
              <w:tc>
                <w:tcPr>
                  <w:tcW w:w="1000" w:type="dxa"/>
                  <w:tcBorders>
                    <w:tl2br w:val="nil"/>
                    <w:tr2bl w:val="nil"/>
                  </w:tcBorders>
                  <w:vAlign w:val="center"/>
                </w:tcPr>
                <w:p w14:paraId="2EC0DFB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18C82C4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175/180/185</w:t>
                  </w:r>
                </w:p>
              </w:tc>
              <w:tc>
                <w:tcPr>
                  <w:tcW w:w="1315" w:type="dxa"/>
                  <w:tcBorders>
                    <w:tl2br w:val="nil"/>
                    <w:tr2bl w:val="nil"/>
                  </w:tcBorders>
                  <w:vAlign w:val="center"/>
                </w:tcPr>
                <w:p w14:paraId="0FA201F6">
                  <w:pPr>
                    <w:spacing w:line="320" w:lineRule="exact"/>
                    <w:jc w:val="center"/>
                    <w:rPr>
                      <w:szCs w:val="21"/>
                    </w:rPr>
                  </w:pPr>
                </w:p>
              </w:tc>
            </w:tr>
            <w:tr w14:paraId="7D30B76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0F4F56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9C3E69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449F0B92">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0CC065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额定电压</w:t>
                  </w:r>
                </w:p>
              </w:tc>
              <w:tc>
                <w:tcPr>
                  <w:tcW w:w="1000" w:type="dxa"/>
                  <w:tcBorders>
                    <w:tl2br w:val="nil"/>
                    <w:tr2bl w:val="nil"/>
                  </w:tcBorders>
                  <w:vAlign w:val="center"/>
                </w:tcPr>
                <w:p w14:paraId="22CB4B3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V</w:t>
                  </w:r>
                </w:p>
              </w:tc>
              <w:tc>
                <w:tcPr>
                  <w:tcW w:w="2398" w:type="dxa"/>
                  <w:tcBorders>
                    <w:tl2br w:val="nil"/>
                    <w:tr2bl w:val="nil"/>
                  </w:tcBorders>
                  <w:vAlign w:val="center"/>
                </w:tcPr>
                <w:p w14:paraId="3513BE6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1140</w:t>
                  </w:r>
                </w:p>
              </w:tc>
              <w:tc>
                <w:tcPr>
                  <w:tcW w:w="1315" w:type="dxa"/>
                  <w:tcBorders>
                    <w:tl2br w:val="nil"/>
                    <w:tr2bl w:val="nil"/>
                  </w:tcBorders>
                  <w:vAlign w:val="center"/>
                </w:tcPr>
                <w:p w14:paraId="22A65867">
                  <w:pPr>
                    <w:spacing w:line="320" w:lineRule="exact"/>
                    <w:jc w:val="center"/>
                    <w:rPr>
                      <w:szCs w:val="21"/>
                    </w:rPr>
                  </w:pPr>
                </w:p>
              </w:tc>
            </w:tr>
            <w:tr w14:paraId="6DA0187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A392E5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895357D">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92C0757">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E39030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圆形基础底面直径D</w:t>
                  </w:r>
                </w:p>
              </w:tc>
              <w:tc>
                <w:tcPr>
                  <w:tcW w:w="1000" w:type="dxa"/>
                  <w:tcBorders>
                    <w:tl2br w:val="nil"/>
                    <w:tr2bl w:val="nil"/>
                  </w:tcBorders>
                  <w:vAlign w:val="center"/>
                </w:tcPr>
                <w:p w14:paraId="4B48C24D">
                  <w:pPr>
                    <w:spacing w:line="320" w:lineRule="exact"/>
                    <w:jc w:val="center"/>
                    <w:rPr>
                      <w:szCs w:val="21"/>
                    </w:rPr>
                  </w:pPr>
                  <w:r>
                    <w:rPr>
                      <w:szCs w:val="21"/>
                    </w:rPr>
                    <w:t>m</w:t>
                  </w:r>
                </w:p>
              </w:tc>
              <w:tc>
                <w:tcPr>
                  <w:tcW w:w="2398" w:type="dxa"/>
                  <w:tcBorders>
                    <w:tl2br w:val="nil"/>
                    <w:tr2bl w:val="nil"/>
                  </w:tcBorders>
                  <w:vAlign w:val="center"/>
                </w:tcPr>
                <w:p w14:paraId="02ED955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12</w:t>
                  </w:r>
                </w:p>
              </w:tc>
              <w:tc>
                <w:tcPr>
                  <w:tcW w:w="1315" w:type="dxa"/>
                  <w:tcBorders>
                    <w:tl2br w:val="nil"/>
                    <w:tr2bl w:val="nil"/>
                  </w:tcBorders>
                  <w:vAlign w:val="center"/>
                </w:tcPr>
                <w:p w14:paraId="499DC2C2">
                  <w:pPr>
                    <w:spacing w:line="320" w:lineRule="exact"/>
                    <w:jc w:val="center"/>
                    <w:rPr>
                      <w:szCs w:val="21"/>
                    </w:rPr>
                  </w:pPr>
                </w:p>
              </w:tc>
            </w:tr>
            <w:tr w14:paraId="37A3556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87235F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4C22F4D">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BE9056E">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6658C7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基础圆台顶面半径R1</w:t>
                  </w:r>
                </w:p>
              </w:tc>
              <w:tc>
                <w:tcPr>
                  <w:tcW w:w="1000" w:type="dxa"/>
                  <w:tcBorders>
                    <w:tl2br w:val="nil"/>
                    <w:tr2bl w:val="nil"/>
                  </w:tcBorders>
                  <w:vAlign w:val="center"/>
                </w:tcPr>
                <w:p w14:paraId="52CD5C2A">
                  <w:pPr>
                    <w:spacing w:line="320" w:lineRule="exact"/>
                    <w:jc w:val="center"/>
                    <w:rPr>
                      <w:szCs w:val="21"/>
                    </w:rPr>
                  </w:pPr>
                  <w:r>
                    <w:rPr>
                      <w:szCs w:val="21"/>
                    </w:rPr>
                    <w:t>m</w:t>
                  </w:r>
                </w:p>
              </w:tc>
              <w:tc>
                <w:tcPr>
                  <w:tcW w:w="2398" w:type="dxa"/>
                  <w:tcBorders>
                    <w:tl2br w:val="nil"/>
                    <w:tr2bl w:val="nil"/>
                  </w:tcBorders>
                  <w:vAlign w:val="center"/>
                </w:tcPr>
                <w:p w14:paraId="7435648C">
                  <w:pPr>
                    <w:spacing w:line="320" w:lineRule="exact"/>
                    <w:jc w:val="center"/>
                    <w:rPr>
                      <w:szCs w:val="21"/>
                    </w:rPr>
                  </w:pPr>
                  <w:r>
                    <w:rPr>
                      <w:szCs w:val="21"/>
                    </w:rPr>
                    <w:t>6</w:t>
                  </w:r>
                </w:p>
              </w:tc>
              <w:tc>
                <w:tcPr>
                  <w:tcW w:w="1315" w:type="dxa"/>
                  <w:tcBorders>
                    <w:tl2br w:val="nil"/>
                    <w:tr2bl w:val="nil"/>
                  </w:tcBorders>
                  <w:vAlign w:val="center"/>
                </w:tcPr>
                <w:p w14:paraId="2148C4F4">
                  <w:pPr>
                    <w:spacing w:line="320" w:lineRule="exact"/>
                    <w:jc w:val="center"/>
                    <w:rPr>
                      <w:szCs w:val="21"/>
                    </w:rPr>
                  </w:pPr>
                </w:p>
              </w:tc>
            </w:tr>
            <w:tr w14:paraId="414488F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284AB7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58CA0E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435C9FC">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6FA3ECF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台柱半径R2</w:t>
                  </w:r>
                </w:p>
              </w:tc>
              <w:tc>
                <w:tcPr>
                  <w:tcW w:w="1000" w:type="dxa"/>
                  <w:tcBorders>
                    <w:tl2br w:val="nil"/>
                    <w:tr2bl w:val="nil"/>
                  </w:tcBorders>
                  <w:vAlign w:val="center"/>
                </w:tcPr>
                <w:p w14:paraId="22FE531F">
                  <w:pPr>
                    <w:spacing w:line="320" w:lineRule="exact"/>
                    <w:jc w:val="center"/>
                    <w:rPr>
                      <w:szCs w:val="21"/>
                    </w:rPr>
                  </w:pPr>
                  <w:r>
                    <w:rPr>
                      <w:szCs w:val="21"/>
                    </w:rPr>
                    <w:t>m</w:t>
                  </w:r>
                </w:p>
              </w:tc>
              <w:tc>
                <w:tcPr>
                  <w:tcW w:w="2398" w:type="dxa"/>
                  <w:tcBorders>
                    <w:tl2br w:val="nil"/>
                    <w:tr2bl w:val="nil"/>
                  </w:tcBorders>
                  <w:vAlign w:val="center"/>
                </w:tcPr>
                <w:p w14:paraId="3BCFB29F">
                  <w:pPr>
                    <w:spacing w:line="320" w:lineRule="exact"/>
                    <w:jc w:val="center"/>
                    <w:rPr>
                      <w:szCs w:val="21"/>
                    </w:rPr>
                  </w:pPr>
                  <w:r>
                    <w:rPr>
                      <w:szCs w:val="21"/>
                    </w:rPr>
                    <w:t>6</w:t>
                  </w:r>
                </w:p>
              </w:tc>
              <w:tc>
                <w:tcPr>
                  <w:tcW w:w="1315" w:type="dxa"/>
                  <w:tcBorders>
                    <w:tl2br w:val="nil"/>
                    <w:tr2bl w:val="nil"/>
                  </w:tcBorders>
                  <w:vAlign w:val="center"/>
                </w:tcPr>
                <w:p w14:paraId="1EE6FD5E">
                  <w:pPr>
                    <w:spacing w:line="320" w:lineRule="exact"/>
                    <w:jc w:val="center"/>
                    <w:rPr>
                      <w:szCs w:val="21"/>
                    </w:rPr>
                  </w:pPr>
                </w:p>
              </w:tc>
            </w:tr>
            <w:tr w14:paraId="3464246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8904C7B">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1EEFAE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5E4AD9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9BA877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基础底板外缘高度H1</w:t>
                  </w:r>
                </w:p>
              </w:tc>
              <w:tc>
                <w:tcPr>
                  <w:tcW w:w="1000" w:type="dxa"/>
                  <w:tcBorders>
                    <w:tl2br w:val="nil"/>
                    <w:tr2bl w:val="nil"/>
                  </w:tcBorders>
                  <w:vAlign w:val="center"/>
                </w:tcPr>
                <w:p w14:paraId="7747D76B">
                  <w:pPr>
                    <w:spacing w:line="320" w:lineRule="exact"/>
                    <w:jc w:val="center"/>
                    <w:rPr>
                      <w:szCs w:val="21"/>
                    </w:rPr>
                  </w:pPr>
                  <w:r>
                    <w:rPr>
                      <w:szCs w:val="21"/>
                    </w:rPr>
                    <w:t>m</w:t>
                  </w:r>
                </w:p>
              </w:tc>
              <w:tc>
                <w:tcPr>
                  <w:tcW w:w="2398" w:type="dxa"/>
                  <w:tcBorders>
                    <w:tl2br w:val="nil"/>
                    <w:tr2bl w:val="nil"/>
                  </w:tcBorders>
                  <w:vAlign w:val="center"/>
                </w:tcPr>
                <w:p w14:paraId="5D9A07BC">
                  <w:pPr>
                    <w:spacing w:line="320" w:lineRule="exact"/>
                    <w:jc w:val="center"/>
                    <w:rPr>
                      <w:szCs w:val="21"/>
                    </w:rPr>
                  </w:pPr>
                  <w:r>
                    <w:rPr>
                      <w:szCs w:val="21"/>
                    </w:rPr>
                    <w:t>1</w:t>
                  </w:r>
                </w:p>
              </w:tc>
              <w:tc>
                <w:tcPr>
                  <w:tcW w:w="1315" w:type="dxa"/>
                  <w:tcBorders>
                    <w:tl2br w:val="nil"/>
                    <w:tr2bl w:val="nil"/>
                  </w:tcBorders>
                  <w:vAlign w:val="center"/>
                </w:tcPr>
                <w:p w14:paraId="4A9F1EA1">
                  <w:pPr>
                    <w:spacing w:line="320" w:lineRule="exact"/>
                    <w:jc w:val="center"/>
                    <w:rPr>
                      <w:szCs w:val="21"/>
                    </w:rPr>
                  </w:pPr>
                </w:p>
              </w:tc>
            </w:tr>
            <w:tr w14:paraId="31F5E3F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2E40BD47">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BA68B88">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FB58349">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A08F2E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基础底板圆台高度H2</w:t>
                  </w:r>
                </w:p>
              </w:tc>
              <w:tc>
                <w:tcPr>
                  <w:tcW w:w="1000" w:type="dxa"/>
                  <w:tcBorders>
                    <w:tl2br w:val="nil"/>
                    <w:tr2bl w:val="nil"/>
                  </w:tcBorders>
                  <w:vAlign w:val="center"/>
                </w:tcPr>
                <w:p w14:paraId="05C41F62">
                  <w:pPr>
                    <w:spacing w:line="320" w:lineRule="exact"/>
                    <w:jc w:val="center"/>
                    <w:rPr>
                      <w:szCs w:val="21"/>
                    </w:rPr>
                  </w:pPr>
                  <w:r>
                    <w:rPr>
                      <w:szCs w:val="21"/>
                    </w:rPr>
                    <w:t>m</w:t>
                  </w:r>
                </w:p>
              </w:tc>
              <w:tc>
                <w:tcPr>
                  <w:tcW w:w="2398" w:type="dxa"/>
                  <w:tcBorders>
                    <w:tl2br w:val="nil"/>
                    <w:tr2bl w:val="nil"/>
                  </w:tcBorders>
                  <w:vAlign w:val="center"/>
                </w:tcPr>
                <w:p w14:paraId="10284B6B">
                  <w:pPr>
                    <w:spacing w:line="320" w:lineRule="exact"/>
                    <w:jc w:val="center"/>
                    <w:rPr>
                      <w:szCs w:val="21"/>
                    </w:rPr>
                  </w:pPr>
                  <w:r>
                    <w:rPr>
                      <w:szCs w:val="21"/>
                    </w:rPr>
                    <w:t>1.5</w:t>
                  </w:r>
                </w:p>
              </w:tc>
              <w:tc>
                <w:tcPr>
                  <w:tcW w:w="1315" w:type="dxa"/>
                  <w:tcBorders>
                    <w:tl2br w:val="nil"/>
                    <w:tr2bl w:val="nil"/>
                  </w:tcBorders>
                  <w:vAlign w:val="center"/>
                </w:tcPr>
                <w:p w14:paraId="0C1B9781">
                  <w:pPr>
                    <w:spacing w:line="320" w:lineRule="exact"/>
                    <w:jc w:val="center"/>
                    <w:rPr>
                      <w:szCs w:val="21"/>
                    </w:rPr>
                  </w:pPr>
                </w:p>
              </w:tc>
            </w:tr>
            <w:tr w14:paraId="40B8798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833788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A22D35B">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4DB556ED">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76309F0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台柱高度H3</w:t>
                  </w:r>
                </w:p>
              </w:tc>
              <w:tc>
                <w:tcPr>
                  <w:tcW w:w="1000" w:type="dxa"/>
                  <w:tcBorders>
                    <w:tl2br w:val="nil"/>
                    <w:tr2bl w:val="nil"/>
                  </w:tcBorders>
                  <w:vAlign w:val="center"/>
                </w:tcPr>
                <w:p w14:paraId="58F1816B">
                  <w:pPr>
                    <w:spacing w:line="320" w:lineRule="exact"/>
                    <w:jc w:val="center"/>
                    <w:rPr>
                      <w:szCs w:val="21"/>
                    </w:rPr>
                  </w:pPr>
                  <w:r>
                    <w:rPr>
                      <w:szCs w:val="21"/>
                    </w:rPr>
                    <w:t>m</w:t>
                  </w:r>
                </w:p>
              </w:tc>
              <w:tc>
                <w:tcPr>
                  <w:tcW w:w="2398" w:type="dxa"/>
                  <w:tcBorders>
                    <w:tl2br w:val="nil"/>
                    <w:tr2bl w:val="nil"/>
                  </w:tcBorders>
                  <w:vAlign w:val="center"/>
                </w:tcPr>
                <w:p w14:paraId="5A2F566F">
                  <w:pPr>
                    <w:spacing w:line="320" w:lineRule="exact"/>
                    <w:jc w:val="center"/>
                    <w:rPr>
                      <w:szCs w:val="21"/>
                    </w:rPr>
                  </w:pPr>
                  <w:r>
                    <w:rPr>
                      <w:szCs w:val="21"/>
                    </w:rPr>
                    <w:t>0.5</w:t>
                  </w:r>
                </w:p>
              </w:tc>
              <w:tc>
                <w:tcPr>
                  <w:tcW w:w="1315" w:type="dxa"/>
                  <w:tcBorders>
                    <w:tl2br w:val="nil"/>
                    <w:tr2bl w:val="nil"/>
                  </w:tcBorders>
                  <w:vAlign w:val="center"/>
                </w:tcPr>
                <w:p w14:paraId="29CE535A">
                  <w:pPr>
                    <w:spacing w:line="320" w:lineRule="exact"/>
                    <w:jc w:val="center"/>
                    <w:rPr>
                      <w:szCs w:val="21"/>
                    </w:rPr>
                  </w:pPr>
                </w:p>
              </w:tc>
            </w:tr>
            <w:tr w14:paraId="2D0312D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6BA8CD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57AE124">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DFDEFBC">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DBDDA9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基础埋深</w:t>
                  </w:r>
                </w:p>
              </w:tc>
              <w:tc>
                <w:tcPr>
                  <w:tcW w:w="1000" w:type="dxa"/>
                  <w:tcBorders>
                    <w:tl2br w:val="nil"/>
                    <w:tr2bl w:val="nil"/>
                  </w:tcBorders>
                  <w:vAlign w:val="center"/>
                </w:tcPr>
                <w:p w14:paraId="79D29A3B">
                  <w:pPr>
                    <w:spacing w:line="320" w:lineRule="exact"/>
                    <w:jc w:val="center"/>
                    <w:rPr>
                      <w:szCs w:val="21"/>
                    </w:rPr>
                  </w:pPr>
                  <w:r>
                    <w:rPr>
                      <w:szCs w:val="21"/>
                    </w:rPr>
                    <w:t>m</w:t>
                  </w:r>
                </w:p>
              </w:tc>
              <w:tc>
                <w:tcPr>
                  <w:tcW w:w="2398" w:type="dxa"/>
                  <w:tcBorders>
                    <w:tl2br w:val="nil"/>
                    <w:tr2bl w:val="nil"/>
                  </w:tcBorders>
                  <w:vAlign w:val="center"/>
                </w:tcPr>
                <w:p w14:paraId="4085A40C">
                  <w:pPr>
                    <w:spacing w:line="320" w:lineRule="exact"/>
                    <w:jc w:val="center"/>
                    <w:rPr>
                      <w:szCs w:val="21"/>
                    </w:rPr>
                  </w:pPr>
                  <w:r>
                    <w:rPr>
                      <w:szCs w:val="21"/>
                    </w:rPr>
                    <w:t>4.5</w:t>
                  </w:r>
                </w:p>
              </w:tc>
              <w:tc>
                <w:tcPr>
                  <w:tcW w:w="1315" w:type="dxa"/>
                  <w:tcBorders>
                    <w:tl2br w:val="nil"/>
                    <w:tr2bl w:val="nil"/>
                  </w:tcBorders>
                  <w:vAlign w:val="center"/>
                </w:tcPr>
                <w:p w14:paraId="0CD08882">
                  <w:pPr>
                    <w:spacing w:line="320" w:lineRule="exact"/>
                    <w:jc w:val="center"/>
                    <w:rPr>
                      <w:szCs w:val="21"/>
                    </w:rPr>
                  </w:pPr>
                </w:p>
              </w:tc>
            </w:tr>
            <w:tr w14:paraId="5EDE700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470" w:hRule="atLeast"/>
                <w:jc w:val="center"/>
              </w:trPr>
              <w:tc>
                <w:tcPr>
                  <w:tcW w:w="679" w:type="dxa"/>
                  <w:vMerge w:val="continue"/>
                  <w:tcBorders>
                    <w:tl2br w:val="nil"/>
                    <w:tr2bl w:val="nil"/>
                  </w:tcBorders>
                  <w:vAlign w:val="center"/>
                </w:tcPr>
                <w:p w14:paraId="34EC3A48">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C94BA65">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2E864C1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箱式变压器</w:t>
                  </w:r>
                </w:p>
              </w:tc>
              <w:tc>
                <w:tcPr>
                  <w:tcW w:w="1345" w:type="dxa"/>
                  <w:gridSpan w:val="2"/>
                  <w:tcBorders>
                    <w:tl2br w:val="nil"/>
                    <w:tr2bl w:val="nil"/>
                  </w:tcBorders>
                  <w:vAlign w:val="center"/>
                </w:tcPr>
                <w:p w14:paraId="11F92B5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套数</w:t>
                  </w:r>
                </w:p>
              </w:tc>
              <w:tc>
                <w:tcPr>
                  <w:tcW w:w="1000" w:type="dxa"/>
                  <w:tcBorders>
                    <w:tl2br w:val="nil"/>
                    <w:tr2bl w:val="nil"/>
                  </w:tcBorders>
                  <w:vAlign w:val="center"/>
                </w:tcPr>
                <w:p w14:paraId="12E8B6B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套</w:t>
                  </w:r>
                </w:p>
              </w:tc>
              <w:tc>
                <w:tcPr>
                  <w:tcW w:w="2398" w:type="dxa"/>
                  <w:tcBorders>
                    <w:tl2br w:val="nil"/>
                    <w:tr2bl w:val="nil"/>
                  </w:tcBorders>
                  <w:vAlign w:val="center"/>
                </w:tcPr>
                <w:p w14:paraId="49DE75D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46</w:t>
                  </w:r>
                </w:p>
              </w:tc>
              <w:tc>
                <w:tcPr>
                  <w:tcW w:w="1315" w:type="dxa"/>
                  <w:tcBorders>
                    <w:tl2br w:val="nil"/>
                    <w:tr2bl w:val="nil"/>
                  </w:tcBorders>
                  <w:vAlign w:val="center"/>
                </w:tcPr>
                <w:p w14:paraId="31738D2C">
                  <w:pPr>
                    <w:spacing w:line="320" w:lineRule="exact"/>
                    <w:jc w:val="center"/>
                    <w:rPr>
                      <w:szCs w:val="21"/>
                    </w:rPr>
                  </w:pPr>
                  <w:r>
                    <w:rPr>
                      <w:szCs w:val="21"/>
                    </w:rPr>
                    <w:t>型号S20-8500</w:t>
                  </w:r>
                </w:p>
              </w:tc>
            </w:tr>
            <w:tr w14:paraId="70DFD63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470" w:hRule="atLeast"/>
                <w:jc w:val="center"/>
              </w:trPr>
              <w:tc>
                <w:tcPr>
                  <w:tcW w:w="679" w:type="dxa"/>
                  <w:vMerge w:val="continue"/>
                  <w:tcBorders>
                    <w:tl2br w:val="nil"/>
                    <w:tr2bl w:val="nil"/>
                  </w:tcBorders>
                  <w:vAlign w:val="center"/>
                </w:tcPr>
                <w:p w14:paraId="70C45F11">
                  <w:pPr>
                    <w:spacing w:line="320" w:lineRule="exact"/>
                    <w:jc w:val="center"/>
                  </w:pPr>
                </w:p>
              </w:tc>
              <w:tc>
                <w:tcPr>
                  <w:tcW w:w="568" w:type="dxa"/>
                  <w:vMerge w:val="continue"/>
                  <w:tcBorders>
                    <w:tl2br w:val="nil"/>
                    <w:tr2bl w:val="nil"/>
                  </w:tcBorders>
                  <w:vAlign w:val="center"/>
                </w:tcPr>
                <w:p w14:paraId="757BF8A8">
                  <w:pPr>
                    <w:spacing w:line="320" w:lineRule="exact"/>
                    <w:jc w:val="center"/>
                  </w:pPr>
                </w:p>
              </w:tc>
              <w:tc>
                <w:tcPr>
                  <w:tcW w:w="632" w:type="dxa"/>
                  <w:vMerge w:val="continue"/>
                  <w:tcBorders>
                    <w:tl2br w:val="nil"/>
                    <w:tr2bl w:val="nil"/>
                  </w:tcBorders>
                  <w:vAlign w:val="center"/>
                </w:tcPr>
                <w:p w14:paraId="6172120B">
                  <w:pPr>
                    <w:spacing w:line="320" w:lineRule="exact"/>
                    <w:jc w:val="center"/>
                  </w:pPr>
                </w:p>
              </w:tc>
              <w:tc>
                <w:tcPr>
                  <w:tcW w:w="1345" w:type="dxa"/>
                  <w:gridSpan w:val="2"/>
                  <w:tcBorders>
                    <w:tl2br w:val="nil"/>
                    <w:tr2bl w:val="nil"/>
                  </w:tcBorders>
                  <w:vAlign w:val="center"/>
                </w:tcPr>
                <w:p w14:paraId="4F2E5FE0">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冷却形式</w:t>
                  </w:r>
                </w:p>
              </w:tc>
              <w:tc>
                <w:tcPr>
                  <w:tcW w:w="1000" w:type="dxa"/>
                  <w:tcBorders>
                    <w:tl2br w:val="nil"/>
                    <w:tr2bl w:val="nil"/>
                  </w:tcBorders>
                  <w:vAlign w:val="center"/>
                </w:tcPr>
                <w:p w14:paraId="299B187F">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w:t>
                  </w:r>
                </w:p>
              </w:tc>
              <w:tc>
                <w:tcPr>
                  <w:tcW w:w="2398" w:type="dxa"/>
                  <w:tcBorders>
                    <w:tl2br w:val="nil"/>
                    <w:tr2bl w:val="nil"/>
                  </w:tcBorders>
                  <w:vAlign w:val="center"/>
                </w:tcPr>
                <w:p w14:paraId="019DE17F">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油浸式</w:t>
                  </w:r>
                </w:p>
              </w:tc>
              <w:tc>
                <w:tcPr>
                  <w:tcW w:w="1315" w:type="dxa"/>
                  <w:tcBorders>
                    <w:tl2br w:val="nil"/>
                    <w:tr2bl w:val="nil"/>
                  </w:tcBorders>
                  <w:vAlign w:val="center"/>
                </w:tcPr>
                <w:p w14:paraId="19D65486">
                  <w:pPr>
                    <w:spacing w:line="320" w:lineRule="exact"/>
                    <w:jc w:val="center"/>
                    <w:rPr>
                      <w:szCs w:val="21"/>
                    </w:rPr>
                  </w:pPr>
                </w:p>
              </w:tc>
            </w:tr>
            <w:tr w14:paraId="226DA7B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DF3E740">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ED158B3">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61CC026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集电线路</w:t>
                  </w:r>
                </w:p>
              </w:tc>
              <w:tc>
                <w:tcPr>
                  <w:tcW w:w="1345" w:type="dxa"/>
                  <w:gridSpan w:val="2"/>
                  <w:tcBorders>
                    <w:tl2br w:val="nil"/>
                    <w:tr2bl w:val="nil"/>
                  </w:tcBorders>
                  <w:vAlign w:val="center"/>
                </w:tcPr>
                <w:p w14:paraId="69A0150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电压等级</w:t>
                  </w:r>
                </w:p>
              </w:tc>
              <w:tc>
                <w:tcPr>
                  <w:tcW w:w="1000" w:type="dxa"/>
                  <w:tcBorders>
                    <w:tl2br w:val="nil"/>
                    <w:tr2bl w:val="nil"/>
                  </w:tcBorders>
                  <w:vAlign w:val="center"/>
                </w:tcPr>
                <w:p w14:paraId="7B9D388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kV</w:t>
                  </w:r>
                </w:p>
              </w:tc>
              <w:tc>
                <w:tcPr>
                  <w:tcW w:w="2398" w:type="dxa"/>
                  <w:tcBorders>
                    <w:tl2br w:val="nil"/>
                    <w:tr2bl w:val="nil"/>
                  </w:tcBorders>
                  <w:vAlign w:val="center"/>
                </w:tcPr>
                <w:p w14:paraId="0D3B4D6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35</w:t>
                  </w:r>
                </w:p>
              </w:tc>
              <w:tc>
                <w:tcPr>
                  <w:tcW w:w="1315" w:type="dxa"/>
                  <w:tcBorders>
                    <w:tl2br w:val="nil"/>
                    <w:tr2bl w:val="nil"/>
                  </w:tcBorders>
                  <w:vAlign w:val="center"/>
                </w:tcPr>
                <w:p w14:paraId="74AFF3CD">
                  <w:pPr>
                    <w:spacing w:line="320" w:lineRule="exact"/>
                    <w:jc w:val="center"/>
                    <w:rPr>
                      <w:szCs w:val="21"/>
                    </w:rPr>
                  </w:pPr>
                </w:p>
              </w:tc>
            </w:tr>
            <w:tr w14:paraId="206E30E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688E05D9">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E4F7FF2">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79AA7A3">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5F28036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回路数</w:t>
                  </w:r>
                </w:p>
              </w:tc>
              <w:tc>
                <w:tcPr>
                  <w:tcW w:w="1000" w:type="dxa"/>
                  <w:tcBorders>
                    <w:tl2br w:val="nil"/>
                    <w:tr2bl w:val="nil"/>
                  </w:tcBorders>
                  <w:vAlign w:val="center"/>
                </w:tcPr>
                <w:p w14:paraId="5B14D66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w:t>
                  </w:r>
                </w:p>
              </w:tc>
              <w:tc>
                <w:tcPr>
                  <w:tcW w:w="2398" w:type="dxa"/>
                  <w:tcBorders>
                    <w:tl2br w:val="nil"/>
                    <w:tr2bl w:val="nil"/>
                  </w:tcBorders>
                  <w:vAlign w:val="center"/>
                </w:tcPr>
                <w:p w14:paraId="6E0C8E9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8</w:t>
                  </w:r>
                </w:p>
              </w:tc>
              <w:tc>
                <w:tcPr>
                  <w:tcW w:w="1315" w:type="dxa"/>
                  <w:tcBorders>
                    <w:tl2br w:val="nil"/>
                    <w:tr2bl w:val="nil"/>
                  </w:tcBorders>
                  <w:vAlign w:val="center"/>
                </w:tcPr>
                <w:p w14:paraId="6CBA0295">
                  <w:pPr>
                    <w:spacing w:line="320" w:lineRule="exact"/>
                    <w:jc w:val="center"/>
                    <w:rPr>
                      <w:szCs w:val="21"/>
                    </w:rPr>
                  </w:pPr>
                </w:p>
              </w:tc>
            </w:tr>
            <w:tr w14:paraId="70D75BA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2900594">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9BFEFDA">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05C039D3">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781699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地埋深度</w:t>
                  </w:r>
                </w:p>
              </w:tc>
              <w:tc>
                <w:tcPr>
                  <w:tcW w:w="1000" w:type="dxa"/>
                  <w:tcBorders>
                    <w:tl2br w:val="nil"/>
                    <w:tr2bl w:val="nil"/>
                  </w:tcBorders>
                  <w:vAlign w:val="center"/>
                </w:tcPr>
                <w:p w14:paraId="59A1F7C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7700D8F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w:t>
                  </w:r>
                </w:p>
              </w:tc>
              <w:tc>
                <w:tcPr>
                  <w:tcW w:w="1315" w:type="dxa"/>
                  <w:tcBorders>
                    <w:tl2br w:val="nil"/>
                    <w:tr2bl w:val="nil"/>
                  </w:tcBorders>
                  <w:vAlign w:val="center"/>
                </w:tcPr>
                <w:p w14:paraId="4E39193B">
                  <w:pPr>
                    <w:spacing w:line="320" w:lineRule="exact"/>
                    <w:jc w:val="center"/>
                    <w:rPr>
                      <w:szCs w:val="21"/>
                    </w:rPr>
                  </w:pPr>
                  <w:r>
                    <w:rPr>
                      <w:szCs w:val="21"/>
                    </w:rPr>
                    <w:t>电缆平均地埋深度</w:t>
                  </w:r>
                </w:p>
              </w:tc>
            </w:tr>
            <w:tr w14:paraId="0E11C9D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4D64CE66">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0FD2AD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4A2D930">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FB88D6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架空高度</w:t>
                  </w:r>
                </w:p>
              </w:tc>
              <w:tc>
                <w:tcPr>
                  <w:tcW w:w="1000" w:type="dxa"/>
                  <w:tcBorders>
                    <w:tl2br w:val="nil"/>
                    <w:tr2bl w:val="nil"/>
                  </w:tcBorders>
                  <w:vAlign w:val="center"/>
                </w:tcPr>
                <w:p w14:paraId="25F4116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p>
              </w:tc>
              <w:tc>
                <w:tcPr>
                  <w:tcW w:w="2398" w:type="dxa"/>
                  <w:tcBorders>
                    <w:tl2br w:val="nil"/>
                    <w:tr2bl w:val="nil"/>
                  </w:tcBorders>
                  <w:vAlign w:val="center"/>
                </w:tcPr>
                <w:p w14:paraId="3ADA4C4F">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10-15</w:t>
                  </w:r>
                </w:p>
              </w:tc>
              <w:tc>
                <w:tcPr>
                  <w:tcW w:w="1315" w:type="dxa"/>
                  <w:tcBorders>
                    <w:tl2br w:val="nil"/>
                    <w:tr2bl w:val="nil"/>
                  </w:tcBorders>
                  <w:vAlign w:val="center"/>
                </w:tcPr>
                <w:p w14:paraId="642B28DD">
                  <w:pPr>
                    <w:spacing w:line="320" w:lineRule="exact"/>
                    <w:jc w:val="center"/>
                    <w:rPr>
                      <w:szCs w:val="21"/>
                    </w:rPr>
                  </w:pPr>
                  <w:r>
                    <w:rPr>
                      <w:szCs w:val="21"/>
                    </w:rPr>
                    <w:t>导线平均弧垂高度</w:t>
                  </w:r>
                </w:p>
              </w:tc>
            </w:tr>
            <w:tr w14:paraId="2B954FA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B5A002B">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6073E7F">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4BB3650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铁塔</w:t>
                  </w:r>
                </w:p>
              </w:tc>
              <w:tc>
                <w:tcPr>
                  <w:tcW w:w="1345" w:type="dxa"/>
                  <w:gridSpan w:val="2"/>
                  <w:tcBorders>
                    <w:tl2br w:val="nil"/>
                    <w:tr2bl w:val="nil"/>
                  </w:tcBorders>
                  <w:vAlign w:val="center"/>
                </w:tcPr>
                <w:p w14:paraId="657E0F9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单回路耐张塔</w:t>
                  </w:r>
                </w:p>
              </w:tc>
              <w:tc>
                <w:tcPr>
                  <w:tcW w:w="1000" w:type="dxa"/>
                  <w:tcBorders>
                    <w:tl2br w:val="nil"/>
                    <w:tr2bl w:val="nil"/>
                  </w:tcBorders>
                  <w:vAlign w:val="center"/>
                </w:tcPr>
                <w:p w14:paraId="523E7BA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6F6BBBA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89</w:t>
                  </w:r>
                </w:p>
              </w:tc>
              <w:tc>
                <w:tcPr>
                  <w:tcW w:w="1315" w:type="dxa"/>
                  <w:tcBorders>
                    <w:tl2br w:val="nil"/>
                    <w:tr2bl w:val="nil"/>
                  </w:tcBorders>
                  <w:vAlign w:val="center"/>
                </w:tcPr>
                <w:p w14:paraId="7B2263C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单塔占地面积40.3m</w:t>
                  </w:r>
                  <w:r>
                    <w:rPr>
                      <w:rFonts w:ascii="Times New Roman" w:hAnsi="Times New Roman"/>
                      <w:sz w:val="21"/>
                      <w:szCs w:val="21"/>
                      <w:vertAlign w:val="superscript"/>
                    </w:rPr>
                    <w:t>2</w:t>
                  </w:r>
                </w:p>
              </w:tc>
            </w:tr>
            <w:tr w14:paraId="1FEFFE6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8ECB688">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182F3D86">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46AB6FE4">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57769EC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单回路直线塔</w:t>
                  </w:r>
                </w:p>
              </w:tc>
              <w:tc>
                <w:tcPr>
                  <w:tcW w:w="1000" w:type="dxa"/>
                  <w:tcBorders>
                    <w:tl2br w:val="nil"/>
                    <w:tr2bl w:val="nil"/>
                  </w:tcBorders>
                  <w:vAlign w:val="center"/>
                </w:tcPr>
                <w:p w14:paraId="36D2472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02B9B0A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105</w:t>
                  </w:r>
                </w:p>
              </w:tc>
              <w:tc>
                <w:tcPr>
                  <w:tcW w:w="1315" w:type="dxa"/>
                  <w:tcBorders>
                    <w:tl2br w:val="nil"/>
                    <w:tr2bl w:val="nil"/>
                  </w:tcBorders>
                  <w:vAlign w:val="center"/>
                </w:tcPr>
                <w:p w14:paraId="1ED63625">
                  <w:pPr>
                    <w:spacing w:line="320" w:lineRule="exact"/>
                    <w:jc w:val="center"/>
                    <w:rPr>
                      <w:szCs w:val="21"/>
                    </w:rPr>
                  </w:pPr>
                  <w:r>
                    <w:rPr>
                      <w:szCs w:val="21"/>
                    </w:rPr>
                    <w:t>单塔占地面积32.5m</w:t>
                  </w:r>
                  <w:r>
                    <w:rPr>
                      <w:szCs w:val="21"/>
                      <w:vertAlign w:val="superscript"/>
                    </w:rPr>
                    <w:t>2</w:t>
                  </w:r>
                </w:p>
              </w:tc>
            </w:tr>
            <w:tr w14:paraId="08D8D2E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28ED23A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8137372">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C650B03">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0516D860">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双回路耐张塔</w:t>
                  </w:r>
                </w:p>
              </w:tc>
              <w:tc>
                <w:tcPr>
                  <w:tcW w:w="1000" w:type="dxa"/>
                  <w:tcBorders>
                    <w:tl2br w:val="nil"/>
                    <w:tr2bl w:val="nil"/>
                  </w:tcBorders>
                  <w:vAlign w:val="center"/>
                </w:tcPr>
                <w:p w14:paraId="1DE46B1C">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7C2A5106">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125</w:t>
                  </w:r>
                </w:p>
              </w:tc>
              <w:tc>
                <w:tcPr>
                  <w:tcW w:w="1315" w:type="dxa"/>
                  <w:tcBorders>
                    <w:tl2br w:val="nil"/>
                    <w:tr2bl w:val="nil"/>
                  </w:tcBorders>
                  <w:vAlign w:val="center"/>
                </w:tcPr>
                <w:p w14:paraId="7D08E048">
                  <w:pPr>
                    <w:spacing w:line="320" w:lineRule="exact"/>
                    <w:jc w:val="center"/>
                    <w:rPr>
                      <w:szCs w:val="21"/>
                    </w:rPr>
                  </w:pPr>
                  <w:r>
                    <w:rPr>
                      <w:szCs w:val="21"/>
                    </w:rPr>
                    <w:t>单塔占地面积66.3m</w:t>
                  </w:r>
                  <w:r>
                    <w:rPr>
                      <w:szCs w:val="21"/>
                      <w:vertAlign w:val="superscript"/>
                    </w:rPr>
                    <w:t>2</w:t>
                  </w:r>
                </w:p>
              </w:tc>
            </w:tr>
            <w:tr w14:paraId="17C6F8D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D3ADD28">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73BC0755">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8E076DE">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3589015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双回路直线塔</w:t>
                  </w:r>
                </w:p>
              </w:tc>
              <w:tc>
                <w:tcPr>
                  <w:tcW w:w="1000" w:type="dxa"/>
                  <w:tcBorders>
                    <w:tl2br w:val="nil"/>
                    <w:tr2bl w:val="nil"/>
                  </w:tcBorders>
                  <w:vAlign w:val="center"/>
                </w:tcPr>
                <w:p w14:paraId="72475CB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w:t>
                  </w:r>
                </w:p>
              </w:tc>
              <w:tc>
                <w:tcPr>
                  <w:tcW w:w="2398" w:type="dxa"/>
                  <w:tcBorders>
                    <w:tl2br w:val="nil"/>
                    <w:tr2bl w:val="nil"/>
                  </w:tcBorders>
                </w:tcPr>
                <w:p w14:paraId="2EF6A4F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149</w:t>
                  </w:r>
                </w:p>
              </w:tc>
              <w:tc>
                <w:tcPr>
                  <w:tcW w:w="1315" w:type="dxa"/>
                  <w:tcBorders>
                    <w:tl2br w:val="nil"/>
                    <w:tr2bl w:val="nil"/>
                  </w:tcBorders>
                  <w:vAlign w:val="center"/>
                </w:tcPr>
                <w:p w14:paraId="2FBB43E8">
                  <w:pPr>
                    <w:spacing w:line="320" w:lineRule="exact"/>
                    <w:jc w:val="center"/>
                    <w:rPr>
                      <w:szCs w:val="21"/>
                    </w:rPr>
                  </w:pPr>
                  <w:r>
                    <w:rPr>
                      <w:szCs w:val="21"/>
                    </w:rPr>
                    <w:t>单塔占地面积51.1m</w:t>
                  </w:r>
                  <w:r>
                    <w:rPr>
                      <w:szCs w:val="21"/>
                      <w:vertAlign w:val="superscript"/>
                    </w:rPr>
                    <w:t>2</w:t>
                  </w:r>
                </w:p>
              </w:tc>
            </w:tr>
            <w:tr w14:paraId="5A0908E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CD33CA0">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591B8F3E">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2E549B8">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627560E5">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基础埋深</w:t>
                  </w:r>
                </w:p>
              </w:tc>
              <w:tc>
                <w:tcPr>
                  <w:tcW w:w="1000" w:type="dxa"/>
                  <w:tcBorders>
                    <w:tl2br w:val="nil"/>
                    <w:tr2bl w:val="nil"/>
                  </w:tcBorders>
                  <w:vAlign w:val="center"/>
                </w:tcPr>
                <w:p w14:paraId="01C5884E">
                  <w:pPr>
                    <w:spacing w:line="320" w:lineRule="exact"/>
                    <w:jc w:val="center"/>
                    <w:rPr>
                      <w:szCs w:val="21"/>
                    </w:rPr>
                  </w:pPr>
                  <w:r>
                    <w:rPr>
                      <w:szCs w:val="21"/>
                    </w:rPr>
                    <w:t>mm</w:t>
                  </w:r>
                </w:p>
              </w:tc>
              <w:tc>
                <w:tcPr>
                  <w:tcW w:w="2398" w:type="dxa"/>
                  <w:tcBorders>
                    <w:tl2br w:val="nil"/>
                    <w:tr2bl w:val="nil"/>
                  </w:tcBorders>
                  <w:vAlign w:val="center"/>
                </w:tcPr>
                <w:p w14:paraId="6F74B75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7500</w:t>
                  </w:r>
                </w:p>
              </w:tc>
              <w:tc>
                <w:tcPr>
                  <w:tcW w:w="1315" w:type="dxa"/>
                  <w:tcBorders>
                    <w:tl2br w:val="nil"/>
                    <w:tr2bl w:val="nil"/>
                  </w:tcBorders>
                  <w:vAlign w:val="center"/>
                </w:tcPr>
                <w:p w14:paraId="64AEB532">
                  <w:pPr>
                    <w:spacing w:line="320" w:lineRule="exact"/>
                    <w:jc w:val="center"/>
                    <w:rPr>
                      <w:szCs w:val="21"/>
                    </w:rPr>
                  </w:pPr>
                  <w:r>
                    <w:rPr>
                      <w:szCs w:val="21"/>
                    </w:rPr>
                    <w:t>平均基础埋深</w:t>
                  </w:r>
                </w:p>
              </w:tc>
            </w:tr>
            <w:tr w14:paraId="1188DE7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33416D6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20F4A55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1A5B85C6">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2F01F6E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高度</w:t>
                  </w:r>
                </w:p>
              </w:tc>
              <w:tc>
                <w:tcPr>
                  <w:tcW w:w="1000" w:type="dxa"/>
                  <w:tcBorders>
                    <w:tl2br w:val="nil"/>
                    <w:tr2bl w:val="nil"/>
                  </w:tcBorders>
                  <w:vAlign w:val="center"/>
                </w:tcPr>
                <w:p w14:paraId="1364A0E5">
                  <w:pPr>
                    <w:spacing w:line="320" w:lineRule="exact"/>
                    <w:jc w:val="center"/>
                    <w:rPr>
                      <w:szCs w:val="21"/>
                    </w:rPr>
                  </w:pPr>
                  <w:r>
                    <w:rPr>
                      <w:szCs w:val="21"/>
                    </w:rPr>
                    <w:t>m</w:t>
                  </w:r>
                </w:p>
              </w:tc>
              <w:tc>
                <w:tcPr>
                  <w:tcW w:w="2398" w:type="dxa"/>
                  <w:tcBorders>
                    <w:tl2br w:val="nil"/>
                    <w:tr2bl w:val="nil"/>
                  </w:tcBorders>
                  <w:vAlign w:val="center"/>
                </w:tcPr>
                <w:p w14:paraId="400BF45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单回单导线直线塔：33.4</w:t>
                  </w:r>
                </w:p>
                <w:p w14:paraId="1987B31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耐张塔：27.8-</w:t>
                  </w:r>
                </w:p>
                <w:p w14:paraId="2C757478">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双回单导线直线塔：37.6</w:t>
                  </w:r>
                </w:p>
                <w:p w14:paraId="65C7A37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耐张塔：32.8-</w:t>
                  </w:r>
                </w:p>
                <w:p w14:paraId="7369B5C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单回双分裂直线塔：35.2</w:t>
                  </w:r>
                </w:p>
                <w:p w14:paraId="1E3FBCB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耐张塔：28-</w:t>
                  </w:r>
                </w:p>
                <w:p w14:paraId="22CC2594">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双回双分裂直线塔：39.6耐张塔：33.9-</w:t>
                  </w:r>
                </w:p>
              </w:tc>
              <w:tc>
                <w:tcPr>
                  <w:tcW w:w="1315" w:type="dxa"/>
                  <w:tcBorders>
                    <w:tl2br w:val="nil"/>
                    <w:tr2bl w:val="nil"/>
                  </w:tcBorders>
                  <w:vAlign w:val="center"/>
                </w:tcPr>
                <w:p w14:paraId="1F6F647F">
                  <w:pPr>
                    <w:spacing w:line="320" w:lineRule="exact"/>
                    <w:jc w:val="center"/>
                    <w:rPr>
                      <w:szCs w:val="21"/>
                    </w:rPr>
                  </w:pPr>
                  <w:r>
                    <w:rPr>
                      <w:szCs w:val="21"/>
                    </w:rPr>
                    <w:t>塔全高</w:t>
                  </w:r>
                </w:p>
              </w:tc>
            </w:tr>
            <w:tr w14:paraId="7DF83A3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6BE825C">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827A703">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67644A8C">
                  <w:pPr>
                    <w:pStyle w:val="97"/>
                    <w:spacing w:before="0" w:beforeAutospacing="0" w:after="0" w:afterAutospacing="0" w:line="320" w:lineRule="exact"/>
                    <w:jc w:val="center"/>
                    <w:rPr>
                      <w:rFonts w:ascii="Times New Roman" w:hAnsi="Times New Roman"/>
                      <w:sz w:val="21"/>
                      <w:szCs w:val="21"/>
                    </w:rPr>
                  </w:pPr>
                </w:p>
              </w:tc>
              <w:tc>
                <w:tcPr>
                  <w:tcW w:w="408" w:type="dxa"/>
                  <w:vMerge w:val="restart"/>
                  <w:tcBorders>
                    <w:tl2br w:val="nil"/>
                    <w:tr2bl w:val="nil"/>
                  </w:tcBorders>
                  <w:vAlign w:val="center"/>
                </w:tcPr>
                <w:p w14:paraId="592678D7">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征地</w:t>
                  </w:r>
                </w:p>
                <w:p w14:paraId="30C3A3B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面积</w:t>
                  </w:r>
                </w:p>
              </w:tc>
              <w:tc>
                <w:tcPr>
                  <w:tcW w:w="937" w:type="dxa"/>
                  <w:tcBorders>
                    <w:tl2br w:val="nil"/>
                    <w:tr2bl w:val="nil"/>
                  </w:tcBorders>
                  <w:vAlign w:val="center"/>
                </w:tcPr>
                <w:p w14:paraId="122F26B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单回路铁塔</w:t>
                  </w:r>
                </w:p>
              </w:tc>
              <w:tc>
                <w:tcPr>
                  <w:tcW w:w="1000" w:type="dxa"/>
                  <w:vMerge w:val="restart"/>
                  <w:tcBorders>
                    <w:tl2br w:val="nil"/>
                    <w:tr2bl w:val="nil"/>
                  </w:tcBorders>
                  <w:vAlign w:val="center"/>
                </w:tcPr>
                <w:p w14:paraId="0EC0051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2398" w:type="dxa"/>
                  <w:tcBorders>
                    <w:tl2br w:val="nil"/>
                    <w:tr2bl w:val="nil"/>
                  </w:tcBorders>
                  <w:vAlign w:val="center"/>
                </w:tcPr>
                <w:p w14:paraId="417DF99A">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50.41（单基）</w:t>
                  </w:r>
                </w:p>
              </w:tc>
              <w:tc>
                <w:tcPr>
                  <w:tcW w:w="1315" w:type="dxa"/>
                  <w:tcBorders>
                    <w:tl2br w:val="nil"/>
                    <w:tr2bl w:val="nil"/>
                  </w:tcBorders>
                  <w:vAlign w:val="center"/>
                </w:tcPr>
                <w:p w14:paraId="77F45966">
                  <w:pPr>
                    <w:widowControl/>
                    <w:spacing w:line="320" w:lineRule="exact"/>
                    <w:jc w:val="center"/>
                    <w:rPr>
                      <w:kern w:val="0"/>
                      <w:szCs w:val="21"/>
                    </w:rPr>
                  </w:pPr>
                  <w:r>
                    <w:rPr>
                      <w:szCs w:val="21"/>
                    </w:rPr>
                    <w:t>9729.13</w:t>
                  </w:r>
                </w:p>
                <w:p w14:paraId="3CFE7E63">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（总面积）</w:t>
                  </w:r>
                </w:p>
              </w:tc>
            </w:tr>
            <w:tr w14:paraId="5642C7D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74A5437F">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59C5DE6">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52808B2A">
                  <w:pPr>
                    <w:pStyle w:val="97"/>
                    <w:spacing w:before="0" w:beforeAutospacing="0" w:after="0" w:afterAutospacing="0" w:line="320" w:lineRule="exact"/>
                    <w:jc w:val="center"/>
                    <w:rPr>
                      <w:rFonts w:ascii="Times New Roman" w:hAnsi="Times New Roman"/>
                      <w:sz w:val="21"/>
                      <w:szCs w:val="21"/>
                    </w:rPr>
                  </w:pPr>
                </w:p>
              </w:tc>
              <w:tc>
                <w:tcPr>
                  <w:tcW w:w="408" w:type="dxa"/>
                  <w:vMerge w:val="continue"/>
                  <w:tcBorders>
                    <w:tl2br w:val="nil"/>
                    <w:tr2bl w:val="nil"/>
                  </w:tcBorders>
                  <w:vAlign w:val="center"/>
                </w:tcPr>
                <w:p w14:paraId="207A6C76">
                  <w:pPr>
                    <w:pStyle w:val="97"/>
                    <w:spacing w:before="0" w:beforeAutospacing="0" w:after="0" w:afterAutospacing="0" w:line="320" w:lineRule="exact"/>
                    <w:jc w:val="center"/>
                    <w:rPr>
                      <w:rFonts w:ascii="Times New Roman" w:hAnsi="Times New Roman"/>
                      <w:sz w:val="21"/>
                      <w:szCs w:val="21"/>
                    </w:rPr>
                  </w:pPr>
                </w:p>
              </w:tc>
              <w:tc>
                <w:tcPr>
                  <w:tcW w:w="937" w:type="dxa"/>
                  <w:tcBorders>
                    <w:tl2br w:val="nil"/>
                    <w:tr2bl w:val="nil"/>
                  </w:tcBorders>
                  <w:vAlign w:val="center"/>
                </w:tcPr>
                <w:p w14:paraId="476A708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双回路铁塔</w:t>
                  </w:r>
                </w:p>
              </w:tc>
              <w:tc>
                <w:tcPr>
                  <w:tcW w:w="1000" w:type="dxa"/>
                  <w:vMerge w:val="continue"/>
                  <w:tcBorders>
                    <w:tl2br w:val="nil"/>
                    <w:tr2bl w:val="nil"/>
                  </w:tcBorders>
                  <w:vAlign w:val="center"/>
                </w:tcPr>
                <w:p w14:paraId="087120B0">
                  <w:pPr>
                    <w:pStyle w:val="97"/>
                    <w:spacing w:before="0" w:beforeAutospacing="0" w:after="0" w:afterAutospacing="0" w:line="320" w:lineRule="exact"/>
                    <w:jc w:val="center"/>
                    <w:rPr>
                      <w:rFonts w:ascii="Times New Roman" w:hAnsi="Times New Roman"/>
                      <w:sz w:val="21"/>
                      <w:szCs w:val="21"/>
                    </w:rPr>
                  </w:pPr>
                </w:p>
              </w:tc>
              <w:tc>
                <w:tcPr>
                  <w:tcW w:w="2398" w:type="dxa"/>
                  <w:tcBorders>
                    <w:tl2br w:val="nil"/>
                    <w:tr2bl w:val="nil"/>
                  </w:tcBorders>
                  <w:vAlign w:val="center"/>
                </w:tcPr>
                <w:p w14:paraId="670582C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92.81（单基）</w:t>
                  </w:r>
                </w:p>
              </w:tc>
              <w:tc>
                <w:tcPr>
                  <w:tcW w:w="1315" w:type="dxa"/>
                  <w:tcBorders>
                    <w:tl2br w:val="nil"/>
                    <w:tr2bl w:val="nil"/>
                  </w:tcBorders>
                  <w:vAlign w:val="center"/>
                </w:tcPr>
                <w:p w14:paraId="6B01825D">
                  <w:pPr>
                    <w:widowControl/>
                    <w:spacing w:line="320" w:lineRule="exact"/>
                    <w:jc w:val="center"/>
                    <w:rPr>
                      <w:kern w:val="0"/>
                      <w:szCs w:val="21"/>
                    </w:rPr>
                  </w:pPr>
                  <w:r>
                    <w:rPr>
                      <w:szCs w:val="21"/>
                    </w:rPr>
                    <w:t>25151.51</w:t>
                  </w:r>
                </w:p>
                <w:p w14:paraId="5F76728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（总面积）</w:t>
                  </w:r>
                </w:p>
              </w:tc>
            </w:tr>
            <w:tr w14:paraId="1E4AB20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54EC2AA2">
                  <w:pPr>
                    <w:pStyle w:val="97"/>
                    <w:spacing w:before="0" w:beforeAutospacing="0" w:after="0" w:afterAutospacing="0" w:line="320" w:lineRule="exact"/>
                    <w:jc w:val="center"/>
                    <w:rPr>
                      <w:rFonts w:ascii="Times New Roman" w:hAnsi="Times New Roman"/>
                      <w:sz w:val="21"/>
                      <w:szCs w:val="21"/>
                    </w:rPr>
                  </w:pPr>
                </w:p>
              </w:tc>
              <w:tc>
                <w:tcPr>
                  <w:tcW w:w="568" w:type="dxa"/>
                  <w:vMerge w:val="restart"/>
                  <w:tcBorders>
                    <w:tl2br w:val="nil"/>
                    <w:tr2bl w:val="nil"/>
                  </w:tcBorders>
                  <w:vAlign w:val="center"/>
                </w:tcPr>
                <w:p w14:paraId="031374B8">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升压站主要</w:t>
                  </w:r>
                  <w:r>
                    <w:rPr>
                      <w:rFonts w:ascii="Times New Roman" w:hAnsi="Times New Roman"/>
                      <w:sz w:val="21"/>
                      <w:szCs w:val="21"/>
                    </w:rPr>
                    <w:t>设备</w:t>
                  </w:r>
                </w:p>
              </w:tc>
              <w:tc>
                <w:tcPr>
                  <w:tcW w:w="632" w:type="dxa"/>
                  <w:vMerge w:val="restart"/>
                  <w:tcBorders>
                    <w:tl2br w:val="nil"/>
                    <w:tr2bl w:val="nil"/>
                  </w:tcBorders>
                  <w:vAlign w:val="center"/>
                </w:tcPr>
                <w:p w14:paraId="560F613A">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主变压器</w:t>
                  </w:r>
                </w:p>
              </w:tc>
              <w:tc>
                <w:tcPr>
                  <w:tcW w:w="1345" w:type="dxa"/>
                  <w:gridSpan w:val="2"/>
                  <w:tcBorders>
                    <w:tl2br w:val="nil"/>
                    <w:tr2bl w:val="nil"/>
                  </w:tcBorders>
                  <w:vAlign w:val="center"/>
                </w:tcPr>
                <w:p w14:paraId="6795718B">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型号</w:t>
                  </w:r>
                </w:p>
              </w:tc>
              <w:tc>
                <w:tcPr>
                  <w:tcW w:w="3398" w:type="dxa"/>
                  <w:gridSpan w:val="2"/>
                  <w:tcBorders>
                    <w:tl2br w:val="nil"/>
                    <w:tr2bl w:val="nil"/>
                  </w:tcBorders>
                  <w:vAlign w:val="center"/>
                </w:tcPr>
                <w:p w14:paraId="6B4599F1">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SZ20-180000/220</w:t>
                  </w:r>
                  <w:r>
                    <w:rPr>
                      <w:rFonts w:hint="eastAsia" w:ascii="Times New Roman" w:hAnsi="Times New Roman"/>
                      <w:sz w:val="21"/>
                      <w:szCs w:val="21"/>
                    </w:rPr>
                    <w:t>，</w:t>
                  </w:r>
                  <w:r>
                    <w:rPr>
                      <w:rFonts w:ascii="Times New Roman" w:hAnsi="Times New Roman"/>
                      <w:sz w:val="21"/>
                      <w:szCs w:val="21"/>
                    </w:rPr>
                    <w:t xml:space="preserve">180MVA </w:t>
                  </w:r>
                </w:p>
                <w:p w14:paraId="73EC7E32">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230</w:t>
                  </w:r>
                  <w:r>
                    <w:rPr>
                      <w:rFonts w:hint="eastAsia" w:ascii="Times New Roman" w:hAnsi="Times New Roman"/>
                      <w:sz w:val="21"/>
                      <w:szCs w:val="21"/>
                    </w:rPr>
                    <w:t>±</w:t>
                  </w:r>
                  <w:r>
                    <w:rPr>
                      <w:rFonts w:ascii="Times New Roman" w:hAnsi="Times New Roman"/>
                      <w:sz w:val="21"/>
                      <w:szCs w:val="21"/>
                    </w:rPr>
                    <w:t>8</w:t>
                  </w:r>
                  <w:r>
                    <w:rPr>
                      <w:rFonts w:hint="eastAsia" w:ascii="Times New Roman" w:hAnsi="Times New Roman"/>
                      <w:sz w:val="21"/>
                      <w:szCs w:val="21"/>
                    </w:rPr>
                    <w:t>×</w:t>
                  </w:r>
                  <w:r>
                    <w:rPr>
                      <w:rFonts w:ascii="Times New Roman" w:hAnsi="Times New Roman"/>
                      <w:sz w:val="21"/>
                      <w:szCs w:val="21"/>
                    </w:rPr>
                    <w:t>1.25%/37kV</w:t>
                  </w:r>
                  <w:r>
                    <w:rPr>
                      <w:rFonts w:hint="eastAsia" w:ascii="Times New Roman" w:hAnsi="Times New Roman"/>
                      <w:sz w:val="21"/>
                      <w:szCs w:val="21"/>
                    </w:rPr>
                    <w:t>，</w:t>
                  </w:r>
                  <w:r>
                    <w:rPr>
                      <w:rFonts w:ascii="Times New Roman" w:hAnsi="Times New Roman"/>
                      <w:sz w:val="21"/>
                      <w:szCs w:val="21"/>
                    </w:rPr>
                    <w:t>YNd11</w:t>
                  </w:r>
                  <w:r>
                    <w:rPr>
                      <w:rFonts w:hint="eastAsia" w:ascii="Times New Roman" w:hAnsi="Times New Roman"/>
                      <w:sz w:val="21"/>
                      <w:szCs w:val="21"/>
                    </w:rPr>
                    <w:t>，</w:t>
                  </w:r>
                </w:p>
                <w:p w14:paraId="16DFC86D">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Ud</w:t>
                  </w:r>
                  <w:r>
                    <w:rPr>
                      <w:rFonts w:hint="eastAsia" w:ascii="Times New Roman" w:hAnsi="Times New Roman"/>
                      <w:sz w:val="21"/>
                      <w:szCs w:val="21"/>
                    </w:rPr>
                    <w:t>＝</w:t>
                  </w:r>
                  <w:r>
                    <w:rPr>
                      <w:rFonts w:ascii="Times New Roman" w:hAnsi="Times New Roman"/>
                      <w:sz w:val="21"/>
                      <w:szCs w:val="21"/>
                    </w:rPr>
                    <w:t>14</w:t>
                  </w:r>
                  <w:r>
                    <w:rPr>
                      <w:rFonts w:hint="eastAsia" w:ascii="Times New Roman" w:hAnsi="Times New Roman"/>
                      <w:sz w:val="21"/>
                      <w:szCs w:val="21"/>
                    </w:rPr>
                    <w:t>％ 油浸自冷，有载调压</w:t>
                  </w:r>
                </w:p>
              </w:tc>
              <w:tc>
                <w:tcPr>
                  <w:tcW w:w="1315" w:type="dxa"/>
                  <w:tcBorders>
                    <w:tl2br w:val="nil"/>
                    <w:tr2bl w:val="nil"/>
                  </w:tcBorders>
                  <w:vAlign w:val="center"/>
                </w:tcPr>
                <w:p w14:paraId="10FC9AFD">
                  <w:pPr>
                    <w:pStyle w:val="97"/>
                    <w:spacing w:before="0" w:beforeAutospacing="0" w:after="0" w:afterAutospacing="0" w:line="320" w:lineRule="exact"/>
                    <w:jc w:val="center"/>
                    <w:rPr>
                      <w:rFonts w:ascii="Times New Roman" w:hAnsi="Times New Roman"/>
                      <w:sz w:val="21"/>
                      <w:szCs w:val="21"/>
                    </w:rPr>
                  </w:pPr>
                </w:p>
              </w:tc>
            </w:tr>
            <w:tr w14:paraId="1CA12CC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125" w:hRule="atLeast"/>
                <w:jc w:val="center"/>
              </w:trPr>
              <w:tc>
                <w:tcPr>
                  <w:tcW w:w="679" w:type="dxa"/>
                  <w:vMerge w:val="continue"/>
                  <w:tcBorders>
                    <w:tl2br w:val="nil"/>
                    <w:tr2bl w:val="nil"/>
                  </w:tcBorders>
                  <w:vAlign w:val="center"/>
                </w:tcPr>
                <w:p w14:paraId="79465711">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07EF008F">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758C25BF">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FD6AB35">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台数</w:t>
                  </w:r>
                </w:p>
              </w:tc>
              <w:tc>
                <w:tcPr>
                  <w:tcW w:w="1000" w:type="dxa"/>
                  <w:tcBorders>
                    <w:tl2br w:val="nil"/>
                    <w:tr2bl w:val="nil"/>
                  </w:tcBorders>
                  <w:vAlign w:val="center"/>
                </w:tcPr>
                <w:p w14:paraId="6F470872">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台</w:t>
                  </w:r>
                </w:p>
              </w:tc>
              <w:tc>
                <w:tcPr>
                  <w:tcW w:w="2398" w:type="dxa"/>
                  <w:tcBorders>
                    <w:tl2br w:val="nil"/>
                    <w:tr2bl w:val="nil"/>
                  </w:tcBorders>
                  <w:vAlign w:val="center"/>
                </w:tcPr>
                <w:p w14:paraId="14A9EBE9">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2</w:t>
                  </w:r>
                </w:p>
              </w:tc>
              <w:tc>
                <w:tcPr>
                  <w:tcW w:w="1315" w:type="dxa"/>
                  <w:tcBorders>
                    <w:tl2br w:val="nil"/>
                    <w:tr2bl w:val="nil"/>
                  </w:tcBorders>
                  <w:vAlign w:val="center"/>
                </w:tcPr>
                <w:p w14:paraId="1F589A62">
                  <w:pPr>
                    <w:spacing w:line="320" w:lineRule="exact"/>
                    <w:jc w:val="center"/>
                    <w:rPr>
                      <w:szCs w:val="21"/>
                    </w:rPr>
                  </w:pPr>
                </w:p>
              </w:tc>
            </w:tr>
            <w:tr w14:paraId="50870B6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125" w:hRule="atLeast"/>
                <w:jc w:val="center"/>
              </w:trPr>
              <w:tc>
                <w:tcPr>
                  <w:tcW w:w="679" w:type="dxa"/>
                  <w:vMerge w:val="continue"/>
                  <w:tcBorders>
                    <w:tl2br w:val="nil"/>
                    <w:tr2bl w:val="nil"/>
                  </w:tcBorders>
                  <w:vAlign w:val="center"/>
                </w:tcPr>
                <w:p w14:paraId="3A2E314E">
                  <w:pPr>
                    <w:spacing w:line="320" w:lineRule="exact"/>
                    <w:jc w:val="center"/>
                  </w:pPr>
                </w:p>
              </w:tc>
              <w:tc>
                <w:tcPr>
                  <w:tcW w:w="568" w:type="dxa"/>
                  <w:vMerge w:val="continue"/>
                  <w:tcBorders>
                    <w:tl2br w:val="nil"/>
                    <w:tr2bl w:val="nil"/>
                  </w:tcBorders>
                  <w:vAlign w:val="center"/>
                </w:tcPr>
                <w:p w14:paraId="73C7B188">
                  <w:pPr>
                    <w:spacing w:line="320" w:lineRule="exact"/>
                    <w:jc w:val="center"/>
                  </w:pPr>
                </w:p>
              </w:tc>
              <w:tc>
                <w:tcPr>
                  <w:tcW w:w="632" w:type="dxa"/>
                  <w:vMerge w:val="continue"/>
                  <w:tcBorders>
                    <w:tl2br w:val="nil"/>
                    <w:tr2bl w:val="nil"/>
                  </w:tcBorders>
                  <w:vAlign w:val="center"/>
                </w:tcPr>
                <w:p w14:paraId="0BC0CD9A">
                  <w:pPr>
                    <w:spacing w:line="320" w:lineRule="exact"/>
                    <w:jc w:val="center"/>
                  </w:pPr>
                </w:p>
              </w:tc>
              <w:tc>
                <w:tcPr>
                  <w:tcW w:w="1345" w:type="dxa"/>
                  <w:gridSpan w:val="2"/>
                  <w:tcBorders>
                    <w:tl2br w:val="nil"/>
                    <w:tr2bl w:val="nil"/>
                  </w:tcBorders>
                  <w:vAlign w:val="center"/>
                </w:tcPr>
                <w:p w14:paraId="7B7C4BF7">
                  <w:pPr>
                    <w:spacing w:line="320" w:lineRule="exact"/>
                    <w:jc w:val="center"/>
                    <w:rPr>
                      <w:szCs w:val="21"/>
                    </w:rPr>
                  </w:pPr>
                  <w:r>
                    <w:rPr>
                      <w:rFonts w:hint="eastAsia"/>
                      <w:szCs w:val="21"/>
                    </w:rPr>
                    <w:t>容量</w:t>
                  </w:r>
                </w:p>
              </w:tc>
              <w:tc>
                <w:tcPr>
                  <w:tcW w:w="1000" w:type="dxa"/>
                  <w:tcBorders>
                    <w:tl2br w:val="nil"/>
                    <w:tr2bl w:val="nil"/>
                  </w:tcBorders>
                  <w:vAlign w:val="center"/>
                </w:tcPr>
                <w:p w14:paraId="6502F93B">
                  <w:pPr>
                    <w:spacing w:line="320" w:lineRule="exact"/>
                    <w:jc w:val="center"/>
                    <w:rPr>
                      <w:szCs w:val="21"/>
                    </w:rPr>
                  </w:pPr>
                  <w:r>
                    <w:rPr>
                      <w:rFonts w:hint="eastAsia"/>
                      <w:szCs w:val="21"/>
                    </w:rPr>
                    <w:t>MVA</w:t>
                  </w:r>
                </w:p>
              </w:tc>
              <w:tc>
                <w:tcPr>
                  <w:tcW w:w="2398" w:type="dxa"/>
                  <w:tcBorders>
                    <w:tl2br w:val="nil"/>
                    <w:tr2bl w:val="nil"/>
                  </w:tcBorders>
                  <w:vAlign w:val="center"/>
                </w:tcPr>
                <w:p w14:paraId="2A04239D">
                  <w:pPr>
                    <w:spacing w:line="320" w:lineRule="exact"/>
                    <w:jc w:val="center"/>
                    <w:rPr>
                      <w:szCs w:val="21"/>
                    </w:rPr>
                  </w:pPr>
                  <w:r>
                    <w:rPr>
                      <w:rFonts w:hint="eastAsia"/>
                      <w:szCs w:val="21"/>
                    </w:rPr>
                    <w:t>180</w:t>
                  </w:r>
                </w:p>
              </w:tc>
              <w:tc>
                <w:tcPr>
                  <w:tcW w:w="1315" w:type="dxa"/>
                  <w:tcBorders>
                    <w:tl2br w:val="nil"/>
                    <w:tr2bl w:val="nil"/>
                  </w:tcBorders>
                  <w:vAlign w:val="center"/>
                </w:tcPr>
                <w:p w14:paraId="3E599A2E">
                  <w:pPr>
                    <w:spacing w:line="320" w:lineRule="exact"/>
                    <w:jc w:val="center"/>
                    <w:rPr>
                      <w:szCs w:val="21"/>
                    </w:rPr>
                  </w:pPr>
                </w:p>
              </w:tc>
            </w:tr>
            <w:tr w14:paraId="795C1C0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125" w:hRule="atLeast"/>
                <w:jc w:val="center"/>
              </w:trPr>
              <w:tc>
                <w:tcPr>
                  <w:tcW w:w="679" w:type="dxa"/>
                  <w:vMerge w:val="continue"/>
                  <w:tcBorders>
                    <w:tl2br w:val="nil"/>
                    <w:tr2bl w:val="nil"/>
                  </w:tcBorders>
                  <w:vAlign w:val="center"/>
                </w:tcPr>
                <w:p w14:paraId="1A1BEC90">
                  <w:pPr>
                    <w:spacing w:line="320" w:lineRule="exact"/>
                    <w:jc w:val="center"/>
                    <w:rPr>
                      <w:szCs w:val="21"/>
                    </w:rPr>
                  </w:pPr>
                </w:p>
              </w:tc>
              <w:tc>
                <w:tcPr>
                  <w:tcW w:w="568" w:type="dxa"/>
                  <w:vMerge w:val="continue"/>
                  <w:tcBorders>
                    <w:tl2br w:val="nil"/>
                    <w:tr2bl w:val="nil"/>
                  </w:tcBorders>
                  <w:vAlign w:val="center"/>
                </w:tcPr>
                <w:p w14:paraId="27C605CA">
                  <w:pPr>
                    <w:spacing w:line="320" w:lineRule="exact"/>
                    <w:jc w:val="center"/>
                    <w:rPr>
                      <w:szCs w:val="21"/>
                    </w:rPr>
                  </w:pPr>
                </w:p>
              </w:tc>
              <w:tc>
                <w:tcPr>
                  <w:tcW w:w="632" w:type="dxa"/>
                  <w:vMerge w:val="continue"/>
                  <w:tcBorders>
                    <w:tl2br w:val="nil"/>
                    <w:tr2bl w:val="nil"/>
                  </w:tcBorders>
                  <w:vAlign w:val="center"/>
                </w:tcPr>
                <w:p w14:paraId="1EFC17C3">
                  <w:pPr>
                    <w:spacing w:line="320" w:lineRule="exact"/>
                    <w:jc w:val="center"/>
                    <w:rPr>
                      <w:szCs w:val="21"/>
                    </w:rPr>
                  </w:pPr>
                </w:p>
              </w:tc>
              <w:tc>
                <w:tcPr>
                  <w:tcW w:w="1345" w:type="dxa"/>
                  <w:gridSpan w:val="2"/>
                  <w:tcBorders>
                    <w:tl2br w:val="nil"/>
                    <w:tr2bl w:val="nil"/>
                  </w:tcBorders>
                  <w:vAlign w:val="center"/>
                </w:tcPr>
                <w:p w14:paraId="417F4E2E">
                  <w:pPr>
                    <w:spacing w:line="320" w:lineRule="exact"/>
                    <w:jc w:val="center"/>
                    <w:rPr>
                      <w:szCs w:val="21"/>
                    </w:rPr>
                  </w:pPr>
                  <w:r>
                    <w:rPr>
                      <w:rFonts w:hint="eastAsia"/>
                      <w:szCs w:val="21"/>
                    </w:rPr>
                    <w:t>额定电压</w:t>
                  </w:r>
                </w:p>
              </w:tc>
              <w:tc>
                <w:tcPr>
                  <w:tcW w:w="1000" w:type="dxa"/>
                  <w:tcBorders>
                    <w:tl2br w:val="nil"/>
                    <w:tr2bl w:val="nil"/>
                  </w:tcBorders>
                  <w:vAlign w:val="center"/>
                </w:tcPr>
                <w:p w14:paraId="158CE408">
                  <w:pPr>
                    <w:spacing w:line="320" w:lineRule="exact"/>
                    <w:jc w:val="center"/>
                    <w:rPr>
                      <w:szCs w:val="21"/>
                    </w:rPr>
                  </w:pPr>
                  <w:r>
                    <w:rPr>
                      <w:rFonts w:hint="eastAsia"/>
                      <w:szCs w:val="21"/>
                    </w:rPr>
                    <w:t>kV</w:t>
                  </w:r>
                </w:p>
              </w:tc>
              <w:tc>
                <w:tcPr>
                  <w:tcW w:w="2398" w:type="dxa"/>
                  <w:tcBorders>
                    <w:tl2br w:val="nil"/>
                    <w:tr2bl w:val="nil"/>
                  </w:tcBorders>
                  <w:vAlign w:val="center"/>
                </w:tcPr>
                <w:p w14:paraId="7E28CBF1">
                  <w:pPr>
                    <w:spacing w:line="320" w:lineRule="exact"/>
                    <w:jc w:val="center"/>
                    <w:rPr>
                      <w:szCs w:val="21"/>
                    </w:rPr>
                  </w:pPr>
                  <w:r>
                    <w:rPr>
                      <w:rFonts w:hint="eastAsia"/>
                      <w:szCs w:val="21"/>
                    </w:rPr>
                    <w:t>220</w:t>
                  </w:r>
                </w:p>
              </w:tc>
              <w:tc>
                <w:tcPr>
                  <w:tcW w:w="1315" w:type="dxa"/>
                  <w:tcBorders>
                    <w:tl2br w:val="nil"/>
                    <w:tr2bl w:val="nil"/>
                  </w:tcBorders>
                  <w:vAlign w:val="center"/>
                </w:tcPr>
                <w:p w14:paraId="03D35ECB">
                  <w:pPr>
                    <w:spacing w:line="320" w:lineRule="exact"/>
                    <w:jc w:val="center"/>
                    <w:rPr>
                      <w:szCs w:val="21"/>
                    </w:rPr>
                  </w:pPr>
                </w:p>
              </w:tc>
            </w:tr>
            <w:tr w14:paraId="094B846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111F9EF2">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65B5F12F">
                  <w:pPr>
                    <w:pStyle w:val="97"/>
                    <w:spacing w:before="0" w:beforeAutospacing="0" w:after="0" w:afterAutospacing="0" w:line="320" w:lineRule="exact"/>
                    <w:jc w:val="center"/>
                    <w:rPr>
                      <w:rFonts w:ascii="Times New Roman" w:hAnsi="Times New Roman"/>
                      <w:sz w:val="21"/>
                      <w:szCs w:val="21"/>
                    </w:rPr>
                  </w:pPr>
                </w:p>
              </w:tc>
              <w:tc>
                <w:tcPr>
                  <w:tcW w:w="632" w:type="dxa"/>
                  <w:vMerge w:val="restart"/>
                  <w:tcBorders>
                    <w:tl2br w:val="nil"/>
                    <w:tr2bl w:val="nil"/>
                  </w:tcBorders>
                  <w:vAlign w:val="center"/>
                </w:tcPr>
                <w:p w14:paraId="25E4A979">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出线</w:t>
                  </w:r>
                </w:p>
              </w:tc>
              <w:tc>
                <w:tcPr>
                  <w:tcW w:w="1345" w:type="dxa"/>
                  <w:gridSpan w:val="2"/>
                  <w:tcBorders>
                    <w:tl2br w:val="nil"/>
                    <w:tr2bl w:val="nil"/>
                  </w:tcBorders>
                  <w:vAlign w:val="center"/>
                </w:tcPr>
                <w:p w14:paraId="1575999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回路数</w:t>
                  </w:r>
                </w:p>
              </w:tc>
              <w:tc>
                <w:tcPr>
                  <w:tcW w:w="1000" w:type="dxa"/>
                  <w:tcBorders>
                    <w:tl2br w:val="nil"/>
                    <w:tr2bl w:val="nil"/>
                  </w:tcBorders>
                  <w:vAlign w:val="center"/>
                </w:tcPr>
                <w:p w14:paraId="3DF0EF9B">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回</w:t>
                  </w:r>
                </w:p>
              </w:tc>
              <w:tc>
                <w:tcPr>
                  <w:tcW w:w="2398" w:type="dxa"/>
                  <w:tcBorders>
                    <w:tl2br w:val="nil"/>
                    <w:tr2bl w:val="nil"/>
                  </w:tcBorders>
                  <w:vAlign w:val="center"/>
                </w:tcPr>
                <w:p w14:paraId="78EEF143">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1</w:t>
                  </w:r>
                </w:p>
              </w:tc>
              <w:tc>
                <w:tcPr>
                  <w:tcW w:w="1315" w:type="dxa"/>
                  <w:tcBorders>
                    <w:tl2br w:val="nil"/>
                    <w:tr2bl w:val="nil"/>
                  </w:tcBorders>
                  <w:vAlign w:val="center"/>
                </w:tcPr>
                <w:p w14:paraId="448A0817">
                  <w:pPr>
                    <w:spacing w:line="320" w:lineRule="exact"/>
                    <w:jc w:val="center"/>
                    <w:rPr>
                      <w:szCs w:val="21"/>
                    </w:rPr>
                  </w:pPr>
                </w:p>
              </w:tc>
            </w:tr>
            <w:tr w14:paraId="1A59C69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679" w:type="dxa"/>
                  <w:vMerge w:val="continue"/>
                  <w:tcBorders>
                    <w:tl2br w:val="nil"/>
                    <w:tr2bl w:val="nil"/>
                  </w:tcBorders>
                  <w:vAlign w:val="center"/>
                </w:tcPr>
                <w:p w14:paraId="274C408E">
                  <w:pPr>
                    <w:pStyle w:val="97"/>
                    <w:spacing w:before="0" w:beforeAutospacing="0" w:after="0" w:afterAutospacing="0" w:line="320" w:lineRule="exact"/>
                    <w:jc w:val="center"/>
                    <w:rPr>
                      <w:rFonts w:ascii="Times New Roman" w:hAnsi="Times New Roman"/>
                      <w:sz w:val="21"/>
                      <w:szCs w:val="21"/>
                    </w:rPr>
                  </w:pPr>
                </w:p>
              </w:tc>
              <w:tc>
                <w:tcPr>
                  <w:tcW w:w="568" w:type="dxa"/>
                  <w:vMerge w:val="continue"/>
                  <w:tcBorders>
                    <w:tl2br w:val="nil"/>
                    <w:tr2bl w:val="nil"/>
                  </w:tcBorders>
                  <w:vAlign w:val="center"/>
                </w:tcPr>
                <w:p w14:paraId="42A673F9">
                  <w:pPr>
                    <w:pStyle w:val="97"/>
                    <w:spacing w:before="0" w:beforeAutospacing="0" w:after="0" w:afterAutospacing="0" w:line="320" w:lineRule="exact"/>
                    <w:jc w:val="center"/>
                    <w:rPr>
                      <w:rFonts w:ascii="Times New Roman" w:hAnsi="Times New Roman"/>
                      <w:sz w:val="21"/>
                      <w:szCs w:val="21"/>
                    </w:rPr>
                  </w:pPr>
                </w:p>
              </w:tc>
              <w:tc>
                <w:tcPr>
                  <w:tcW w:w="632" w:type="dxa"/>
                  <w:vMerge w:val="continue"/>
                  <w:tcBorders>
                    <w:tl2br w:val="nil"/>
                    <w:tr2bl w:val="nil"/>
                  </w:tcBorders>
                  <w:vAlign w:val="center"/>
                </w:tcPr>
                <w:p w14:paraId="225A1BCD">
                  <w:pPr>
                    <w:pStyle w:val="97"/>
                    <w:spacing w:before="0" w:beforeAutospacing="0" w:after="0" w:afterAutospacing="0" w:line="320" w:lineRule="exact"/>
                    <w:jc w:val="center"/>
                    <w:rPr>
                      <w:rFonts w:ascii="Times New Roman" w:hAnsi="Times New Roman"/>
                      <w:sz w:val="21"/>
                      <w:szCs w:val="21"/>
                    </w:rPr>
                  </w:pPr>
                </w:p>
              </w:tc>
              <w:tc>
                <w:tcPr>
                  <w:tcW w:w="1345" w:type="dxa"/>
                  <w:gridSpan w:val="2"/>
                  <w:tcBorders>
                    <w:tl2br w:val="nil"/>
                    <w:tr2bl w:val="nil"/>
                  </w:tcBorders>
                  <w:vAlign w:val="center"/>
                </w:tcPr>
                <w:p w14:paraId="15A6810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电压等级</w:t>
                  </w:r>
                </w:p>
              </w:tc>
              <w:tc>
                <w:tcPr>
                  <w:tcW w:w="1000" w:type="dxa"/>
                  <w:tcBorders>
                    <w:tl2br w:val="nil"/>
                    <w:tr2bl w:val="nil"/>
                  </w:tcBorders>
                  <w:vAlign w:val="center"/>
                </w:tcPr>
                <w:p w14:paraId="1E7CBDAE">
                  <w:pPr>
                    <w:pStyle w:val="97"/>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kV</w:t>
                  </w:r>
                </w:p>
              </w:tc>
              <w:tc>
                <w:tcPr>
                  <w:tcW w:w="2398" w:type="dxa"/>
                  <w:tcBorders>
                    <w:tl2br w:val="nil"/>
                    <w:tr2bl w:val="nil"/>
                  </w:tcBorders>
                  <w:vAlign w:val="center"/>
                </w:tcPr>
                <w:p w14:paraId="0ED0D66A">
                  <w:pPr>
                    <w:pStyle w:val="97"/>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220</w:t>
                  </w:r>
                </w:p>
              </w:tc>
              <w:tc>
                <w:tcPr>
                  <w:tcW w:w="1315" w:type="dxa"/>
                  <w:tcBorders>
                    <w:tl2br w:val="nil"/>
                    <w:tr2bl w:val="nil"/>
                  </w:tcBorders>
                  <w:vAlign w:val="center"/>
                </w:tcPr>
                <w:p w14:paraId="58775973">
                  <w:pPr>
                    <w:spacing w:line="320" w:lineRule="exact"/>
                    <w:jc w:val="center"/>
                    <w:rPr>
                      <w:szCs w:val="21"/>
                    </w:rPr>
                  </w:pPr>
                </w:p>
              </w:tc>
            </w:tr>
          </w:tbl>
          <w:p w14:paraId="28BF93E3">
            <w:pPr>
              <w:adjustRightInd w:val="0"/>
              <w:snapToGrid w:val="0"/>
              <w:spacing w:line="480" w:lineRule="exact"/>
              <w:rPr>
                <w:b/>
                <w:bCs/>
                <w:sz w:val="24"/>
              </w:rPr>
            </w:pPr>
            <w:r>
              <w:rPr>
                <w:b/>
                <w:bCs/>
                <w:sz w:val="24"/>
              </w:rPr>
              <w:t>3、主要建设内容</w:t>
            </w:r>
          </w:p>
          <w:p w14:paraId="3CB35DA3">
            <w:pPr>
              <w:adjustRightInd w:val="0"/>
              <w:snapToGrid w:val="0"/>
              <w:spacing w:line="480" w:lineRule="exact"/>
              <w:ind w:firstLine="482" w:firstLineChars="200"/>
              <w:rPr>
                <w:b/>
                <w:bCs/>
                <w:sz w:val="24"/>
              </w:rPr>
            </w:pPr>
            <w:r>
              <w:rPr>
                <w:b/>
                <w:bCs/>
                <w:sz w:val="24"/>
              </w:rPr>
              <w:t>（1）风电机组</w:t>
            </w:r>
          </w:p>
          <w:p w14:paraId="3A3B806F">
            <w:pPr>
              <w:adjustRightInd w:val="0"/>
              <w:snapToGrid w:val="0"/>
              <w:spacing w:line="480" w:lineRule="exact"/>
              <w:ind w:firstLine="480" w:firstLineChars="200"/>
              <w:rPr>
                <w:sz w:val="24"/>
              </w:rPr>
            </w:pPr>
            <w:r>
              <w:rPr>
                <w:sz w:val="24"/>
              </w:rPr>
              <w:t xml:space="preserve">本项目拟安装46台单机容量为7700kW风力发电机组。本项目风电场采用IEC </w:t>
            </w:r>
            <w:r>
              <w:t>III</w:t>
            </w:r>
            <w:r>
              <w:rPr>
                <w:sz w:val="24"/>
              </w:rPr>
              <w:t>类风电机组，该风机为低温型风力发电机组，单机最大尾流影响-12.6%，最小尾流影响-0.6%，平均尾流影响-6.0%；除尾流和空气密度折减影响后，风电场其它综合折减系数为71.36%。预计项目年上网电量为95089.47万kW·h，年等效满负荷小时数为2581h，上网电价：0.35元/kWh（含税）。每台风机安装35kV箱式变压器1台。</w:t>
            </w:r>
          </w:p>
          <w:p w14:paraId="57F7E139">
            <w:pPr>
              <w:adjustRightInd w:val="0"/>
              <w:snapToGrid w:val="0"/>
              <w:spacing w:line="480" w:lineRule="exact"/>
              <w:ind w:firstLine="480" w:firstLineChars="200"/>
              <w:rPr>
                <w:sz w:val="24"/>
              </w:rPr>
            </w:pPr>
            <w:r>
              <w:rPr>
                <w:sz w:val="24"/>
              </w:rPr>
              <w:t>本项目选用的风力发电机组主要技术参数如下。</w:t>
            </w:r>
          </w:p>
          <w:p w14:paraId="149F6FA7">
            <w:pPr>
              <w:pStyle w:val="5"/>
              <w:spacing w:before="0" w:after="0" w:line="480" w:lineRule="exact"/>
              <w:jc w:val="center"/>
              <w:rPr>
                <w:b/>
                <w:bCs/>
              </w:rPr>
            </w:pPr>
            <w:r>
              <w:rPr>
                <w:b/>
                <w:bCs/>
              </w:rPr>
              <w:t>表2-</w:t>
            </w:r>
            <w:r>
              <w:rPr>
                <w:rFonts w:hint="eastAsia"/>
                <w:b/>
                <w:bCs/>
              </w:rPr>
              <w:t>5</w:t>
            </w:r>
            <w:r>
              <w:rPr>
                <w:b/>
                <w:bCs/>
              </w:rPr>
              <w:t xml:space="preserve">     风机主要参数一览表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061"/>
              <w:gridCol w:w="3017"/>
              <w:gridCol w:w="3426"/>
            </w:tblGrid>
            <w:tr w14:paraId="6E699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86" w:type="pct"/>
                  <w:gridSpan w:val="2"/>
                  <w:tcBorders>
                    <w:tl2br w:val="nil"/>
                    <w:tr2bl w:val="nil"/>
                  </w:tcBorders>
                  <w:vAlign w:val="center"/>
                </w:tcPr>
                <w:p w14:paraId="1BEBB7B6">
                  <w:pPr>
                    <w:pStyle w:val="105"/>
                    <w:spacing w:line="320" w:lineRule="exact"/>
                    <w:ind w:left="0" w:firstLine="0"/>
                    <w:jc w:val="center"/>
                    <w:rPr>
                      <w:rFonts w:ascii="Times New Roman" w:cs="Times New Roman"/>
                      <w:sz w:val="21"/>
                      <w:szCs w:val="21"/>
                    </w:rPr>
                  </w:pPr>
                  <w:r>
                    <w:rPr>
                      <w:rFonts w:ascii="Times New Roman" w:cs="Times New Roman"/>
                      <w:sz w:val="21"/>
                      <w:szCs w:val="21"/>
                    </w:rPr>
                    <w:t>项目</w:t>
                  </w:r>
                </w:p>
              </w:tc>
              <w:tc>
                <w:tcPr>
                  <w:tcW w:w="2014" w:type="pct"/>
                  <w:tcBorders>
                    <w:tl2br w:val="nil"/>
                    <w:tr2bl w:val="nil"/>
                  </w:tcBorders>
                  <w:vAlign w:val="center"/>
                </w:tcPr>
                <w:p w14:paraId="09CEF5F2">
                  <w:pPr>
                    <w:pStyle w:val="105"/>
                    <w:spacing w:line="320" w:lineRule="exact"/>
                    <w:ind w:left="0" w:firstLine="0"/>
                    <w:jc w:val="center"/>
                    <w:rPr>
                      <w:rFonts w:ascii="Times New Roman" w:cs="Times New Roman"/>
                      <w:sz w:val="21"/>
                      <w:szCs w:val="21"/>
                    </w:rPr>
                  </w:pPr>
                  <w:r>
                    <w:rPr>
                      <w:rFonts w:ascii="Times New Roman" w:cs="Times New Roman"/>
                      <w:sz w:val="21"/>
                      <w:szCs w:val="21"/>
                    </w:rPr>
                    <w:t>参数</w:t>
                  </w:r>
                </w:p>
              </w:tc>
            </w:tr>
            <w:tr w14:paraId="3C9B9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restart"/>
                  <w:tcBorders>
                    <w:tl2br w:val="nil"/>
                    <w:tr2bl w:val="nil"/>
                  </w:tcBorders>
                  <w:vAlign w:val="center"/>
                </w:tcPr>
                <w:p w14:paraId="46377F14">
                  <w:pPr>
                    <w:pStyle w:val="105"/>
                    <w:spacing w:line="320" w:lineRule="exact"/>
                    <w:ind w:left="0" w:firstLine="0"/>
                    <w:jc w:val="center"/>
                    <w:rPr>
                      <w:rFonts w:ascii="Times New Roman" w:cs="Times New Roman"/>
                      <w:sz w:val="21"/>
                      <w:szCs w:val="21"/>
                    </w:rPr>
                  </w:pPr>
                  <w:r>
                    <w:rPr>
                      <w:rFonts w:ascii="Times New Roman" w:cs="Times New Roman"/>
                      <w:sz w:val="21"/>
                      <w:szCs w:val="21"/>
                    </w:rPr>
                    <w:t>机组基本数据</w:t>
                  </w:r>
                </w:p>
              </w:tc>
              <w:tc>
                <w:tcPr>
                  <w:tcW w:w="1774" w:type="pct"/>
                  <w:tcBorders>
                    <w:tl2br w:val="nil"/>
                    <w:tr2bl w:val="nil"/>
                  </w:tcBorders>
                  <w:vAlign w:val="center"/>
                </w:tcPr>
                <w:p w14:paraId="040A5646">
                  <w:pPr>
                    <w:pStyle w:val="105"/>
                    <w:spacing w:line="320" w:lineRule="exact"/>
                    <w:ind w:left="0" w:firstLine="0"/>
                    <w:jc w:val="center"/>
                    <w:rPr>
                      <w:rFonts w:ascii="Times New Roman" w:cs="Times New Roman"/>
                      <w:sz w:val="21"/>
                      <w:szCs w:val="21"/>
                    </w:rPr>
                  </w:pPr>
                  <w:r>
                    <w:rPr>
                      <w:rFonts w:ascii="Times New Roman" w:cs="Times New Roman"/>
                      <w:sz w:val="21"/>
                      <w:szCs w:val="21"/>
                    </w:rPr>
                    <w:t>额定功率（MW）</w:t>
                  </w:r>
                </w:p>
              </w:tc>
              <w:tc>
                <w:tcPr>
                  <w:tcW w:w="2014" w:type="pct"/>
                  <w:tcBorders>
                    <w:tl2br w:val="nil"/>
                    <w:tr2bl w:val="nil"/>
                  </w:tcBorders>
                  <w:vAlign w:val="center"/>
                </w:tcPr>
                <w:p w14:paraId="3368EC28">
                  <w:pPr>
                    <w:pStyle w:val="105"/>
                    <w:spacing w:line="320" w:lineRule="exact"/>
                    <w:ind w:left="0" w:firstLine="0"/>
                    <w:jc w:val="center"/>
                    <w:rPr>
                      <w:rFonts w:ascii="Times New Roman" w:cs="Times New Roman"/>
                      <w:sz w:val="21"/>
                      <w:szCs w:val="21"/>
                    </w:rPr>
                  </w:pPr>
                  <w:r>
                    <w:rPr>
                      <w:rFonts w:ascii="Times New Roman" w:cs="Times New Roman"/>
                      <w:sz w:val="21"/>
                      <w:szCs w:val="21"/>
                    </w:rPr>
                    <w:t>7.7</w:t>
                  </w:r>
                </w:p>
              </w:tc>
            </w:tr>
            <w:tr w14:paraId="1A1BA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0BDD2696">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4A3C7705">
                  <w:pPr>
                    <w:pStyle w:val="105"/>
                    <w:spacing w:line="320" w:lineRule="exact"/>
                    <w:ind w:left="0" w:firstLine="0"/>
                    <w:jc w:val="center"/>
                    <w:rPr>
                      <w:rFonts w:ascii="Times New Roman" w:cs="Times New Roman"/>
                      <w:sz w:val="21"/>
                      <w:szCs w:val="21"/>
                    </w:rPr>
                  </w:pPr>
                  <w:r>
                    <w:rPr>
                      <w:rFonts w:ascii="Times New Roman" w:cs="Times New Roman"/>
                      <w:sz w:val="21"/>
                      <w:szCs w:val="21"/>
                    </w:rPr>
                    <w:t>风轮直径（m）</w:t>
                  </w:r>
                </w:p>
              </w:tc>
              <w:tc>
                <w:tcPr>
                  <w:tcW w:w="2014" w:type="pct"/>
                  <w:tcBorders>
                    <w:tl2br w:val="nil"/>
                    <w:tr2bl w:val="nil"/>
                  </w:tcBorders>
                  <w:vAlign w:val="center"/>
                </w:tcPr>
                <w:p w14:paraId="157017F3">
                  <w:pPr>
                    <w:pStyle w:val="105"/>
                    <w:spacing w:line="320" w:lineRule="exact"/>
                    <w:ind w:left="0" w:firstLine="0"/>
                    <w:jc w:val="center"/>
                    <w:rPr>
                      <w:rFonts w:ascii="Times New Roman" w:cs="Times New Roman"/>
                      <w:sz w:val="21"/>
                      <w:szCs w:val="21"/>
                    </w:rPr>
                  </w:pPr>
                  <w:r>
                    <w:rPr>
                      <w:rFonts w:ascii="Times New Roman" w:cs="Times New Roman"/>
                      <w:sz w:val="21"/>
                      <w:szCs w:val="21"/>
                    </w:rPr>
                    <w:t>220</w:t>
                  </w:r>
                </w:p>
              </w:tc>
            </w:tr>
            <w:tr w14:paraId="1B7D6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0EC86C35">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37430296">
                  <w:pPr>
                    <w:pStyle w:val="105"/>
                    <w:spacing w:line="320" w:lineRule="exact"/>
                    <w:ind w:left="0" w:firstLine="0"/>
                    <w:jc w:val="center"/>
                    <w:rPr>
                      <w:rFonts w:ascii="Times New Roman" w:cs="Times New Roman"/>
                      <w:sz w:val="21"/>
                      <w:szCs w:val="21"/>
                    </w:rPr>
                  </w:pPr>
                  <w:r>
                    <w:rPr>
                      <w:rFonts w:ascii="Times New Roman" w:cs="Times New Roman"/>
                      <w:sz w:val="21"/>
                      <w:szCs w:val="21"/>
                    </w:rPr>
                    <w:t>轮毂高度（m）</w:t>
                  </w:r>
                </w:p>
              </w:tc>
              <w:tc>
                <w:tcPr>
                  <w:tcW w:w="2014" w:type="pct"/>
                  <w:tcBorders>
                    <w:tl2br w:val="nil"/>
                    <w:tr2bl w:val="nil"/>
                  </w:tcBorders>
                  <w:vAlign w:val="center"/>
                </w:tcPr>
                <w:p w14:paraId="4D6F09FD">
                  <w:pPr>
                    <w:pStyle w:val="105"/>
                    <w:spacing w:line="320" w:lineRule="exact"/>
                    <w:ind w:left="0" w:firstLine="0"/>
                    <w:jc w:val="center"/>
                    <w:rPr>
                      <w:rFonts w:ascii="Times New Roman" w:cs="Times New Roman"/>
                      <w:sz w:val="21"/>
                      <w:szCs w:val="21"/>
                    </w:rPr>
                  </w:pPr>
                  <w:r>
                    <w:rPr>
                      <w:rFonts w:ascii="Times New Roman" w:cs="Times New Roman"/>
                      <w:sz w:val="21"/>
                      <w:szCs w:val="21"/>
                    </w:rPr>
                    <w:t>175/180/185</w:t>
                  </w:r>
                </w:p>
              </w:tc>
            </w:tr>
            <w:tr w14:paraId="0088D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563D4BDE">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43477AFC">
                  <w:pPr>
                    <w:pStyle w:val="105"/>
                    <w:spacing w:line="320" w:lineRule="exact"/>
                    <w:ind w:left="0" w:firstLine="0"/>
                    <w:jc w:val="center"/>
                    <w:rPr>
                      <w:rFonts w:ascii="Times New Roman" w:cs="Times New Roman"/>
                      <w:sz w:val="21"/>
                      <w:szCs w:val="21"/>
                    </w:rPr>
                  </w:pPr>
                  <w:r>
                    <w:rPr>
                      <w:rFonts w:ascii="Times New Roman" w:cs="Times New Roman"/>
                      <w:sz w:val="21"/>
                      <w:szCs w:val="21"/>
                    </w:rPr>
                    <w:t>切入风速（m/s）</w:t>
                  </w:r>
                </w:p>
              </w:tc>
              <w:tc>
                <w:tcPr>
                  <w:tcW w:w="2014" w:type="pct"/>
                  <w:tcBorders>
                    <w:tl2br w:val="nil"/>
                    <w:tr2bl w:val="nil"/>
                  </w:tcBorders>
                  <w:vAlign w:val="center"/>
                </w:tcPr>
                <w:p w14:paraId="432BC254">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r>
            <w:tr w14:paraId="7E2A9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36AEEEC8">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0BE7A6B5">
                  <w:pPr>
                    <w:pStyle w:val="105"/>
                    <w:spacing w:line="320" w:lineRule="exact"/>
                    <w:ind w:left="0" w:firstLine="0"/>
                    <w:jc w:val="center"/>
                    <w:rPr>
                      <w:rFonts w:ascii="Times New Roman" w:cs="Times New Roman"/>
                      <w:sz w:val="21"/>
                      <w:szCs w:val="21"/>
                    </w:rPr>
                  </w:pPr>
                  <w:r>
                    <w:rPr>
                      <w:rFonts w:ascii="Times New Roman" w:cs="Times New Roman"/>
                      <w:sz w:val="21"/>
                      <w:szCs w:val="21"/>
                    </w:rPr>
                    <w:t>切出风速（m/s）</w:t>
                  </w:r>
                </w:p>
              </w:tc>
              <w:tc>
                <w:tcPr>
                  <w:tcW w:w="2014" w:type="pct"/>
                  <w:tcBorders>
                    <w:tl2br w:val="nil"/>
                    <w:tr2bl w:val="nil"/>
                  </w:tcBorders>
                  <w:vAlign w:val="center"/>
                </w:tcPr>
                <w:p w14:paraId="183CC917">
                  <w:pPr>
                    <w:pStyle w:val="105"/>
                    <w:spacing w:line="320" w:lineRule="exact"/>
                    <w:ind w:left="0" w:firstLine="0"/>
                    <w:jc w:val="center"/>
                    <w:rPr>
                      <w:rFonts w:ascii="Times New Roman" w:cs="Times New Roman"/>
                      <w:sz w:val="21"/>
                      <w:szCs w:val="21"/>
                    </w:rPr>
                  </w:pPr>
                  <w:r>
                    <w:rPr>
                      <w:rFonts w:ascii="Times New Roman" w:cs="Times New Roman"/>
                      <w:sz w:val="21"/>
                      <w:szCs w:val="21"/>
                    </w:rPr>
                    <w:t>25</w:t>
                  </w:r>
                </w:p>
              </w:tc>
            </w:tr>
            <w:tr w14:paraId="5F1CF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494E0199">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4C808A93">
                  <w:pPr>
                    <w:pStyle w:val="105"/>
                    <w:spacing w:line="320" w:lineRule="exact"/>
                    <w:ind w:left="0" w:firstLine="0"/>
                    <w:jc w:val="center"/>
                    <w:rPr>
                      <w:rFonts w:ascii="Times New Roman" w:cs="Times New Roman"/>
                      <w:sz w:val="21"/>
                      <w:szCs w:val="21"/>
                    </w:rPr>
                  </w:pPr>
                  <w:r>
                    <w:rPr>
                      <w:rFonts w:ascii="Times New Roman" w:cs="Times New Roman"/>
                      <w:sz w:val="21"/>
                      <w:szCs w:val="21"/>
                    </w:rPr>
                    <w:t>额定风速（m/s）</w:t>
                  </w:r>
                </w:p>
              </w:tc>
              <w:tc>
                <w:tcPr>
                  <w:tcW w:w="2014" w:type="pct"/>
                  <w:tcBorders>
                    <w:tl2br w:val="nil"/>
                    <w:tr2bl w:val="nil"/>
                  </w:tcBorders>
                  <w:vAlign w:val="center"/>
                </w:tcPr>
                <w:p w14:paraId="6D5F8370">
                  <w:pPr>
                    <w:pStyle w:val="105"/>
                    <w:spacing w:line="320" w:lineRule="exact"/>
                    <w:ind w:left="0" w:firstLine="0"/>
                    <w:jc w:val="center"/>
                    <w:rPr>
                      <w:rFonts w:ascii="Times New Roman" w:cs="Times New Roman"/>
                      <w:sz w:val="21"/>
                      <w:szCs w:val="21"/>
                    </w:rPr>
                  </w:pPr>
                  <w:r>
                    <w:rPr>
                      <w:rFonts w:ascii="Times New Roman" w:cs="Times New Roman"/>
                      <w:sz w:val="21"/>
                      <w:szCs w:val="21"/>
                    </w:rPr>
                    <w:t>13.5</w:t>
                  </w:r>
                </w:p>
              </w:tc>
            </w:tr>
            <w:tr w14:paraId="437AA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7061CA03">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2284C092">
                  <w:pPr>
                    <w:pStyle w:val="105"/>
                    <w:spacing w:line="320" w:lineRule="exact"/>
                    <w:ind w:left="0" w:firstLine="0"/>
                    <w:jc w:val="center"/>
                    <w:rPr>
                      <w:rFonts w:ascii="Times New Roman" w:cs="Times New Roman"/>
                      <w:sz w:val="21"/>
                      <w:szCs w:val="21"/>
                    </w:rPr>
                  </w:pPr>
                  <w:r>
                    <w:rPr>
                      <w:rFonts w:ascii="Times New Roman" w:cs="Times New Roman"/>
                      <w:sz w:val="21"/>
                      <w:szCs w:val="21"/>
                    </w:rPr>
                    <w:t>扫风面积（m</w:t>
                  </w:r>
                  <w:r>
                    <w:rPr>
                      <w:rFonts w:ascii="Times New Roman" w:cs="Times New Roman"/>
                      <w:sz w:val="21"/>
                      <w:szCs w:val="21"/>
                      <w:vertAlign w:val="superscript"/>
                    </w:rPr>
                    <w:t>2</w:t>
                  </w:r>
                  <w:r>
                    <w:rPr>
                      <w:rFonts w:ascii="Times New Roman" w:cs="Times New Roman"/>
                      <w:sz w:val="21"/>
                      <w:szCs w:val="21"/>
                    </w:rPr>
                    <w:t>）</w:t>
                  </w:r>
                </w:p>
              </w:tc>
              <w:tc>
                <w:tcPr>
                  <w:tcW w:w="2014" w:type="pct"/>
                  <w:tcBorders>
                    <w:tl2br w:val="nil"/>
                    <w:tr2bl w:val="nil"/>
                  </w:tcBorders>
                  <w:vAlign w:val="center"/>
                </w:tcPr>
                <w:p w14:paraId="0925B8EB">
                  <w:pPr>
                    <w:pStyle w:val="105"/>
                    <w:spacing w:line="320" w:lineRule="exact"/>
                    <w:ind w:left="0" w:firstLine="0"/>
                    <w:jc w:val="center"/>
                    <w:rPr>
                      <w:rFonts w:ascii="Times New Roman" w:cs="Times New Roman"/>
                      <w:sz w:val="21"/>
                      <w:szCs w:val="21"/>
                    </w:rPr>
                  </w:pPr>
                  <w:r>
                    <w:rPr>
                      <w:rFonts w:ascii="Times New Roman" w:cs="Times New Roman"/>
                      <w:sz w:val="21"/>
                      <w:szCs w:val="21"/>
                    </w:rPr>
                    <w:t>38013</w:t>
                  </w:r>
                </w:p>
              </w:tc>
            </w:tr>
            <w:tr w14:paraId="1D487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restart"/>
                  <w:tcBorders>
                    <w:tl2br w:val="nil"/>
                    <w:tr2bl w:val="nil"/>
                  </w:tcBorders>
                  <w:vAlign w:val="center"/>
                </w:tcPr>
                <w:p w14:paraId="70CB5928">
                  <w:pPr>
                    <w:pStyle w:val="105"/>
                    <w:spacing w:line="320" w:lineRule="exact"/>
                    <w:ind w:left="0" w:firstLine="0"/>
                    <w:jc w:val="center"/>
                    <w:rPr>
                      <w:rFonts w:ascii="Times New Roman" w:cs="Times New Roman"/>
                      <w:sz w:val="21"/>
                      <w:szCs w:val="21"/>
                    </w:rPr>
                  </w:pPr>
                  <w:r>
                    <w:rPr>
                      <w:rFonts w:ascii="Times New Roman" w:cs="Times New Roman"/>
                      <w:sz w:val="21"/>
                      <w:szCs w:val="21"/>
                    </w:rPr>
                    <w:t>温度</w:t>
                  </w:r>
                </w:p>
              </w:tc>
              <w:tc>
                <w:tcPr>
                  <w:tcW w:w="1774" w:type="pct"/>
                  <w:tcBorders>
                    <w:tl2br w:val="nil"/>
                    <w:tr2bl w:val="nil"/>
                  </w:tcBorders>
                  <w:vAlign w:val="center"/>
                </w:tcPr>
                <w:p w14:paraId="796937DF">
                  <w:pPr>
                    <w:pStyle w:val="105"/>
                    <w:spacing w:line="320" w:lineRule="exact"/>
                    <w:ind w:left="0" w:firstLine="0"/>
                    <w:jc w:val="center"/>
                    <w:rPr>
                      <w:rFonts w:ascii="Times New Roman" w:cs="Times New Roman"/>
                      <w:sz w:val="21"/>
                      <w:szCs w:val="21"/>
                    </w:rPr>
                  </w:pPr>
                  <w:r>
                    <w:rPr>
                      <w:rFonts w:ascii="Times New Roman" w:cs="Times New Roman"/>
                      <w:sz w:val="21"/>
                      <w:szCs w:val="21"/>
                    </w:rPr>
                    <w:t>运行温度范围（℃）</w:t>
                  </w:r>
                </w:p>
              </w:tc>
              <w:tc>
                <w:tcPr>
                  <w:tcW w:w="2014" w:type="pct"/>
                  <w:tcBorders>
                    <w:tl2br w:val="nil"/>
                    <w:tr2bl w:val="nil"/>
                  </w:tcBorders>
                  <w:vAlign w:val="center"/>
                </w:tcPr>
                <w:p w14:paraId="3D773D24">
                  <w:pPr>
                    <w:pStyle w:val="105"/>
                    <w:spacing w:line="320" w:lineRule="exact"/>
                    <w:ind w:left="0" w:firstLine="0"/>
                    <w:jc w:val="center"/>
                    <w:rPr>
                      <w:rFonts w:ascii="Times New Roman" w:cs="Times New Roman"/>
                      <w:sz w:val="21"/>
                      <w:szCs w:val="21"/>
                    </w:rPr>
                  </w:pPr>
                  <w:r>
                    <w:rPr>
                      <w:rFonts w:ascii="Times New Roman" w:cs="Times New Roman"/>
                      <w:sz w:val="21"/>
                      <w:szCs w:val="21"/>
                    </w:rPr>
                    <w:t>-30~40</w:t>
                  </w:r>
                </w:p>
              </w:tc>
            </w:tr>
            <w:tr w14:paraId="027A1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12" w:type="pct"/>
                  <w:vMerge w:val="continue"/>
                  <w:tcBorders>
                    <w:tl2br w:val="nil"/>
                    <w:tr2bl w:val="nil"/>
                  </w:tcBorders>
                  <w:vAlign w:val="center"/>
                </w:tcPr>
                <w:p w14:paraId="0918E008">
                  <w:pPr>
                    <w:pStyle w:val="105"/>
                    <w:spacing w:line="320" w:lineRule="exact"/>
                    <w:ind w:left="0" w:firstLine="0"/>
                    <w:jc w:val="center"/>
                    <w:rPr>
                      <w:rFonts w:ascii="Times New Roman" w:cs="Times New Roman"/>
                      <w:sz w:val="21"/>
                      <w:szCs w:val="21"/>
                    </w:rPr>
                  </w:pPr>
                </w:p>
              </w:tc>
              <w:tc>
                <w:tcPr>
                  <w:tcW w:w="1774" w:type="pct"/>
                  <w:tcBorders>
                    <w:tl2br w:val="nil"/>
                    <w:tr2bl w:val="nil"/>
                  </w:tcBorders>
                  <w:vAlign w:val="center"/>
                </w:tcPr>
                <w:p w14:paraId="732E568C">
                  <w:pPr>
                    <w:pStyle w:val="105"/>
                    <w:spacing w:line="320" w:lineRule="exact"/>
                    <w:ind w:left="0" w:firstLine="0"/>
                    <w:jc w:val="center"/>
                    <w:rPr>
                      <w:rFonts w:ascii="Times New Roman" w:cs="Times New Roman"/>
                      <w:sz w:val="21"/>
                      <w:szCs w:val="21"/>
                    </w:rPr>
                  </w:pPr>
                  <w:r>
                    <w:rPr>
                      <w:rFonts w:ascii="Times New Roman" w:cs="Times New Roman"/>
                      <w:sz w:val="21"/>
                      <w:szCs w:val="21"/>
                    </w:rPr>
                    <w:t>机组生存温度（℃）</w:t>
                  </w:r>
                </w:p>
              </w:tc>
              <w:tc>
                <w:tcPr>
                  <w:tcW w:w="2014" w:type="pct"/>
                  <w:tcBorders>
                    <w:tl2br w:val="nil"/>
                    <w:tr2bl w:val="nil"/>
                  </w:tcBorders>
                  <w:vAlign w:val="center"/>
                </w:tcPr>
                <w:p w14:paraId="40D70129">
                  <w:pPr>
                    <w:pStyle w:val="105"/>
                    <w:spacing w:line="320" w:lineRule="exact"/>
                    <w:ind w:left="0" w:firstLine="0"/>
                    <w:jc w:val="center"/>
                    <w:rPr>
                      <w:rFonts w:ascii="Times New Roman" w:cs="Times New Roman"/>
                      <w:sz w:val="21"/>
                      <w:szCs w:val="21"/>
                    </w:rPr>
                  </w:pPr>
                  <w:r>
                    <w:rPr>
                      <w:rFonts w:ascii="Times New Roman" w:cs="Times New Roman"/>
                      <w:sz w:val="21"/>
                      <w:szCs w:val="21"/>
                    </w:rPr>
                    <w:t>-40~50</w:t>
                  </w:r>
                </w:p>
              </w:tc>
            </w:tr>
          </w:tbl>
          <w:p w14:paraId="565B6691">
            <w:pPr>
              <w:adjustRightInd w:val="0"/>
              <w:snapToGrid w:val="0"/>
              <w:spacing w:line="480" w:lineRule="exact"/>
              <w:ind w:firstLine="480" w:firstLineChars="200"/>
              <w:rPr>
                <w:sz w:val="24"/>
              </w:rPr>
            </w:pPr>
            <w:r>
              <w:rPr>
                <w:sz w:val="24"/>
              </w:rPr>
              <w:t>本项目选用的风机箱变的主要技术参数见下表。</w:t>
            </w:r>
          </w:p>
          <w:p w14:paraId="2C639E33">
            <w:pPr>
              <w:pStyle w:val="5"/>
              <w:spacing w:before="0" w:after="0" w:line="480" w:lineRule="exact"/>
              <w:jc w:val="center"/>
              <w:rPr>
                <w:b/>
                <w:bCs/>
              </w:rPr>
            </w:pPr>
            <w:r>
              <w:rPr>
                <w:b/>
                <w:bCs/>
              </w:rPr>
              <w:t>表2-</w:t>
            </w:r>
            <w:r>
              <w:rPr>
                <w:rFonts w:hint="eastAsia"/>
                <w:b/>
                <w:bCs/>
              </w:rPr>
              <w:t>6</w:t>
            </w:r>
            <w:r>
              <w:rPr>
                <w:b/>
                <w:bCs/>
              </w:rPr>
              <w:t xml:space="preserve">     风机箱变主要参数一览表</w:t>
            </w:r>
          </w:p>
          <w:tbl>
            <w:tblPr>
              <w:tblStyle w:val="3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3650"/>
              <w:gridCol w:w="3651"/>
            </w:tblGrid>
            <w:tr w14:paraId="3B077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295660C9">
                  <w:pPr>
                    <w:pStyle w:val="105"/>
                    <w:spacing w:line="320" w:lineRule="exact"/>
                    <w:ind w:left="0" w:firstLine="0"/>
                    <w:jc w:val="center"/>
                    <w:rPr>
                      <w:rFonts w:ascii="Times New Roman" w:cs="Times New Roman"/>
                      <w:sz w:val="21"/>
                      <w:szCs w:val="21"/>
                    </w:rPr>
                  </w:pPr>
                  <w:r>
                    <w:rPr>
                      <w:rFonts w:ascii="Times New Roman" w:cs="Times New Roman"/>
                      <w:sz w:val="21"/>
                      <w:szCs w:val="21"/>
                    </w:rPr>
                    <w:t>序号</w:t>
                  </w:r>
                </w:p>
              </w:tc>
              <w:tc>
                <w:tcPr>
                  <w:tcW w:w="3650" w:type="dxa"/>
                  <w:tcBorders>
                    <w:tl2br w:val="nil"/>
                    <w:tr2bl w:val="nil"/>
                  </w:tcBorders>
                  <w:vAlign w:val="center"/>
                </w:tcPr>
                <w:p w14:paraId="567F0597">
                  <w:pPr>
                    <w:pStyle w:val="105"/>
                    <w:spacing w:line="320" w:lineRule="exact"/>
                    <w:ind w:left="0" w:firstLine="0"/>
                    <w:jc w:val="center"/>
                    <w:rPr>
                      <w:rFonts w:ascii="Times New Roman" w:cs="Times New Roman"/>
                      <w:sz w:val="21"/>
                      <w:szCs w:val="21"/>
                    </w:rPr>
                  </w:pPr>
                  <w:r>
                    <w:rPr>
                      <w:rFonts w:ascii="Times New Roman" w:cs="Times New Roman"/>
                      <w:sz w:val="21"/>
                      <w:szCs w:val="21"/>
                    </w:rPr>
                    <w:t>项目</w:t>
                  </w:r>
                </w:p>
              </w:tc>
              <w:tc>
                <w:tcPr>
                  <w:tcW w:w="3651" w:type="dxa"/>
                  <w:tcBorders>
                    <w:tl2br w:val="nil"/>
                    <w:tr2bl w:val="nil"/>
                  </w:tcBorders>
                  <w:vAlign w:val="center"/>
                </w:tcPr>
                <w:p w14:paraId="69C74EB0">
                  <w:pPr>
                    <w:pStyle w:val="105"/>
                    <w:spacing w:line="320" w:lineRule="exact"/>
                    <w:ind w:left="0" w:firstLine="0"/>
                    <w:jc w:val="center"/>
                    <w:rPr>
                      <w:rFonts w:ascii="Times New Roman" w:cs="Times New Roman"/>
                      <w:sz w:val="21"/>
                      <w:szCs w:val="21"/>
                    </w:rPr>
                  </w:pPr>
                  <w:r>
                    <w:rPr>
                      <w:rFonts w:ascii="Times New Roman" w:cs="Times New Roman"/>
                      <w:sz w:val="21"/>
                      <w:szCs w:val="21"/>
                    </w:rPr>
                    <w:t>主要技术参数</w:t>
                  </w:r>
                </w:p>
              </w:tc>
            </w:tr>
            <w:tr w14:paraId="05998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669E0A11">
                  <w:pPr>
                    <w:pStyle w:val="105"/>
                    <w:spacing w:line="320" w:lineRule="exact"/>
                    <w:ind w:left="0" w:firstLine="0"/>
                    <w:jc w:val="center"/>
                    <w:rPr>
                      <w:rFonts w:ascii="Times New Roman" w:cs="Times New Roman"/>
                      <w:sz w:val="21"/>
                      <w:szCs w:val="21"/>
                    </w:rPr>
                  </w:pPr>
                  <w:r>
                    <w:rPr>
                      <w:rFonts w:ascii="Times New Roman" w:cs="Times New Roman"/>
                      <w:sz w:val="21"/>
                      <w:szCs w:val="21"/>
                    </w:rPr>
                    <w:t>1</w:t>
                  </w:r>
                </w:p>
              </w:tc>
              <w:tc>
                <w:tcPr>
                  <w:tcW w:w="3650" w:type="dxa"/>
                  <w:tcBorders>
                    <w:tl2br w:val="nil"/>
                    <w:tr2bl w:val="nil"/>
                  </w:tcBorders>
                  <w:vAlign w:val="center"/>
                </w:tcPr>
                <w:p w14:paraId="75236D20">
                  <w:pPr>
                    <w:pStyle w:val="105"/>
                    <w:spacing w:line="320" w:lineRule="exact"/>
                    <w:ind w:left="0" w:firstLine="0"/>
                    <w:jc w:val="center"/>
                    <w:rPr>
                      <w:rFonts w:ascii="Times New Roman" w:cs="Times New Roman"/>
                      <w:sz w:val="21"/>
                      <w:szCs w:val="21"/>
                    </w:rPr>
                  </w:pPr>
                  <w:r>
                    <w:rPr>
                      <w:rFonts w:ascii="Times New Roman" w:cs="Times New Roman"/>
                      <w:sz w:val="21"/>
                      <w:szCs w:val="21"/>
                    </w:rPr>
                    <w:t>型式</w:t>
                  </w:r>
                </w:p>
              </w:tc>
              <w:tc>
                <w:tcPr>
                  <w:tcW w:w="3651" w:type="dxa"/>
                  <w:tcBorders>
                    <w:tl2br w:val="nil"/>
                    <w:tr2bl w:val="nil"/>
                  </w:tcBorders>
                  <w:vAlign w:val="center"/>
                </w:tcPr>
                <w:p w14:paraId="3B346080">
                  <w:pPr>
                    <w:pStyle w:val="105"/>
                    <w:spacing w:line="320" w:lineRule="exact"/>
                    <w:ind w:left="0" w:firstLine="0"/>
                    <w:jc w:val="center"/>
                    <w:rPr>
                      <w:rFonts w:ascii="Times New Roman" w:cs="Times New Roman"/>
                      <w:sz w:val="21"/>
                      <w:szCs w:val="21"/>
                    </w:rPr>
                  </w:pPr>
                  <w:r>
                    <w:rPr>
                      <w:rFonts w:ascii="Times New Roman" w:cs="Times New Roman"/>
                      <w:sz w:val="21"/>
                      <w:szCs w:val="21"/>
                    </w:rPr>
                    <w:t>华式箱变</w:t>
                  </w:r>
                </w:p>
              </w:tc>
            </w:tr>
            <w:tr w14:paraId="43880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3870D2A3">
                  <w:pPr>
                    <w:pStyle w:val="105"/>
                    <w:spacing w:line="320" w:lineRule="exact"/>
                    <w:ind w:left="0" w:firstLine="0"/>
                    <w:jc w:val="center"/>
                    <w:rPr>
                      <w:rFonts w:ascii="Times New Roman" w:cs="Times New Roman"/>
                      <w:sz w:val="21"/>
                      <w:szCs w:val="21"/>
                    </w:rPr>
                  </w:pPr>
                  <w:r>
                    <w:rPr>
                      <w:rFonts w:ascii="Times New Roman" w:cs="Times New Roman"/>
                      <w:sz w:val="21"/>
                      <w:szCs w:val="21"/>
                    </w:rPr>
                    <w:t>2</w:t>
                  </w:r>
                </w:p>
              </w:tc>
              <w:tc>
                <w:tcPr>
                  <w:tcW w:w="3650" w:type="dxa"/>
                  <w:tcBorders>
                    <w:tl2br w:val="nil"/>
                    <w:tr2bl w:val="nil"/>
                  </w:tcBorders>
                  <w:vAlign w:val="center"/>
                </w:tcPr>
                <w:p w14:paraId="1470E3C8">
                  <w:pPr>
                    <w:pStyle w:val="105"/>
                    <w:spacing w:line="320" w:lineRule="exact"/>
                    <w:ind w:left="0" w:firstLine="0"/>
                    <w:jc w:val="center"/>
                    <w:rPr>
                      <w:rFonts w:ascii="Times New Roman" w:cs="Times New Roman"/>
                      <w:sz w:val="21"/>
                      <w:szCs w:val="21"/>
                    </w:rPr>
                  </w:pPr>
                  <w:r>
                    <w:rPr>
                      <w:rFonts w:ascii="Times New Roman" w:cs="Times New Roman"/>
                      <w:sz w:val="21"/>
                      <w:szCs w:val="21"/>
                    </w:rPr>
                    <w:t>型号</w:t>
                  </w:r>
                </w:p>
              </w:tc>
              <w:tc>
                <w:tcPr>
                  <w:tcW w:w="3651" w:type="dxa"/>
                  <w:tcBorders>
                    <w:tl2br w:val="nil"/>
                    <w:tr2bl w:val="nil"/>
                  </w:tcBorders>
                  <w:vAlign w:val="center"/>
                </w:tcPr>
                <w:p w14:paraId="2FE2E502">
                  <w:pPr>
                    <w:pStyle w:val="105"/>
                    <w:spacing w:line="320" w:lineRule="exact"/>
                    <w:ind w:left="0" w:firstLine="0"/>
                    <w:jc w:val="center"/>
                    <w:rPr>
                      <w:rFonts w:ascii="Times New Roman" w:cs="Times New Roman"/>
                      <w:sz w:val="21"/>
                      <w:szCs w:val="21"/>
                    </w:rPr>
                  </w:pPr>
                  <w:r>
                    <w:rPr>
                      <w:rFonts w:ascii="Times New Roman" w:cs="Times New Roman"/>
                      <w:sz w:val="21"/>
                      <w:szCs w:val="21"/>
                    </w:rPr>
                    <w:t>S18-8500/35</w:t>
                  </w:r>
                </w:p>
              </w:tc>
            </w:tr>
            <w:tr w14:paraId="3C1D3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636B98D6">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3650" w:type="dxa"/>
                  <w:tcBorders>
                    <w:tl2br w:val="nil"/>
                    <w:tr2bl w:val="nil"/>
                  </w:tcBorders>
                  <w:vAlign w:val="center"/>
                </w:tcPr>
                <w:p w14:paraId="384DCCD9">
                  <w:pPr>
                    <w:pStyle w:val="105"/>
                    <w:spacing w:line="320" w:lineRule="exact"/>
                    <w:ind w:left="0" w:firstLine="0"/>
                    <w:jc w:val="center"/>
                    <w:rPr>
                      <w:rFonts w:ascii="Times New Roman" w:cs="Times New Roman"/>
                      <w:sz w:val="21"/>
                      <w:szCs w:val="21"/>
                    </w:rPr>
                  </w:pPr>
                  <w:r>
                    <w:rPr>
                      <w:rFonts w:ascii="Times New Roman" w:cs="Times New Roman"/>
                      <w:sz w:val="21"/>
                      <w:szCs w:val="21"/>
                    </w:rPr>
                    <w:t>额定容量</w:t>
                  </w:r>
                </w:p>
              </w:tc>
              <w:tc>
                <w:tcPr>
                  <w:tcW w:w="3651" w:type="dxa"/>
                  <w:tcBorders>
                    <w:tl2br w:val="nil"/>
                    <w:tr2bl w:val="nil"/>
                  </w:tcBorders>
                  <w:vAlign w:val="center"/>
                </w:tcPr>
                <w:p w14:paraId="09E1828D">
                  <w:pPr>
                    <w:pStyle w:val="105"/>
                    <w:spacing w:line="320" w:lineRule="exact"/>
                    <w:ind w:left="0" w:firstLine="0"/>
                    <w:jc w:val="center"/>
                    <w:rPr>
                      <w:rFonts w:ascii="Times New Roman" w:cs="Times New Roman"/>
                      <w:sz w:val="21"/>
                      <w:szCs w:val="21"/>
                    </w:rPr>
                  </w:pPr>
                  <w:r>
                    <w:rPr>
                      <w:rFonts w:ascii="Times New Roman" w:cs="Times New Roman"/>
                      <w:sz w:val="21"/>
                      <w:szCs w:val="21"/>
                    </w:rPr>
                    <w:t>8500kVA</w:t>
                  </w:r>
                </w:p>
              </w:tc>
            </w:tr>
            <w:tr w14:paraId="7D06E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0BA758CA">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3650" w:type="dxa"/>
                  <w:tcBorders>
                    <w:tl2br w:val="nil"/>
                    <w:tr2bl w:val="nil"/>
                  </w:tcBorders>
                  <w:vAlign w:val="center"/>
                </w:tcPr>
                <w:p w14:paraId="07552037">
                  <w:pPr>
                    <w:pStyle w:val="105"/>
                    <w:spacing w:line="320" w:lineRule="exact"/>
                    <w:ind w:left="0" w:firstLine="0"/>
                    <w:jc w:val="center"/>
                    <w:rPr>
                      <w:rFonts w:ascii="Times New Roman" w:cs="Times New Roman"/>
                      <w:sz w:val="21"/>
                      <w:szCs w:val="21"/>
                    </w:rPr>
                  </w:pPr>
                  <w:r>
                    <w:rPr>
                      <w:rFonts w:ascii="Times New Roman" w:cs="Times New Roman"/>
                      <w:sz w:val="21"/>
                      <w:szCs w:val="21"/>
                    </w:rPr>
                    <w:t>额定电压</w:t>
                  </w:r>
                </w:p>
              </w:tc>
              <w:tc>
                <w:tcPr>
                  <w:tcW w:w="3651" w:type="dxa"/>
                  <w:tcBorders>
                    <w:tl2br w:val="nil"/>
                    <w:tr2bl w:val="nil"/>
                  </w:tcBorders>
                  <w:vAlign w:val="center"/>
                </w:tcPr>
                <w:p w14:paraId="5863D40E">
                  <w:pPr>
                    <w:pStyle w:val="105"/>
                    <w:spacing w:line="320" w:lineRule="exact"/>
                    <w:ind w:left="0" w:firstLine="0"/>
                    <w:jc w:val="center"/>
                    <w:rPr>
                      <w:rFonts w:ascii="Times New Roman" w:cs="Times New Roman"/>
                      <w:sz w:val="21"/>
                      <w:szCs w:val="21"/>
                    </w:rPr>
                  </w:pPr>
                  <w:r>
                    <w:rPr>
                      <w:rFonts w:ascii="Times New Roman" w:cs="Times New Roman"/>
                      <w:sz w:val="21"/>
                      <w:szCs w:val="21"/>
                    </w:rPr>
                    <w:t>1140V</w:t>
                  </w:r>
                </w:p>
              </w:tc>
            </w:tr>
            <w:tr w14:paraId="27EB9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24ACD938">
                  <w:pPr>
                    <w:pStyle w:val="105"/>
                    <w:spacing w:line="320" w:lineRule="exact"/>
                    <w:ind w:left="0" w:firstLine="0"/>
                    <w:jc w:val="center"/>
                    <w:rPr>
                      <w:rFonts w:ascii="Times New Roman" w:cs="Times New Roman"/>
                      <w:sz w:val="21"/>
                      <w:szCs w:val="21"/>
                    </w:rPr>
                  </w:pPr>
                  <w:r>
                    <w:rPr>
                      <w:rFonts w:ascii="Times New Roman" w:cs="Times New Roman"/>
                      <w:sz w:val="21"/>
                      <w:szCs w:val="21"/>
                    </w:rPr>
                    <w:t>5</w:t>
                  </w:r>
                </w:p>
              </w:tc>
              <w:tc>
                <w:tcPr>
                  <w:tcW w:w="3650" w:type="dxa"/>
                  <w:tcBorders>
                    <w:tl2br w:val="nil"/>
                    <w:tr2bl w:val="nil"/>
                  </w:tcBorders>
                  <w:vAlign w:val="center"/>
                </w:tcPr>
                <w:p w14:paraId="235DAC95">
                  <w:pPr>
                    <w:pStyle w:val="105"/>
                    <w:spacing w:line="320" w:lineRule="exact"/>
                    <w:ind w:left="0" w:firstLine="0"/>
                    <w:jc w:val="center"/>
                    <w:rPr>
                      <w:rFonts w:ascii="Times New Roman" w:cs="Times New Roman"/>
                      <w:sz w:val="21"/>
                      <w:szCs w:val="21"/>
                    </w:rPr>
                  </w:pPr>
                  <w:r>
                    <w:rPr>
                      <w:rFonts w:ascii="Times New Roman" w:cs="Times New Roman"/>
                      <w:sz w:val="21"/>
                      <w:szCs w:val="21"/>
                    </w:rPr>
                    <w:t>额定电压比</w:t>
                  </w:r>
                </w:p>
              </w:tc>
              <w:tc>
                <w:tcPr>
                  <w:tcW w:w="3651" w:type="dxa"/>
                  <w:tcBorders>
                    <w:tl2br w:val="nil"/>
                    <w:tr2bl w:val="nil"/>
                  </w:tcBorders>
                  <w:vAlign w:val="center"/>
                </w:tcPr>
                <w:p w14:paraId="28FE658A">
                  <w:pPr>
                    <w:pStyle w:val="105"/>
                    <w:spacing w:line="320" w:lineRule="exact"/>
                    <w:ind w:left="0" w:firstLine="0"/>
                    <w:jc w:val="center"/>
                    <w:rPr>
                      <w:rFonts w:ascii="Times New Roman" w:cs="Times New Roman"/>
                      <w:sz w:val="21"/>
                      <w:szCs w:val="21"/>
                    </w:rPr>
                  </w:pPr>
                  <w:r>
                    <w:rPr>
                      <w:rFonts w:ascii="Times New Roman" w:cs="Times New Roman"/>
                      <w:sz w:val="21"/>
                      <w:szCs w:val="21"/>
                    </w:rPr>
                    <w:t>37±2×2.5%/1.14kV</w:t>
                  </w:r>
                </w:p>
              </w:tc>
            </w:tr>
            <w:tr w14:paraId="48090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379DE7F1">
                  <w:pPr>
                    <w:pStyle w:val="105"/>
                    <w:spacing w:line="320" w:lineRule="exact"/>
                    <w:ind w:left="0" w:firstLine="0"/>
                    <w:jc w:val="center"/>
                    <w:rPr>
                      <w:rFonts w:ascii="Times New Roman" w:cs="Times New Roman"/>
                      <w:sz w:val="21"/>
                      <w:szCs w:val="21"/>
                    </w:rPr>
                  </w:pPr>
                  <w:r>
                    <w:rPr>
                      <w:rFonts w:ascii="Times New Roman" w:cs="Times New Roman"/>
                      <w:sz w:val="21"/>
                      <w:szCs w:val="21"/>
                    </w:rPr>
                    <w:t>6</w:t>
                  </w:r>
                </w:p>
              </w:tc>
              <w:tc>
                <w:tcPr>
                  <w:tcW w:w="3650" w:type="dxa"/>
                  <w:tcBorders>
                    <w:tl2br w:val="nil"/>
                    <w:tr2bl w:val="nil"/>
                  </w:tcBorders>
                  <w:vAlign w:val="center"/>
                </w:tcPr>
                <w:p w14:paraId="5CD72FF2">
                  <w:pPr>
                    <w:pStyle w:val="105"/>
                    <w:spacing w:line="320" w:lineRule="exact"/>
                    <w:ind w:left="0" w:firstLine="0"/>
                    <w:jc w:val="center"/>
                    <w:rPr>
                      <w:rFonts w:ascii="Times New Roman" w:cs="Times New Roman"/>
                      <w:sz w:val="21"/>
                      <w:szCs w:val="21"/>
                    </w:rPr>
                  </w:pPr>
                  <w:r>
                    <w:rPr>
                      <w:rFonts w:ascii="Times New Roman" w:cs="Times New Roman"/>
                      <w:sz w:val="21"/>
                      <w:szCs w:val="21"/>
                    </w:rPr>
                    <w:t xml:space="preserve">接线组别 </w:t>
                  </w:r>
                </w:p>
              </w:tc>
              <w:tc>
                <w:tcPr>
                  <w:tcW w:w="3651" w:type="dxa"/>
                  <w:tcBorders>
                    <w:tl2br w:val="nil"/>
                    <w:tr2bl w:val="nil"/>
                  </w:tcBorders>
                  <w:vAlign w:val="center"/>
                </w:tcPr>
                <w:p w14:paraId="760F1D2D">
                  <w:pPr>
                    <w:pStyle w:val="105"/>
                    <w:spacing w:line="320" w:lineRule="exact"/>
                    <w:ind w:left="0" w:firstLine="0"/>
                    <w:jc w:val="center"/>
                    <w:rPr>
                      <w:rFonts w:ascii="Times New Roman" w:cs="Times New Roman"/>
                      <w:sz w:val="21"/>
                      <w:szCs w:val="21"/>
                    </w:rPr>
                  </w:pPr>
                  <w:r>
                    <w:rPr>
                      <w:rFonts w:ascii="Times New Roman" w:cs="Times New Roman"/>
                      <w:sz w:val="21"/>
                      <w:szCs w:val="21"/>
                    </w:rPr>
                    <w:t>Dyn11</w:t>
                  </w:r>
                </w:p>
              </w:tc>
            </w:tr>
            <w:tr w14:paraId="51B3D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15569814">
                  <w:pPr>
                    <w:pStyle w:val="105"/>
                    <w:spacing w:line="320" w:lineRule="exact"/>
                    <w:ind w:left="0" w:firstLine="0"/>
                    <w:jc w:val="center"/>
                    <w:rPr>
                      <w:rFonts w:ascii="Times New Roman" w:cs="Times New Roman"/>
                      <w:sz w:val="21"/>
                      <w:szCs w:val="21"/>
                    </w:rPr>
                  </w:pPr>
                  <w:r>
                    <w:rPr>
                      <w:rFonts w:ascii="Times New Roman" w:cs="Times New Roman"/>
                      <w:sz w:val="21"/>
                      <w:szCs w:val="21"/>
                    </w:rPr>
                    <w:t>7</w:t>
                  </w:r>
                </w:p>
              </w:tc>
              <w:tc>
                <w:tcPr>
                  <w:tcW w:w="3650" w:type="dxa"/>
                  <w:tcBorders>
                    <w:tl2br w:val="nil"/>
                    <w:tr2bl w:val="nil"/>
                  </w:tcBorders>
                  <w:vAlign w:val="center"/>
                </w:tcPr>
                <w:p w14:paraId="0A3F069B">
                  <w:pPr>
                    <w:pStyle w:val="105"/>
                    <w:spacing w:line="320" w:lineRule="exact"/>
                    <w:ind w:left="0" w:firstLine="0"/>
                    <w:jc w:val="center"/>
                    <w:rPr>
                      <w:rFonts w:ascii="Times New Roman" w:cs="Times New Roman"/>
                      <w:sz w:val="21"/>
                      <w:szCs w:val="21"/>
                    </w:rPr>
                  </w:pPr>
                  <w:r>
                    <w:rPr>
                      <w:rFonts w:ascii="Times New Roman" w:cs="Times New Roman"/>
                      <w:sz w:val="21"/>
                      <w:szCs w:val="21"/>
                    </w:rPr>
                    <w:t>调压方式</w:t>
                  </w:r>
                </w:p>
              </w:tc>
              <w:tc>
                <w:tcPr>
                  <w:tcW w:w="3651" w:type="dxa"/>
                  <w:tcBorders>
                    <w:tl2br w:val="nil"/>
                    <w:tr2bl w:val="nil"/>
                  </w:tcBorders>
                  <w:vAlign w:val="center"/>
                </w:tcPr>
                <w:p w14:paraId="313F90B6">
                  <w:pPr>
                    <w:pStyle w:val="105"/>
                    <w:spacing w:line="320" w:lineRule="exact"/>
                    <w:ind w:left="0" w:firstLine="0"/>
                    <w:jc w:val="center"/>
                    <w:rPr>
                      <w:rFonts w:ascii="Times New Roman" w:cs="Times New Roman"/>
                      <w:sz w:val="21"/>
                      <w:szCs w:val="21"/>
                    </w:rPr>
                  </w:pPr>
                  <w:r>
                    <w:rPr>
                      <w:rFonts w:ascii="Times New Roman" w:cs="Times New Roman"/>
                      <w:sz w:val="21"/>
                      <w:szCs w:val="21"/>
                    </w:rPr>
                    <w:t>无载调压</w:t>
                  </w:r>
                </w:p>
              </w:tc>
            </w:tr>
            <w:tr w14:paraId="265AD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43A94EB2">
                  <w:pPr>
                    <w:pStyle w:val="105"/>
                    <w:spacing w:line="320" w:lineRule="exact"/>
                    <w:ind w:left="0" w:firstLine="0"/>
                    <w:jc w:val="center"/>
                    <w:rPr>
                      <w:rFonts w:ascii="Times New Roman" w:cs="Times New Roman"/>
                      <w:sz w:val="21"/>
                      <w:szCs w:val="21"/>
                    </w:rPr>
                  </w:pPr>
                  <w:r>
                    <w:rPr>
                      <w:rFonts w:ascii="Times New Roman" w:cs="Times New Roman"/>
                      <w:sz w:val="21"/>
                      <w:szCs w:val="21"/>
                    </w:rPr>
                    <w:t>8</w:t>
                  </w:r>
                </w:p>
              </w:tc>
              <w:tc>
                <w:tcPr>
                  <w:tcW w:w="3650" w:type="dxa"/>
                  <w:tcBorders>
                    <w:tl2br w:val="nil"/>
                    <w:tr2bl w:val="nil"/>
                  </w:tcBorders>
                  <w:vAlign w:val="center"/>
                </w:tcPr>
                <w:p w14:paraId="7432A4A2">
                  <w:pPr>
                    <w:pStyle w:val="105"/>
                    <w:spacing w:line="320" w:lineRule="exact"/>
                    <w:ind w:left="0" w:firstLine="0"/>
                    <w:jc w:val="center"/>
                    <w:rPr>
                      <w:rFonts w:ascii="Times New Roman" w:cs="Times New Roman"/>
                      <w:sz w:val="21"/>
                      <w:szCs w:val="21"/>
                    </w:rPr>
                  </w:pPr>
                  <w:r>
                    <w:rPr>
                      <w:rFonts w:ascii="Times New Roman" w:cs="Times New Roman"/>
                      <w:sz w:val="21"/>
                      <w:szCs w:val="21"/>
                    </w:rPr>
                    <w:t>阻抗电压</w:t>
                  </w:r>
                </w:p>
              </w:tc>
              <w:tc>
                <w:tcPr>
                  <w:tcW w:w="3651" w:type="dxa"/>
                  <w:tcBorders>
                    <w:tl2br w:val="nil"/>
                    <w:tr2bl w:val="nil"/>
                  </w:tcBorders>
                  <w:vAlign w:val="center"/>
                </w:tcPr>
                <w:p w14:paraId="7BC9D471">
                  <w:pPr>
                    <w:pStyle w:val="105"/>
                    <w:spacing w:line="320" w:lineRule="exact"/>
                    <w:ind w:left="0" w:firstLine="0"/>
                    <w:jc w:val="center"/>
                    <w:rPr>
                      <w:rFonts w:ascii="Times New Roman" w:cs="Times New Roman"/>
                      <w:sz w:val="21"/>
                      <w:szCs w:val="21"/>
                    </w:rPr>
                  </w:pPr>
                  <w:r>
                    <w:rPr>
                      <w:rFonts w:ascii="Times New Roman" w:cs="Times New Roman"/>
                      <w:sz w:val="21"/>
                      <w:szCs w:val="21"/>
                    </w:rPr>
                    <w:t>6.5%</w:t>
                  </w:r>
                </w:p>
              </w:tc>
            </w:tr>
            <w:tr w14:paraId="4B572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11626C95">
                  <w:pPr>
                    <w:pStyle w:val="105"/>
                    <w:spacing w:line="320" w:lineRule="exact"/>
                    <w:ind w:left="0" w:firstLine="0"/>
                    <w:jc w:val="center"/>
                    <w:rPr>
                      <w:rFonts w:ascii="Times New Roman" w:cs="Times New Roman"/>
                      <w:sz w:val="21"/>
                      <w:szCs w:val="21"/>
                    </w:rPr>
                  </w:pPr>
                  <w:r>
                    <w:rPr>
                      <w:rFonts w:ascii="Times New Roman" w:cs="Times New Roman"/>
                      <w:sz w:val="21"/>
                      <w:szCs w:val="21"/>
                    </w:rPr>
                    <w:t>9</w:t>
                  </w:r>
                </w:p>
              </w:tc>
              <w:tc>
                <w:tcPr>
                  <w:tcW w:w="3650" w:type="dxa"/>
                  <w:tcBorders>
                    <w:tl2br w:val="nil"/>
                    <w:tr2bl w:val="nil"/>
                  </w:tcBorders>
                  <w:vAlign w:val="center"/>
                </w:tcPr>
                <w:p w14:paraId="612E7985">
                  <w:pPr>
                    <w:pStyle w:val="105"/>
                    <w:spacing w:line="320" w:lineRule="exact"/>
                    <w:ind w:left="0" w:firstLine="0"/>
                    <w:jc w:val="center"/>
                    <w:rPr>
                      <w:rFonts w:ascii="Times New Roman" w:cs="Times New Roman"/>
                      <w:sz w:val="21"/>
                      <w:szCs w:val="21"/>
                    </w:rPr>
                  </w:pPr>
                  <w:r>
                    <w:rPr>
                      <w:rFonts w:ascii="Times New Roman" w:cs="Times New Roman"/>
                      <w:sz w:val="21"/>
                      <w:szCs w:val="21"/>
                    </w:rPr>
                    <w:t>能效等级</w:t>
                  </w:r>
                </w:p>
              </w:tc>
              <w:tc>
                <w:tcPr>
                  <w:tcW w:w="3651" w:type="dxa"/>
                  <w:tcBorders>
                    <w:tl2br w:val="nil"/>
                    <w:tr2bl w:val="nil"/>
                  </w:tcBorders>
                  <w:vAlign w:val="center"/>
                </w:tcPr>
                <w:p w14:paraId="087ECE84">
                  <w:pPr>
                    <w:pStyle w:val="105"/>
                    <w:spacing w:line="320" w:lineRule="exact"/>
                    <w:ind w:left="0" w:firstLine="0"/>
                    <w:jc w:val="center"/>
                    <w:rPr>
                      <w:rFonts w:ascii="Times New Roman" w:cs="Times New Roman"/>
                      <w:sz w:val="21"/>
                      <w:szCs w:val="21"/>
                    </w:rPr>
                  </w:pPr>
                  <w:r>
                    <w:rPr>
                      <w:rFonts w:ascii="Times New Roman" w:cs="Times New Roman"/>
                      <w:sz w:val="21"/>
                      <w:szCs w:val="21"/>
                    </w:rPr>
                    <w:t>2级（GB20052-2020）</w:t>
                  </w:r>
                </w:p>
              </w:tc>
            </w:tr>
            <w:tr w14:paraId="297CE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0297B1CE">
                  <w:pPr>
                    <w:pStyle w:val="105"/>
                    <w:spacing w:line="320" w:lineRule="exact"/>
                    <w:ind w:left="0" w:firstLine="0"/>
                    <w:jc w:val="center"/>
                    <w:rPr>
                      <w:rFonts w:ascii="Times New Roman" w:cs="Times New Roman"/>
                      <w:sz w:val="21"/>
                      <w:szCs w:val="21"/>
                    </w:rPr>
                  </w:pPr>
                  <w:r>
                    <w:rPr>
                      <w:rFonts w:ascii="Times New Roman" w:cs="Times New Roman"/>
                      <w:sz w:val="21"/>
                      <w:szCs w:val="21"/>
                    </w:rPr>
                    <w:t>10</w:t>
                  </w:r>
                </w:p>
              </w:tc>
              <w:tc>
                <w:tcPr>
                  <w:tcW w:w="3650" w:type="dxa"/>
                  <w:tcBorders>
                    <w:tl2br w:val="nil"/>
                    <w:tr2bl w:val="nil"/>
                  </w:tcBorders>
                  <w:vAlign w:val="center"/>
                </w:tcPr>
                <w:p w14:paraId="38013FD2">
                  <w:pPr>
                    <w:pStyle w:val="105"/>
                    <w:spacing w:line="320" w:lineRule="exact"/>
                    <w:ind w:left="0" w:firstLine="0"/>
                    <w:jc w:val="center"/>
                    <w:rPr>
                      <w:rFonts w:ascii="Times New Roman" w:cs="Times New Roman"/>
                      <w:sz w:val="21"/>
                      <w:szCs w:val="21"/>
                    </w:rPr>
                  </w:pPr>
                  <w:r>
                    <w:rPr>
                      <w:rFonts w:ascii="Times New Roman" w:cs="Times New Roman"/>
                      <w:sz w:val="21"/>
                      <w:szCs w:val="21"/>
                    </w:rPr>
                    <w:t>防护等级</w:t>
                  </w:r>
                </w:p>
              </w:tc>
              <w:tc>
                <w:tcPr>
                  <w:tcW w:w="3651" w:type="dxa"/>
                  <w:tcBorders>
                    <w:tl2br w:val="nil"/>
                    <w:tr2bl w:val="nil"/>
                  </w:tcBorders>
                  <w:vAlign w:val="center"/>
                </w:tcPr>
                <w:p w14:paraId="4726ACE0">
                  <w:pPr>
                    <w:pStyle w:val="105"/>
                    <w:spacing w:line="320" w:lineRule="exact"/>
                    <w:ind w:left="0" w:firstLine="0"/>
                    <w:jc w:val="center"/>
                    <w:rPr>
                      <w:rFonts w:ascii="Times New Roman" w:cs="Times New Roman"/>
                      <w:sz w:val="21"/>
                      <w:szCs w:val="21"/>
                    </w:rPr>
                  </w:pPr>
                  <w:r>
                    <w:rPr>
                      <w:rFonts w:ascii="Times New Roman" w:cs="Times New Roman"/>
                      <w:sz w:val="21"/>
                      <w:szCs w:val="21"/>
                    </w:rPr>
                    <w:t>IP54</w:t>
                  </w:r>
                </w:p>
              </w:tc>
            </w:tr>
            <w:tr w14:paraId="51D15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3" w:type="dxa"/>
                  <w:tcBorders>
                    <w:tl2br w:val="nil"/>
                    <w:tr2bl w:val="nil"/>
                  </w:tcBorders>
                  <w:vAlign w:val="center"/>
                </w:tcPr>
                <w:p w14:paraId="0B6107F1">
                  <w:pPr>
                    <w:pStyle w:val="105"/>
                    <w:spacing w:line="320" w:lineRule="exact"/>
                    <w:ind w:left="0" w:firstLine="0"/>
                    <w:jc w:val="center"/>
                    <w:rPr>
                      <w:rFonts w:ascii="Times New Roman" w:cs="Times New Roman"/>
                      <w:sz w:val="21"/>
                      <w:szCs w:val="21"/>
                    </w:rPr>
                  </w:pPr>
                  <w:r>
                    <w:rPr>
                      <w:rFonts w:ascii="Times New Roman" w:cs="Times New Roman"/>
                      <w:sz w:val="21"/>
                      <w:szCs w:val="21"/>
                    </w:rPr>
                    <w:t>11</w:t>
                  </w:r>
                </w:p>
              </w:tc>
              <w:tc>
                <w:tcPr>
                  <w:tcW w:w="3650" w:type="dxa"/>
                  <w:tcBorders>
                    <w:tl2br w:val="nil"/>
                    <w:tr2bl w:val="nil"/>
                  </w:tcBorders>
                  <w:vAlign w:val="center"/>
                </w:tcPr>
                <w:p w14:paraId="72B86663">
                  <w:pPr>
                    <w:pStyle w:val="105"/>
                    <w:spacing w:line="320" w:lineRule="exact"/>
                    <w:ind w:left="0" w:firstLine="0"/>
                    <w:jc w:val="center"/>
                    <w:rPr>
                      <w:rFonts w:ascii="Times New Roman" w:cs="Times New Roman"/>
                      <w:sz w:val="21"/>
                      <w:szCs w:val="21"/>
                    </w:rPr>
                  </w:pPr>
                  <w:r>
                    <w:rPr>
                      <w:rFonts w:ascii="Times New Roman" w:cs="Times New Roman"/>
                      <w:sz w:val="21"/>
                      <w:szCs w:val="21"/>
                    </w:rPr>
                    <w:t>防腐等级</w:t>
                  </w:r>
                </w:p>
              </w:tc>
              <w:tc>
                <w:tcPr>
                  <w:tcW w:w="3651" w:type="dxa"/>
                  <w:tcBorders>
                    <w:tl2br w:val="nil"/>
                    <w:tr2bl w:val="nil"/>
                  </w:tcBorders>
                  <w:vAlign w:val="center"/>
                </w:tcPr>
                <w:p w14:paraId="6B7AA48C">
                  <w:pPr>
                    <w:pStyle w:val="105"/>
                    <w:spacing w:line="320" w:lineRule="exact"/>
                    <w:ind w:left="0" w:firstLine="0"/>
                    <w:jc w:val="center"/>
                    <w:rPr>
                      <w:rFonts w:ascii="Times New Roman" w:cs="Times New Roman"/>
                      <w:sz w:val="21"/>
                      <w:szCs w:val="21"/>
                    </w:rPr>
                  </w:pPr>
                  <w:r>
                    <w:rPr>
                      <w:rFonts w:ascii="Times New Roman" w:cs="Times New Roman"/>
                      <w:sz w:val="21"/>
                      <w:szCs w:val="21"/>
                    </w:rPr>
                    <w:t>C4</w:t>
                  </w:r>
                </w:p>
              </w:tc>
            </w:tr>
          </w:tbl>
          <w:p w14:paraId="48A98965">
            <w:pPr>
              <w:adjustRightInd w:val="0"/>
              <w:snapToGrid w:val="0"/>
              <w:spacing w:line="480" w:lineRule="exact"/>
              <w:ind w:firstLine="480" w:firstLineChars="200"/>
              <w:rPr>
                <w:sz w:val="24"/>
              </w:rPr>
            </w:pPr>
            <w:r>
              <w:rPr>
                <w:sz w:val="24"/>
              </w:rPr>
              <w:t>风机采用钢筋混凝土灌注桩基础，桩径为0.6m，桩基按两圈布置、共40根桩，有效桩长约30m，桩端持力层为工程性质良好的④</w:t>
            </w:r>
            <w:r>
              <w:rPr>
                <w:sz w:val="24"/>
                <w:vertAlign w:val="subscript"/>
              </w:rPr>
              <w:t>1</w:t>
            </w:r>
            <w:r>
              <w:rPr>
                <w:sz w:val="24"/>
              </w:rPr>
              <w:t>层粉土、④</w:t>
            </w:r>
            <w:r>
              <w:rPr>
                <w:sz w:val="24"/>
                <w:vertAlign w:val="subscript"/>
              </w:rPr>
              <w:t>2</w:t>
            </w:r>
            <w:r>
              <w:rPr>
                <w:sz w:val="24"/>
              </w:rPr>
              <w:t>层粉砂、④</w:t>
            </w:r>
            <w:r>
              <w:rPr>
                <w:sz w:val="24"/>
                <w:vertAlign w:val="subscript"/>
              </w:rPr>
              <w:t>3</w:t>
            </w:r>
            <w:r>
              <w:rPr>
                <w:sz w:val="24"/>
              </w:rPr>
              <w:t>层粉质黏土、⑤层粉土、⑤</w:t>
            </w:r>
            <w:r>
              <w:rPr>
                <w:sz w:val="24"/>
                <w:vertAlign w:val="subscript"/>
              </w:rPr>
              <w:t>1</w:t>
            </w:r>
            <w:r>
              <w:rPr>
                <w:sz w:val="24"/>
              </w:rPr>
              <w:t>层粉细砂及以下地层。基础埋深4.5m，混凝土强度等级为C40，基底下设0.1m厚C20素混凝土垫层，开挖边坡拟采用1:0.7。桩型选用灌注桩，桩受力特征为端承摩擦型，桩截面直径= 0.6m。单台桩数=40，平均单桩桩长= 30m，第1 圈桩数=24，到承台中心的距离= 10.4m，第2圈桩数= 16，承台中心的距离= 8.0m。风电机组基础具体见下图。</w:t>
            </w:r>
          </w:p>
          <w:p w14:paraId="146A92AE">
            <w:pPr>
              <w:pStyle w:val="40"/>
              <w:jc w:val="center"/>
              <w:rPr>
                <w:rFonts w:ascii="Times New Roman" w:cs="Times New Roman"/>
                <w:color w:val="auto"/>
              </w:rPr>
            </w:pPr>
            <w:r>
              <w:rPr>
                <w:rFonts w:ascii="Times New Roman" w:cs="Times New Roman"/>
                <w:color w:val="auto"/>
              </w:rPr>
              <w:drawing>
                <wp:inline distT="0" distB="0" distL="114300" distR="114300">
                  <wp:extent cx="2427605" cy="2349500"/>
                  <wp:effectExtent l="0" t="0" r="1079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cstate="print"/>
                          <a:stretch>
                            <a:fillRect/>
                          </a:stretch>
                        </pic:blipFill>
                        <pic:spPr>
                          <a:xfrm>
                            <a:off x="0" y="0"/>
                            <a:ext cx="2427605" cy="2349500"/>
                          </a:xfrm>
                          <a:prstGeom prst="rect">
                            <a:avLst/>
                          </a:prstGeom>
                          <a:noFill/>
                          <a:ln>
                            <a:noFill/>
                          </a:ln>
                        </pic:spPr>
                      </pic:pic>
                    </a:graphicData>
                  </a:graphic>
                </wp:inline>
              </w:drawing>
            </w:r>
          </w:p>
          <w:p w14:paraId="2548A936">
            <w:pPr>
              <w:adjustRightInd w:val="0"/>
              <w:snapToGrid w:val="0"/>
              <w:spacing w:line="480" w:lineRule="exact"/>
              <w:ind w:firstLine="422" w:firstLineChars="200"/>
              <w:jc w:val="center"/>
              <w:rPr>
                <w:b/>
                <w:szCs w:val="21"/>
              </w:rPr>
            </w:pPr>
            <w:r>
              <w:rPr>
                <w:b/>
                <w:szCs w:val="21"/>
              </w:rPr>
              <w:t>图2-1  风力发电机组基础平面图</w:t>
            </w:r>
          </w:p>
          <w:p w14:paraId="0602D5F9">
            <w:pPr>
              <w:pStyle w:val="40"/>
              <w:jc w:val="center"/>
              <w:rPr>
                <w:rFonts w:ascii="Times New Roman" w:cs="Times New Roman"/>
                <w:color w:val="auto"/>
              </w:rPr>
            </w:pPr>
            <w:r>
              <w:rPr>
                <w:rFonts w:ascii="Times New Roman" w:cs="Times New Roman"/>
                <w:color w:val="auto"/>
              </w:rPr>
              <w:drawing>
                <wp:inline distT="0" distB="0" distL="114300" distR="114300">
                  <wp:extent cx="5464810" cy="1840865"/>
                  <wp:effectExtent l="0" t="0" r="254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cstate="print"/>
                          <a:stretch>
                            <a:fillRect/>
                          </a:stretch>
                        </pic:blipFill>
                        <pic:spPr>
                          <a:xfrm>
                            <a:off x="0" y="0"/>
                            <a:ext cx="5464810" cy="1840865"/>
                          </a:xfrm>
                          <a:prstGeom prst="rect">
                            <a:avLst/>
                          </a:prstGeom>
                          <a:noFill/>
                          <a:ln>
                            <a:noFill/>
                          </a:ln>
                        </pic:spPr>
                      </pic:pic>
                    </a:graphicData>
                  </a:graphic>
                </wp:inline>
              </w:drawing>
            </w:r>
          </w:p>
          <w:p w14:paraId="044C654A">
            <w:pPr>
              <w:adjustRightInd w:val="0"/>
              <w:snapToGrid w:val="0"/>
              <w:spacing w:line="480" w:lineRule="exact"/>
              <w:ind w:firstLine="422" w:firstLineChars="200"/>
              <w:jc w:val="center"/>
              <w:rPr>
                <w:b/>
                <w:szCs w:val="21"/>
              </w:rPr>
            </w:pPr>
            <w:r>
              <w:rPr>
                <w:b/>
                <w:szCs w:val="21"/>
              </w:rPr>
              <w:t>图2-2  风力发电机组基础剖面图</w:t>
            </w:r>
          </w:p>
          <w:p w14:paraId="77255EF9">
            <w:pPr>
              <w:adjustRightInd w:val="0"/>
              <w:snapToGrid w:val="0"/>
              <w:spacing w:line="480" w:lineRule="exact"/>
              <w:ind w:firstLine="480" w:firstLineChars="200"/>
              <w:rPr>
                <w:sz w:val="24"/>
              </w:rPr>
            </w:pPr>
            <w:r>
              <w:rPr>
                <w:sz w:val="24"/>
              </w:rPr>
              <w:t>本工程拟在每台风电机组旁就近布置一台35kV箱式变压器，均采用油变，箱变设备外壳距离混塔筒外壁8.0m，箱变设备基础拟采用C30现浇钢筋混凝土框架结构，生根在风机基础上，框架顶部设混凝土平台用于安装箱变设备，平台高出自然地面约1.80m，箱变基础设置C30混凝土挡油池，每侧宽出设备外缘1.0m。箱变基础与风机塔筒之间设置300厚防火墙，燃烧性能等级不小于3小时，每侧宽出油池外缘1.0m。箱变基础具体见下图。</w:t>
            </w:r>
          </w:p>
          <w:p w14:paraId="7AECC1C0">
            <w:pPr>
              <w:adjustRightInd w:val="0"/>
              <w:snapToGrid w:val="0"/>
              <w:jc w:val="center"/>
              <w:rPr>
                <w:b/>
                <w:bCs/>
                <w:sz w:val="24"/>
              </w:rPr>
            </w:pPr>
            <w:r>
              <w:drawing>
                <wp:inline distT="0" distB="0" distL="114300" distR="114300">
                  <wp:extent cx="5523230" cy="4029710"/>
                  <wp:effectExtent l="0" t="0" r="127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cstate="print"/>
                          <a:stretch>
                            <a:fillRect/>
                          </a:stretch>
                        </pic:blipFill>
                        <pic:spPr>
                          <a:xfrm>
                            <a:off x="0" y="0"/>
                            <a:ext cx="5523230" cy="4029710"/>
                          </a:xfrm>
                          <a:prstGeom prst="rect">
                            <a:avLst/>
                          </a:prstGeom>
                          <a:noFill/>
                          <a:ln>
                            <a:noFill/>
                          </a:ln>
                        </pic:spPr>
                      </pic:pic>
                    </a:graphicData>
                  </a:graphic>
                </wp:inline>
              </w:drawing>
            </w:r>
          </w:p>
          <w:p w14:paraId="218716BC">
            <w:pPr>
              <w:pStyle w:val="7"/>
              <w:spacing w:before="0" w:beforeAutospacing="0" w:after="0" w:afterAutospacing="0"/>
              <w:jc w:val="center"/>
              <w:rPr>
                <w:rFonts w:ascii="Times New Roman" w:hAnsi="Times New Roman"/>
                <w:b/>
                <w:szCs w:val="21"/>
              </w:rPr>
            </w:pPr>
            <w:r>
              <w:rPr>
                <w:rFonts w:ascii="Times New Roman" w:hAnsi="Times New Roman"/>
                <w:b/>
                <w:sz w:val="21"/>
                <w:szCs w:val="18"/>
              </w:rPr>
              <w:t>图2-3  箱变基础平面图</w:t>
            </w:r>
          </w:p>
          <w:p w14:paraId="3D80F342">
            <w:pPr>
              <w:jc w:val="center"/>
            </w:pPr>
            <w:r>
              <w:drawing>
                <wp:inline distT="0" distB="0" distL="114300" distR="114300">
                  <wp:extent cx="5158105" cy="3579495"/>
                  <wp:effectExtent l="0" t="0" r="4445" b="19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cstate="print"/>
                          <a:srcRect/>
                          <a:stretch>
                            <a:fillRect/>
                          </a:stretch>
                        </pic:blipFill>
                        <pic:spPr>
                          <a:xfrm>
                            <a:off x="0" y="0"/>
                            <a:ext cx="5158105" cy="3579495"/>
                          </a:xfrm>
                          <a:prstGeom prst="rect">
                            <a:avLst/>
                          </a:prstGeom>
                          <a:noFill/>
                          <a:ln>
                            <a:noFill/>
                          </a:ln>
                        </pic:spPr>
                      </pic:pic>
                    </a:graphicData>
                  </a:graphic>
                </wp:inline>
              </w:drawing>
            </w:r>
          </w:p>
          <w:p w14:paraId="696E3F5E">
            <w:pPr>
              <w:jc w:val="center"/>
              <w:rPr>
                <w:b/>
                <w:szCs w:val="21"/>
              </w:rPr>
            </w:pPr>
            <w:r>
              <w:rPr>
                <w:b/>
                <w:szCs w:val="18"/>
              </w:rPr>
              <w:t>图2-4  箱变基础侧视图</w:t>
            </w:r>
          </w:p>
          <w:p w14:paraId="72C66D66">
            <w:pPr>
              <w:adjustRightInd w:val="0"/>
              <w:snapToGrid w:val="0"/>
              <w:spacing w:line="480" w:lineRule="exact"/>
              <w:ind w:firstLine="482" w:firstLineChars="200"/>
              <w:rPr>
                <w:b/>
                <w:bCs/>
                <w:sz w:val="24"/>
              </w:rPr>
            </w:pPr>
            <w:r>
              <w:rPr>
                <w:b/>
                <w:bCs/>
                <w:sz w:val="24"/>
              </w:rPr>
              <w:t>（2）集电线路工程</w:t>
            </w:r>
          </w:p>
          <w:p w14:paraId="7BA6997C">
            <w:pPr>
              <w:spacing w:line="480" w:lineRule="exact"/>
              <w:ind w:firstLine="480" w:firstLineChars="200"/>
              <w:rPr>
                <w:sz w:val="24"/>
                <w:szCs w:val="32"/>
              </w:rPr>
            </w:pPr>
            <w:r>
              <w:rPr>
                <w:sz w:val="24"/>
                <w:szCs w:val="32"/>
              </w:rPr>
              <w:t>本项目共计8回集电线路、46个主选风机点位、468基铁塔，铁塔占地面积共约2.29hm</w:t>
            </w:r>
            <w:r>
              <w:rPr>
                <w:sz w:val="24"/>
                <w:szCs w:val="32"/>
                <w:vertAlign w:val="superscript"/>
              </w:rPr>
              <w:t>2</w:t>
            </w:r>
            <w:r>
              <w:rPr>
                <w:sz w:val="24"/>
                <w:szCs w:val="32"/>
              </w:rPr>
              <w:t>。本项目全线采用架空与电缆结合方式。集电线路全长约223.058km，其中架空线路长度约183.953km，电缆敷设路径长度约39.105km</w:t>
            </w:r>
            <w:bookmarkStart w:id="11" w:name="_Hlk191302195"/>
            <w:r>
              <w:rPr>
                <w:sz w:val="24"/>
                <w:szCs w:val="32"/>
              </w:rPr>
              <w:t>。电缆敷设方式</w:t>
            </w:r>
            <w:r>
              <w:rPr>
                <w:sz w:val="24"/>
              </w:rPr>
              <w:t>采用电缆直埋和非开挖拉管敷设相结合形式，其中直埋敷设主要用于沿田地旁土路及沿路电缆的敷设，非开挖拉管敷设主要用于高速公路以及涉及水塘沟渠</w:t>
            </w:r>
            <w:r>
              <w:rPr>
                <w:rFonts w:hint="eastAsia"/>
                <w:sz w:val="24"/>
              </w:rPr>
              <w:t>、河流</w:t>
            </w:r>
            <w:r>
              <w:rPr>
                <w:sz w:val="24"/>
              </w:rPr>
              <w:t>等区域钻越。线路跨越或钻越秦滨高速、迁曹高速、渤海大道、西环路、于唐线及若干无名道路和唐包线、水曹线、唐曹县、曹妃甸港线、迁曹县及曹西线7条铁路。每回集电线路详情如下：</w:t>
            </w:r>
          </w:p>
          <w:bookmarkEnd w:id="11"/>
          <w:p w14:paraId="262FE14C">
            <w:pPr>
              <w:spacing w:line="480" w:lineRule="exact"/>
              <w:ind w:firstLine="480" w:firstLineChars="200"/>
              <w:rPr>
                <w:sz w:val="24"/>
                <w:szCs w:val="32"/>
              </w:rPr>
            </w:pPr>
            <w:r>
              <w:rPr>
                <w:sz w:val="24"/>
                <w:szCs w:val="32"/>
              </w:rPr>
              <w:t>A回路连接6台风机，风机编号为 Z317-1、Z318-1、Z319-2、Z320-1、DJ95、Z321-1，线路长度约7.249km；其中架空线6.061km（含单回路5.261km，双回路0.8km），地埋线路1.188km。</w:t>
            </w:r>
          </w:p>
          <w:p w14:paraId="744CC4C4">
            <w:pPr>
              <w:spacing w:line="480" w:lineRule="exact"/>
              <w:ind w:firstLine="480" w:firstLineChars="200"/>
              <w:rPr>
                <w:sz w:val="24"/>
                <w:szCs w:val="32"/>
              </w:rPr>
            </w:pPr>
            <w:r>
              <w:rPr>
                <w:sz w:val="24"/>
                <w:szCs w:val="32"/>
              </w:rPr>
              <w:t>B回路连接6台风机，风机编号为 DJ35-2、DJ34、DJ5、DJ3-1、DJ61、Z322-1，线路长度约22.077km；其中架空线路18.568km（含单回路17.768km，双回路0.8km），地埋线路3.509km。</w:t>
            </w:r>
          </w:p>
          <w:p w14:paraId="4D578E69">
            <w:pPr>
              <w:spacing w:line="480" w:lineRule="exact"/>
              <w:ind w:firstLine="480" w:firstLineChars="200"/>
              <w:rPr>
                <w:sz w:val="24"/>
                <w:szCs w:val="32"/>
              </w:rPr>
            </w:pPr>
            <w:r>
              <w:rPr>
                <w:sz w:val="24"/>
                <w:szCs w:val="32"/>
              </w:rPr>
              <w:t>C回路连接6台风机，风机编号为 DJ99、T07、F8-1、F11-1、F15、Z242-2，线路长度约32.846km；其中架空线路28.402km（含单回路9.002km，双回路19.4km），地埋线路4.444km。</w:t>
            </w:r>
          </w:p>
          <w:p w14:paraId="46D3C231">
            <w:pPr>
              <w:spacing w:line="480" w:lineRule="exact"/>
              <w:ind w:firstLine="480" w:firstLineChars="200"/>
              <w:rPr>
                <w:sz w:val="24"/>
                <w:szCs w:val="32"/>
              </w:rPr>
            </w:pPr>
            <w:r>
              <w:rPr>
                <w:sz w:val="24"/>
                <w:szCs w:val="32"/>
              </w:rPr>
              <w:t>D回路连接6台风机，风机编号为 F1-1、F2、DJ100，F6-2、DJ92、F14-4线路长度约30.723km；其中架空线路26.224km（含单回路6.824km，双回路19.4km），地埋线路4.499km。</w:t>
            </w:r>
          </w:p>
          <w:p w14:paraId="17932211">
            <w:pPr>
              <w:spacing w:line="480" w:lineRule="exact"/>
              <w:ind w:firstLine="480" w:firstLineChars="200"/>
              <w:rPr>
                <w:sz w:val="24"/>
                <w:szCs w:val="32"/>
              </w:rPr>
            </w:pPr>
            <w:r>
              <w:rPr>
                <w:sz w:val="24"/>
                <w:szCs w:val="32"/>
              </w:rPr>
              <w:t>E回路连接6台风机，风机编号为 DJ7、DJ6、DJ67-1、DJ65、X218、X217-1，线路长度40.909km；其中架空线路33.154km（含单回路12.554km，双回路20.6km），地埋线路7.755km。</w:t>
            </w:r>
          </w:p>
          <w:p w14:paraId="47A3AFF2">
            <w:pPr>
              <w:spacing w:line="480" w:lineRule="exact"/>
              <w:ind w:firstLine="480" w:firstLineChars="200"/>
              <w:rPr>
                <w:sz w:val="24"/>
                <w:szCs w:val="32"/>
              </w:rPr>
            </w:pPr>
            <w:r>
              <w:rPr>
                <w:sz w:val="24"/>
                <w:szCs w:val="32"/>
              </w:rPr>
              <w:t>F回路连接6台风机，风机编号为 DJ37、DJ38-1、DJ73-2、DJ32-1、DJ62、T20x-1，线路长度约29.821km；其中架空线路23.265km（含单回路2.665km，双回路20.6km），地埋线路6.556km。</w:t>
            </w:r>
          </w:p>
          <w:p w14:paraId="7C11AB93">
            <w:pPr>
              <w:spacing w:line="480" w:lineRule="exact"/>
              <w:ind w:firstLine="480" w:firstLineChars="200"/>
              <w:rPr>
                <w:sz w:val="24"/>
                <w:szCs w:val="32"/>
              </w:rPr>
            </w:pPr>
            <w:r>
              <w:rPr>
                <w:sz w:val="24"/>
                <w:szCs w:val="32"/>
              </w:rPr>
              <w:t>G回路连接5台风机，风机编号为 DJ12、DJ10、DJ39，DJ4、DJ66-1，线路长度约29.612km；其中架空线路24.09km（含单回路3.69km，双回路20.4km），地埋线路5.522km。</w:t>
            </w:r>
          </w:p>
          <w:p w14:paraId="0496DBC1">
            <w:pPr>
              <w:adjustRightInd w:val="0"/>
              <w:snapToGrid w:val="0"/>
              <w:spacing w:line="480" w:lineRule="exact"/>
              <w:ind w:firstLine="480" w:firstLineChars="200"/>
              <w:rPr>
                <w:sz w:val="24"/>
              </w:rPr>
            </w:pPr>
            <w:r>
              <w:rPr>
                <w:sz w:val="24"/>
                <w:szCs w:val="32"/>
              </w:rPr>
              <w:t>H回路连接5台风机，风机编号为 DJ9、DJ11、DJ8、DJ2、DJ64，线路长度约29.821km。其中架空线路24.189km（含单回路3.789km，双回路20.4km），地埋线路5.632km。</w:t>
            </w:r>
          </w:p>
          <w:p w14:paraId="57184D1D">
            <w:pPr>
              <w:adjustRightInd w:val="0"/>
              <w:snapToGrid w:val="0"/>
              <w:spacing w:line="480" w:lineRule="exact"/>
              <w:ind w:firstLine="482" w:firstLineChars="200"/>
              <w:rPr>
                <w:b/>
                <w:bCs/>
                <w:sz w:val="24"/>
              </w:rPr>
            </w:pPr>
            <w:r>
              <w:rPr>
                <w:b/>
                <w:bCs/>
                <w:sz w:val="24"/>
              </w:rPr>
              <w:t>（3）升压站</w:t>
            </w:r>
          </w:p>
          <w:p w14:paraId="419A279E">
            <w:pPr>
              <w:adjustRightInd w:val="0"/>
              <w:snapToGrid w:val="0"/>
              <w:spacing w:line="480" w:lineRule="exact"/>
              <w:ind w:firstLine="480" w:firstLineChars="200"/>
              <w:rPr>
                <w:sz w:val="24"/>
              </w:rPr>
            </w:pPr>
            <w:r>
              <w:rPr>
                <w:sz w:val="24"/>
              </w:rPr>
              <w:t>本项目配套建设1座220kV升压站。升压站内主变规划容量2×180MVA，规划建设1回220kV出线接入对端站220kV侧，35kV规划建设出线8回，其中包含风电场集电线路8回，本期建成。升压站220kV 配电装置规划采用单母线接线，35kV侧采用扩大单元接线方式，本期建成，母线通流容量按不低于350MVA考虑。</w:t>
            </w:r>
          </w:p>
          <w:p w14:paraId="64C994D1">
            <w:pPr>
              <w:adjustRightInd w:val="0"/>
              <w:snapToGrid w:val="0"/>
              <w:spacing w:line="480" w:lineRule="exact"/>
              <w:ind w:firstLine="480" w:firstLineChars="200"/>
              <w:rPr>
                <w:sz w:val="24"/>
              </w:rPr>
            </w:pPr>
            <w:r>
              <w:rPr>
                <w:sz w:val="24"/>
              </w:rPr>
              <w:t>升压站内主要建（构）筑物具体见下表。</w:t>
            </w:r>
          </w:p>
          <w:p w14:paraId="57805DF3">
            <w:pPr>
              <w:spacing w:line="480" w:lineRule="exact"/>
              <w:jc w:val="center"/>
              <w:rPr>
                <w:szCs w:val="21"/>
              </w:rPr>
            </w:pPr>
            <w:r>
              <w:rPr>
                <w:b/>
                <w:bCs/>
                <w:szCs w:val="21"/>
              </w:rPr>
              <w:t>表2-</w:t>
            </w:r>
            <w:r>
              <w:rPr>
                <w:rFonts w:hint="eastAsia"/>
                <w:b/>
                <w:bCs/>
                <w:szCs w:val="21"/>
              </w:rPr>
              <w:t>7</w:t>
            </w:r>
            <w:r>
              <w:rPr>
                <w:b/>
                <w:bCs/>
                <w:szCs w:val="21"/>
              </w:rPr>
              <w:t xml:space="preserve">   升压站建构筑物一览表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39"/>
              <w:gridCol w:w="985"/>
              <w:gridCol w:w="1024"/>
              <w:gridCol w:w="689"/>
              <w:gridCol w:w="787"/>
              <w:gridCol w:w="1125"/>
              <w:gridCol w:w="1350"/>
            </w:tblGrid>
            <w:tr w14:paraId="407B8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112DD628">
                  <w:pPr>
                    <w:jc w:val="center"/>
                    <w:rPr>
                      <w:szCs w:val="21"/>
                    </w:rPr>
                  </w:pPr>
                  <w:r>
                    <w:rPr>
                      <w:szCs w:val="21"/>
                    </w:rPr>
                    <w:t>序号</w:t>
                  </w:r>
                </w:p>
              </w:tc>
              <w:tc>
                <w:tcPr>
                  <w:tcW w:w="1339" w:type="dxa"/>
                  <w:tcBorders>
                    <w:tl2br w:val="nil"/>
                    <w:tr2bl w:val="nil"/>
                  </w:tcBorders>
                  <w:shd w:val="clear" w:color="auto" w:fill="auto"/>
                  <w:vAlign w:val="center"/>
                </w:tcPr>
                <w:p w14:paraId="2A72985D">
                  <w:pPr>
                    <w:jc w:val="center"/>
                    <w:rPr>
                      <w:szCs w:val="21"/>
                    </w:rPr>
                  </w:pPr>
                  <w:r>
                    <w:rPr>
                      <w:szCs w:val="21"/>
                    </w:rPr>
                    <w:t>名称</w:t>
                  </w:r>
                </w:p>
              </w:tc>
              <w:tc>
                <w:tcPr>
                  <w:tcW w:w="985" w:type="dxa"/>
                  <w:tcBorders>
                    <w:tl2br w:val="nil"/>
                    <w:tr2bl w:val="nil"/>
                  </w:tcBorders>
                  <w:shd w:val="clear" w:color="auto" w:fill="auto"/>
                  <w:vAlign w:val="center"/>
                </w:tcPr>
                <w:p w14:paraId="346139E5">
                  <w:pPr>
                    <w:jc w:val="center"/>
                    <w:rPr>
                      <w:szCs w:val="21"/>
                    </w:rPr>
                  </w:pPr>
                  <w:r>
                    <w:rPr>
                      <w:szCs w:val="21"/>
                    </w:rPr>
                    <w:t>占地面积/m</w:t>
                  </w:r>
                  <w:r>
                    <w:rPr>
                      <w:szCs w:val="21"/>
                      <w:vertAlign w:val="superscript"/>
                    </w:rPr>
                    <w:t>2</w:t>
                  </w:r>
                </w:p>
              </w:tc>
              <w:tc>
                <w:tcPr>
                  <w:tcW w:w="1024" w:type="dxa"/>
                  <w:tcBorders>
                    <w:tl2br w:val="nil"/>
                    <w:tr2bl w:val="nil"/>
                  </w:tcBorders>
                  <w:shd w:val="clear" w:color="auto" w:fill="auto"/>
                  <w:vAlign w:val="center"/>
                </w:tcPr>
                <w:p w14:paraId="4329E209">
                  <w:pPr>
                    <w:jc w:val="center"/>
                    <w:rPr>
                      <w:szCs w:val="21"/>
                    </w:rPr>
                  </w:pPr>
                  <w:r>
                    <w:rPr>
                      <w:szCs w:val="21"/>
                    </w:rPr>
                    <w:t>建筑面积/m</w:t>
                  </w:r>
                  <w:r>
                    <w:rPr>
                      <w:szCs w:val="21"/>
                      <w:vertAlign w:val="superscript"/>
                    </w:rPr>
                    <w:t>2</w:t>
                  </w:r>
                </w:p>
              </w:tc>
              <w:tc>
                <w:tcPr>
                  <w:tcW w:w="689" w:type="dxa"/>
                  <w:tcBorders>
                    <w:tl2br w:val="nil"/>
                    <w:tr2bl w:val="nil"/>
                  </w:tcBorders>
                  <w:shd w:val="clear" w:color="auto" w:fill="auto"/>
                  <w:vAlign w:val="center"/>
                </w:tcPr>
                <w:p w14:paraId="199D77D2">
                  <w:pPr>
                    <w:jc w:val="center"/>
                    <w:rPr>
                      <w:szCs w:val="21"/>
                    </w:rPr>
                  </w:pPr>
                  <w:r>
                    <w:rPr>
                      <w:szCs w:val="21"/>
                    </w:rPr>
                    <w:t>层数</w:t>
                  </w:r>
                </w:p>
              </w:tc>
              <w:tc>
                <w:tcPr>
                  <w:tcW w:w="787" w:type="dxa"/>
                  <w:tcBorders>
                    <w:tl2br w:val="nil"/>
                    <w:tr2bl w:val="nil"/>
                  </w:tcBorders>
                  <w:shd w:val="clear" w:color="auto" w:fill="auto"/>
                  <w:vAlign w:val="center"/>
                </w:tcPr>
                <w:p w14:paraId="271BB321">
                  <w:pPr>
                    <w:jc w:val="center"/>
                    <w:rPr>
                      <w:szCs w:val="21"/>
                    </w:rPr>
                  </w:pPr>
                  <w:r>
                    <w:rPr>
                      <w:szCs w:val="21"/>
                    </w:rPr>
                    <w:t>高度</w:t>
                  </w:r>
                  <w:r>
                    <w:rPr>
                      <w:rFonts w:hint="eastAsia"/>
                      <w:szCs w:val="21"/>
                    </w:rPr>
                    <w:t>/m</w:t>
                  </w:r>
                </w:p>
              </w:tc>
              <w:tc>
                <w:tcPr>
                  <w:tcW w:w="1125" w:type="dxa"/>
                  <w:tcBorders>
                    <w:tl2br w:val="nil"/>
                    <w:tr2bl w:val="nil"/>
                  </w:tcBorders>
                  <w:shd w:val="clear" w:color="auto" w:fill="auto"/>
                  <w:vAlign w:val="center"/>
                </w:tcPr>
                <w:p w14:paraId="08677C79">
                  <w:pPr>
                    <w:jc w:val="center"/>
                    <w:rPr>
                      <w:szCs w:val="21"/>
                    </w:rPr>
                  </w:pPr>
                  <w:r>
                    <w:rPr>
                      <w:szCs w:val="21"/>
                    </w:rPr>
                    <w:t>结构形式</w:t>
                  </w:r>
                </w:p>
              </w:tc>
              <w:tc>
                <w:tcPr>
                  <w:tcW w:w="1350" w:type="dxa"/>
                  <w:tcBorders>
                    <w:tl2br w:val="nil"/>
                    <w:tr2bl w:val="nil"/>
                  </w:tcBorders>
                  <w:shd w:val="clear" w:color="auto" w:fill="auto"/>
                  <w:vAlign w:val="center"/>
                </w:tcPr>
                <w:p w14:paraId="4A245AF7">
                  <w:pPr>
                    <w:jc w:val="center"/>
                    <w:rPr>
                      <w:szCs w:val="21"/>
                    </w:rPr>
                  </w:pPr>
                  <w:r>
                    <w:rPr>
                      <w:szCs w:val="21"/>
                    </w:rPr>
                    <w:t>备注</w:t>
                  </w:r>
                </w:p>
              </w:tc>
            </w:tr>
            <w:tr w14:paraId="7ED79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26E2C527">
                  <w:pPr>
                    <w:jc w:val="center"/>
                    <w:rPr>
                      <w:szCs w:val="21"/>
                    </w:rPr>
                  </w:pPr>
                  <w:r>
                    <w:rPr>
                      <w:szCs w:val="21"/>
                    </w:rPr>
                    <w:t>1</w:t>
                  </w:r>
                </w:p>
              </w:tc>
              <w:tc>
                <w:tcPr>
                  <w:tcW w:w="1339" w:type="dxa"/>
                  <w:tcBorders>
                    <w:tl2br w:val="nil"/>
                    <w:tr2bl w:val="nil"/>
                  </w:tcBorders>
                  <w:shd w:val="clear" w:color="auto" w:fill="auto"/>
                  <w:vAlign w:val="center"/>
                </w:tcPr>
                <w:p w14:paraId="49EAB057">
                  <w:pPr>
                    <w:jc w:val="center"/>
                    <w:rPr>
                      <w:szCs w:val="21"/>
                    </w:rPr>
                  </w:pPr>
                  <w:r>
                    <w:rPr>
                      <w:szCs w:val="21"/>
                    </w:rPr>
                    <w:t>35kV配电室</w:t>
                  </w:r>
                </w:p>
              </w:tc>
              <w:tc>
                <w:tcPr>
                  <w:tcW w:w="985" w:type="dxa"/>
                  <w:tcBorders>
                    <w:tl2br w:val="nil"/>
                    <w:tr2bl w:val="nil"/>
                  </w:tcBorders>
                  <w:shd w:val="clear" w:color="auto" w:fill="auto"/>
                  <w:vAlign w:val="center"/>
                </w:tcPr>
                <w:p w14:paraId="3C086E05">
                  <w:pPr>
                    <w:jc w:val="center"/>
                    <w:rPr>
                      <w:szCs w:val="21"/>
                    </w:rPr>
                  </w:pPr>
                  <w:r>
                    <w:rPr>
                      <w:szCs w:val="21"/>
                    </w:rPr>
                    <w:t>280</w:t>
                  </w:r>
                </w:p>
              </w:tc>
              <w:tc>
                <w:tcPr>
                  <w:tcW w:w="1024" w:type="dxa"/>
                  <w:tcBorders>
                    <w:tl2br w:val="nil"/>
                    <w:tr2bl w:val="nil"/>
                  </w:tcBorders>
                  <w:shd w:val="clear" w:color="auto" w:fill="auto"/>
                  <w:vAlign w:val="center"/>
                </w:tcPr>
                <w:p w14:paraId="6B13F7C1">
                  <w:pPr>
                    <w:jc w:val="center"/>
                    <w:rPr>
                      <w:szCs w:val="21"/>
                    </w:rPr>
                  </w:pPr>
                  <w:r>
                    <w:rPr>
                      <w:szCs w:val="21"/>
                    </w:rPr>
                    <w:t>247.6</w:t>
                  </w:r>
                </w:p>
              </w:tc>
              <w:tc>
                <w:tcPr>
                  <w:tcW w:w="689" w:type="dxa"/>
                  <w:tcBorders>
                    <w:tl2br w:val="nil"/>
                    <w:tr2bl w:val="nil"/>
                  </w:tcBorders>
                  <w:shd w:val="clear" w:color="auto" w:fill="auto"/>
                  <w:vAlign w:val="center"/>
                </w:tcPr>
                <w:p w14:paraId="30ECC117">
                  <w:pPr>
                    <w:jc w:val="center"/>
                    <w:rPr>
                      <w:szCs w:val="21"/>
                    </w:rPr>
                  </w:pPr>
                  <w:r>
                    <w:rPr>
                      <w:szCs w:val="21"/>
                    </w:rPr>
                    <w:t>1</w:t>
                  </w:r>
                </w:p>
              </w:tc>
              <w:tc>
                <w:tcPr>
                  <w:tcW w:w="787" w:type="dxa"/>
                  <w:tcBorders>
                    <w:tl2br w:val="nil"/>
                    <w:tr2bl w:val="nil"/>
                  </w:tcBorders>
                  <w:shd w:val="clear" w:color="auto" w:fill="auto"/>
                  <w:vAlign w:val="center"/>
                </w:tcPr>
                <w:p w14:paraId="4A793577">
                  <w:pPr>
                    <w:jc w:val="center"/>
                    <w:rPr>
                      <w:szCs w:val="21"/>
                    </w:rPr>
                  </w:pPr>
                  <w:r>
                    <w:rPr>
                      <w:szCs w:val="21"/>
                    </w:rPr>
                    <w:t>3.5</w:t>
                  </w:r>
                </w:p>
              </w:tc>
              <w:tc>
                <w:tcPr>
                  <w:tcW w:w="1125" w:type="dxa"/>
                  <w:tcBorders>
                    <w:tl2br w:val="nil"/>
                    <w:tr2bl w:val="nil"/>
                  </w:tcBorders>
                  <w:shd w:val="clear" w:color="auto" w:fill="auto"/>
                  <w:vAlign w:val="center"/>
                </w:tcPr>
                <w:p w14:paraId="3596DE32">
                  <w:pPr>
                    <w:jc w:val="center"/>
                    <w:rPr>
                      <w:szCs w:val="21"/>
                    </w:rPr>
                  </w:pPr>
                  <w:r>
                    <w:rPr>
                      <w:szCs w:val="21"/>
                    </w:rPr>
                    <w:t>预制舱</w:t>
                  </w:r>
                </w:p>
              </w:tc>
              <w:tc>
                <w:tcPr>
                  <w:tcW w:w="1350" w:type="dxa"/>
                  <w:tcBorders>
                    <w:tl2br w:val="nil"/>
                    <w:tr2bl w:val="nil"/>
                  </w:tcBorders>
                  <w:shd w:val="clear" w:color="auto" w:fill="auto"/>
                  <w:vAlign w:val="center"/>
                </w:tcPr>
                <w:p w14:paraId="2EDFE4A7">
                  <w:pPr>
                    <w:jc w:val="center"/>
                    <w:rPr>
                      <w:szCs w:val="21"/>
                    </w:rPr>
                  </w:pPr>
                </w:p>
              </w:tc>
            </w:tr>
            <w:tr w14:paraId="23C5C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632A74EA">
                  <w:pPr>
                    <w:jc w:val="center"/>
                    <w:rPr>
                      <w:szCs w:val="21"/>
                    </w:rPr>
                  </w:pPr>
                  <w:r>
                    <w:rPr>
                      <w:szCs w:val="21"/>
                    </w:rPr>
                    <w:t>2</w:t>
                  </w:r>
                </w:p>
              </w:tc>
              <w:tc>
                <w:tcPr>
                  <w:tcW w:w="1339" w:type="dxa"/>
                  <w:tcBorders>
                    <w:tl2br w:val="nil"/>
                    <w:tr2bl w:val="nil"/>
                  </w:tcBorders>
                  <w:shd w:val="clear" w:color="auto" w:fill="auto"/>
                  <w:vAlign w:val="center"/>
                </w:tcPr>
                <w:p w14:paraId="117653E6">
                  <w:pPr>
                    <w:jc w:val="center"/>
                    <w:rPr>
                      <w:szCs w:val="21"/>
                    </w:rPr>
                  </w:pPr>
                  <w:r>
                    <w:rPr>
                      <w:szCs w:val="21"/>
                    </w:rPr>
                    <w:t>GIS室</w:t>
                  </w:r>
                </w:p>
              </w:tc>
              <w:tc>
                <w:tcPr>
                  <w:tcW w:w="985" w:type="dxa"/>
                  <w:tcBorders>
                    <w:tl2br w:val="nil"/>
                    <w:tr2bl w:val="nil"/>
                  </w:tcBorders>
                  <w:shd w:val="clear" w:color="auto" w:fill="auto"/>
                  <w:vAlign w:val="center"/>
                </w:tcPr>
                <w:p w14:paraId="356AE6DB">
                  <w:pPr>
                    <w:jc w:val="center"/>
                    <w:rPr>
                      <w:szCs w:val="21"/>
                    </w:rPr>
                  </w:pPr>
                  <w:r>
                    <w:rPr>
                      <w:szCs w:val="21"/>
                    </w:rPr>
                    <w:t>440</w:t>
                  </w:r>
                </w:p>
              </w:tc>
              <w:tc>
                <w:tcPr>
                  <w:tcW w:w="1024" w:type="dxa"/>
                  <w:tcBorders>
                    <w:tl2br w:val="nil"/>
                    <w:tr2bl w:val="nil"/>
                  </w:tcBorders>
                  <w:shd w:val="clear" w:color="auto" w:fill="auto"/>
                  <w:vAlign w:val="center"/>
                </w:tcPr>
                <w:p w14:paraId="3051A974">
                  <w:pPr>
                    <w:jc w:val="center"/>
                    <w:rPr>
                      <w:szCs w:val="21"/>
                    </w:rPr>
                  </w:pPr>
                  <w:r>
                    <w:rPr>
                      <w:szCs w:val="21"/>
                    </w:rPr>
                    <w:t>371.6</w:t>
                  </w:r>
                </w:p>
              </w:tc>
              <w:tc>
                <w:tcPr>
                  <w:tcW w:w="689" w:type="dxa"/>
                  <w:tcBorders>
                    <w:tl2br w:val="nil"/>
                    <w:tr2bl w:val="nil"/>
                  </w:tcBorders>
                  <w:shd w:val="clear" w:color="auto" w:fill="auto"/>
                  <w:vAlign w:val="center"/>
                </w:tcPr>
                <w:p w14:paraId="4FDEF960">
                  <w:pPr>
                    <w:jc w:val="center"/>
                    <w:rPr>
                      <w:szCs w:val="21"/>
                    </w:rPr>
                  </w:pPr>
                  <w:r>
                    <w:rPr>
                      <w:szCs w:val="21"/>
                    </w:rPr>
                    <w:t>1</w:t>
                  </w:r>
                </w:p>
              </w:tc>
              <w:tc>
                <w:tcPr>
                  <w:tcW w:w="787" w:type="dxa"/>
                  <w:tcBorders>
                    <w:tl2br w:val="nil"/>
                    <w:tr2bl w:val="nil"/>
                  </w:tcBorders>
                  <w:shd w:val="clear" w:color="auto" w:fill="auto"/>
                  <w:vAlign w:val="center"/>
                </w:tcPr>
                <w:p w14:paraId="57FFCB68">
                  <w:pPr>
                    <w:jc w:val="center"/>
                    <w:rPr>
                      <w:szCs w:val="21"/>
                    </w:rPr>
                  </w:pPr>
                  <w:r>
                    <w:rPr>
                      <w:szCs w:val="21"/>
                    </w:rPr>
                    <w:t>14</w:t>
                  </w:r>
                </w:p>
              </w:tc>
              <w:tc>
                <w:tcPr>
                  <w:tcW w:w="1125" w:type="dxa"/>
                  <w:tcBorders>
                    <w:tl2br w:val="nil"/>
                    <w:tr2bl w:val="nil"/>
                  </w:tcBorders>
                  <w:shd w:val="clear" w:color="auto" w:fill="auto"/>
                  <w:vAlign w:val="center"/>
                </w:tcPr>
                <w:p w14:paraId="5DEFB931">
                  <w:pPr>
                    <w:jc w:val="center"/>
                    <w:rPr>
                      <w:szCs w:val="21"/>
                    </w:rPr>
                  </w:pPr>
                  <w:r>
                    <w:rPr>
                      <w:szCs w:val="21"/>
                    </w:rPr>
                    <w:t>框架结构</w:t>
                  </w:r>
                </w:p>
              </w:tc>
              <w:tc>
                <w:tcPr>
                  <w:tcW w:w="1350" w:type="dxa"/>
                  <w:tcBorders>
                    <w:tl2br w:val="nil"/>
                    <w:tr2bl w:val="nil"/>
                  </w:tcBorders>
                  <w:shd w:val="clear" w:color="auto" w:fill="auto"/>
                  <w:vAlign w:val="center"/>
                </w:tcPr>
                <w:p w14:paraId="2CBE53A6">
                  <w:pPr>
                    <w:jc w:val="center"/>
                    <w:rPr>
                      <w:szCs w:val="21"/>
                    </w:rPr>
                  </w:pPr>
                </w:p>
              </w:tc>
            </w:tr>
            <w:tr w14:paraId="028B7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5F17196B">
                  <w:pPr>
                    <w:jc w:val="center"/>
                    <w:rPr>
                      <w:szCs w:val="21"/>
                    </w:rPr>
                  </w:pPr>
                  <w:r>
                    <w:rPr>
                      <w:szCs w:val="21"/>
                    </w:rPr>
                    <w:t>3</w:t>
                  </w:r>
                </w:p>
              </w:tc>
              <w:tc>
                <w:tcPr>
                  <w:tcW w:w="1339" w:type="dxa"/>
                  <w:tcBorders>
                    <w:tl2br w:val="nil"/>
                    <w:tr2bl w:val="nil"/>
                  </w:tcBorders>
                  <w:shd w:val="clear" w:color="auto" w:fill="auto"/>
                  <w:vAlign w:val="center"/>
                </w:tcPr>
                <w:p w14:paraId="5F3F809B">
                  <w:pPr>
                    <w:jc w:val="center"/>
                    <w:rPr>
                      <w:szCs w:val="21"/>
                    </w:rPr>
                  </w:pPr>
                  <w:r>
                    <w:rPr>
                      <w:szCs w:val="21"/>
                    </w:rPr>
                    <w:t>综合楼</w:t>
                  </w:r>
                </w:p>
              </w:tc>
              <w:tc>
                <w:tcPr>
                  <w:tcW w:w="985" w:type="dxa"/>
                  <w:tcBorders>
                    <w:tl2br w:val="nil"/>
                    <w:tr2bl w:val="nil"/>
                  </w:tcBorders>
                  <w:shd w:val="clear" w:color="auto" w:fill="auto"/>
                  <w:vAlign w:val="center"/>
                </w:tcPr>
                <w:p w14:paraId="5CCEF780">
                  <w:pPr>
                    <w:jc w:val="center"/>
                    <w:rPr>
                      <w:szCs w:val="21"/>
                    </w:rPr>
                  </w:pPr>
                  <w:r>
                    <w:rPr>
                      <w:szCs w:val="21"/>
                    </w:rPr>
                    <w:t>721</w:t>
                  </w:r>
                </w:p>
              </w:tc>
              <w:tc>
                <w:tcPr>
                  <w:tcW w:w="1024" w:type="dxa"/>
                  <w:tcBorders>
                    <w:tl2br w:val="nil"/>
                    <w:tr2bl w:val="nil"/>
                  </w:tcBorders>
                  <w:shd w:val="clear" w:color="auto" w:fill="auto"/>
                  <w:vAlign w:val="center"/>
                </w:tcPr>
                <w:p w14:paraId="1FFDA3A4">
                  <w:pPr>
                    <w:jc w:val="center"/>
                    <w:rPr>
                      <w:szCs w:val="21"/>
                    </w:rPr>
                  </w:pPr>
                  <w:r>
                    <w:rPr>
                      <w:szCs w:val="21"/>
                    </w:rPr>
                    <w:t>1248.2</w:t>
                  </w:r>
                </w:p>
              </w:tc>
              <w:tc>
                <w:tcPr>
                  <w:tcW w:w="689" w:type="dxa"/>
                  <w:tcBorders>
                    <w:tl2br w:val="nil"/>
                    <w:tr2bl w:val="nil"/>
                  </w:tcBorders>
                  <w:shd w:val="clear" w:color="auto" w:fill="auto"/>
                  <w:vAlign w:val="center"/>
                </w:tcPr>
                <w:p w14:paraId="251329B1">
                  <w:pPr>
                    <w:jc w:val="center"/>
                    <w:rPr>
                      <w:szCs w:val="21"/>
                    </w:rPr>
                  </w:pPr>
                  <w:r>
                    <w:rPr>
                      <w:szCs w:val="21"/>
                    </w:rPr>
                    <w:t>2</w:t>
                  </w:r>
                </w:p>
              </w:tc>
              <w:tc>
                <w:tcPr>
                  <w:tcW w:w="787" w:type="dxa"/>
                  <w:tcBorders>
                    <w:tl2br w:val="nil"/>
                    <w:tr2bl w:val="nil"/>
                  </w:tcBorders>
                  <w:shd w:val="clear" w:color="auto" w:fill="auto"/>
                  <w:vAlign w:val="center"/>
                </w:tcPr>
                <w:p w14:paraId="3FE55A8A">
                  <w:pPr>
                    <w:jc w:val="center"/>
                    <w:rPr>
                      <w:szCs w:val="21"/>
                    </w:rPr>
                  </w:pPr>
                  <w:r>
                    <w:rPr>
                      <w:szCs w:val="21"/>
                    </w:rPr>
                    <w:t>7.2</w:t>
                  </w:r>
                </w:p>
              </w:tc>
              <w:tc>
                <w:tcPr>
                  <w:tcW w:w="1125" w:type="dxa"/>
                  <w:tcBorders>
                    <w:tl2br w:val="nil"/>
                    <w:tr2bl w:val="nil"/>
                  </w:tcBorders>
                  <w:shd w:val="clear" w:color="auto" w:fill="auto"/>
                  <w:vAlign w:val="center"/>
                </w:tcPr>
                <w:p w14:paraId="65BA7C56">
                  <w:pPr>
                    <w:jc w:val="center"/>
                    <w:rPr>
                      <w:szCs w:val="21"/>
                    </w:rPr>
                  </w:pPr>
                  <w:r>
                    <w:rPr>
                      <w:szCs w:val="21"/>
                    </w:rPr>
                    <w:t>框架结构</w:t>
                  </w:r>
                </w:p>
              </w:tc>
              <w:tc>
                <w:tcPr>
                  <w:tcW w:w="1350" w:type="dxa"/>
                  <w:tcBorders>
                    <w:tl2br w:val="nil"/>
                    <w:tr2bl w:val="nil"/>
                  </w:tcBorders>
                  <w:shd w:val="clear" w:color="auto" w:fill="auto"/>
                  <w:vAlign w:val="center"/>
                </w:tcPr>
                <w:p w14:paraId="643C5B4F">
                  <w:pPr>
                    <w:jc w:val="center"/>
                    <w:rPr>
                      <w:szCs w:val="21"/>
                    </w:rPr>
                  </w:pPr>
                  <w:r>
                    <w:rPr>
                      <w:rFonts w:hint="eastAsia"/>
                      <w:szCs w:val="21"/>
                    </w:rPr>
                    <w:t>含食堂、办公室等生活办公设施</w:t>
                  </w:r>
                </w:p>
              </w:tc>
            </w:tr>
            <w:tr w14:paraId="2A692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79F61862">
                  <w:pPr>
                    <w:jc w:val="center"/>
                    <w:rPr>
                      <w:szCs w:val="21"/>
                    </w:rPr>
                  </w:pPr>
                  <w:r>
                    <w:rPr>
                      <w:szCs w:val="21"/>
                    </w:rPr>
                    <w:t>4</w:t>
                  </w:r>
                </w:p>
              </w:tc>
              <w:tc>
                <w:tcPr>
                  <w:tcW w:w="1339" w:type="dxa"/>
                  <w:tcBorders>
                    <w:tl2br w:val="nil"/>
                    <w:tr2bl w:val="nil"/>
                  </w:tcBorders>
                  <w:shd w:val="clear" w:color="auto" w:fill="auto"/>
                  <w:vAlign w:val="center"/>
                </w:tcPr>
                <w:p w14:paraId="0ECEB9FF">
                  <w:pPr>
                    <w:jc w:val="center"/>
                    <w:rPr>
                      <w:szCs w:val="21"/>
                    </w:rPr>
                  </w:pPr>
                  <w:r>
                    <w:rPr>
                      <w:szCs w:val="21"/>
                    </w:rPr>
                    <w:t>水泵房</w:t>
                  </w:r>
                </w:p>
              </w:tc>
              <w:tc>
                <w:tcPr>
                  <w:tcW w:w="985" w:type="dxa"/>
                  <w:tcBorders>
                    <w:tl2br w:val="nil"/>
                    <w:tr2bl w:val="nil"/>
                  </w:tcBorders>
                  <w:shd w:val="clear" w:color="auto" w:fill="auto"/>
                  <w:vAlign w:val="center"/>
                </w:tcPr>
                <w:p w14:paraId="2E3F86FD">
                  <w:pPr>
                    <w:jc w:val="center"/>
                    <w:rPr>
                      <w:szCs w:val="21"/>
                    </w:rPr>
                  </w:pPr>
                  <w:r>
                    <w:rPr>
                      <w:szCs w:val="21"/>
                    </w:rPr>
                    <w:t>153</w:t>
                  </w:r>
                </w:p>
              </w:tc>
              <w:tc>
                <w:tcPr>
                  <w:tcW w:w="1024" w:type="dxa"/>
                  <w:tcBorders>
                    <w:tl2br w:val="nil"/>
                    <w:tr2bl w:val="nil"/>
                  </w:tcBorders>
                  <w:shd w:val="clear" w:color="auto" w:fill="auto"/>
                  <w:vAlign w:val="center"/>
                </w:tcPr>
                <w:p w14:paraId="0A0BC1A1">
                  <w:pPr>
                    <w:jc w:val="center"/>
                    <w:rPr>
                      <w:szCs w:val="21"/>
                    </w:rPr>
                  </w:pPr>
                  <w:r>
                    <w:rPr>
                      <w:szCs w:val="21"/>
                    </w:rPr>
                    <w:t>98.1</w:t>
                  </w:r>
                </w:p>
              </w:tc>
              <w:tc>
                <w:tcPr>
                  <w:tcW w:w="689" w:type="dxa"/>
                  <w:tcBorders>
                    <w:tl2br w:val="nil"/>
                    <w:tr2bl w:val="nil"/>
                  </w:tcBorders>
                  <w:shd w:val="clear" w:color="auto" w:fill="auto"/>
                  <w:vAlign w:val="center"/>
                </w:tcPr>
                <w:p w14:paraId="5CF62CE8">
                  <w:pPr>
                    <w:jc w:val="center"/>
                    <w:rPr>
                      <w:szCs w:val="21"/>
                    </w:rPr>
                  </w:pPr>
                  <w:r>
                    <w:rPr>
                      <w:szCs w:val="21"/>
                    </w:rPr>
                    <w:t>1</w:t>
                  </w:r>
                </w:p>
              </w:tc>
              <w:tc>
                <w:tcPr>
                  <w:tcW w:w="787" w:type="dxa"/>
                  <w:tcBorders>
                    <w:tl2br w:val="nil"/>
                    <w:tr2bl w:val="nil"/>
                  </w:tcBorders>
                  <w:shd w:val="clear" w:color="auto" w:fill="auto"/>
                  <w:vAlign w:val="center"/>
                </w:tcPr>
                <w:p w14:paraId="4538DF39">
                  <w:pPr>
                    <w:jc w:val="center"/>
                    <w:rPr>
                      <w:szCs w:val="21"/>
                    </w:rPr>
                  </w:pPr>
                  <w:r>
                    <w:rPr>
                      <w:szCs w:val="21"/>
                    </w:rPr>
                    <w:t>3.9</w:t>
                  </w:r>
                </w:p>
              </w:tc>
              <w:tc>
                <w:tcPr>
                  <w:tcW w:w="1125" w:type="dxa"/>
                  <w:tcBorders>
                    <w:tl2br w:val="nil"/>
                    <w:tr2bl w:val="nil"/>
                  </w:tcBorders>
                  <w:shd w:val="clear" w:color="auto" w:fill="auto"/>
                  <w:vAlign w:val="center"/>
                </w:tcPr>
                <w:p w14:paraId="5CEE6C1F">
                  <w:pPr>
                    <w:jc w:val="center"/>
                    <w:rPr>
                      <w:szCs w:val="21"/>
                    </w:rPr>
                  </w:pPr>
                  <w:r>
                    <w:rPr>
                      <w:szCs w:val="21"/>
                    </w:rPr>
                    <w:t>框架结构</w:t>
                  </w:r>
                </w:p>
              </w:tc>
              <w:tc>
                <w:tcPr>
                  <w:tcW w:w="1350" w:type="dxa"/>
                  <w:tcBorders>
                    <w:tl2br w:val="nil"/>
                    <w:tr2bl w:val="nil"/>
                  </w:tcBorders>
                  <w:shd w:val="clear" w:color="auto" w:fill="auto"/>
                  <w:vAlign w:val="center"/>
                </w:tcPr>
                <w:p w14:paraId="643ADCB1">
                  <w:pPr>
                    <w:jc w:val="center"/>
                    <w:rPr>
                      <w:szCs w:val="21"/>
                    </w:rPr>
                  </w:pPr>
                </w:p>
              </w:tc>
            </w:tr>
            <w:tr w14:paraId="5A273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47EF90B7">
                  <w:pPr>
                    <w:jc w:val="center"/>
                    <w:rPr>
                      <w:szCs w:val="21"/>
                    </w:rPr>
                  </w:pPr>
                  <w:r>
                    <w:rPr>
                      <w:szCs w:val="21"/>
                    </w:rPr>
                    <w:t>5</w:t>
                  </w:r>
                </w:p>
              </w:tc>
              <w:tc>
                <w:tcPr>
                  <w:tcW w:w="1339" w:type="dxa"/>
                  <w:tcBorders>
                    <w:tl2br w:val="nil"/>
                    <w:tr2bl w:val="nil"/>
                  </w:tcBorders>
                  <w:shd w:val="clear" w:color="auto" w:fill="auto"/>
                  <w:vAlign w:val="center"/>
                </w:tcPr>
                <w:p w14:paraId="796BFA07">
                  <w:pPr>
                    <w:jc w:val="center"/>
                    <w:rPr>
                      <w:szCs w:val="21"/>
                    </w:rPr>
                  </w:pPr>
                  <w:r>
                    <w:rPr>
                      <w:szCs w:val="21"/>
                    </w:rPr>
                    <w:t>库房</w:t>
                  </w:r>
                </w:p>
              </w:tc>
              <w:tc>
                <w:tcPr>
                  <w:tcW w:w="985" w:type="dxa"/>
                  <w:tcBorders>
                    <w:tl2br w:val="nil"/>
                    <w:tr2bl w:val="nil"/>
                  </w:tcBorders>
                  <w:shd w:val="clear" w:color="auto" w:fill="auto"/>
                  <w:vAlign w:val="center"/>
                </w:tcPr>
                <w:p w14:paraId="373E42A2">
                  <w:pPr>
                    <w:jc w:val="center"/>
                    <w:rPr>
                      <w:szCs w:val="21"/>
                    </w:rPr>
                  </w:pPr>
                  <w:r>
                    <w:rPr>
                      <w:szCs w:val="21"/>
                    </w:rPr>
                    <w:t>108</w:t>
                  </w:r>
                </w:p>
              </w:tc>
              <w:tc>
                <w:tcPr>
                  <w:tcW w:w="1024" w:type="dxa"/>
                  <w:tcBorders>
                    <w:tl2br w:val="nil"/>
                    <w:tr2bl w:val="nil"/>
                  </w:tcBorders>
                  <w:shd w:val="clear" w:color="auto" w:fill="auto"/>
                  <w:vAlign w:val="center"/>
                </w:tcPr>
                <w:p w14:paraId="1BB8FB02">
                  <w:pPr>
                    <w:jc w:val="center"/>
                    <w:rPr>
                      <w:szCs w:val="21"/>
                    </w:rPr>
                  </w:pPr>
                  <w:r>
                    <w:rPr>
                      <w:szCs w:val="21"/>
                    </w:rPr>
                    <w:t>106.3</w:t>
                  </w:r>
                </w:p>
              </w:tc>
              <w:tc>
                <w:tcPr>
                  <w:tcW w:w="689" w:type="dxa"/>
                  <w:tcBorders>
                    <w:tl2br w:val="nil"/>
                    <w:tr2bl w:val="nil"/>
                  </w:tcBorders>
                  <w:shd w:val="clear" w:color="auto" w:fill="auto"/>
                  <w:vAlign w:val="center"/>
                </w:tcPr>
                <w:p w14:paraId="79317014">
                  <w:pPr>
                    <w:jc w:val="center"/>
                    <w:rPr>
                      <w:szCs w:val="21"/>
                    </w:rPr>
                  </w:pPr>
                  <w:r>
                    <w:rPr>
                      <w:szCs w:val="21"/>
                    </w:rPr>
                    <w:t>1</w:t>
                  </w:r>
                </w:p>
              </w:tc>
              <w:tc>
                <w:tcPr>
                  <w:tcW w:w="787" w:type="dxa"/>
                  <w:tcBorders>
                    <w:tl2br w:val="nil"/>
                    <w:tr2bl w:val="nil"/>
                  </w:tcBorders>
                  <w:shd w:val="clear" w:color="auto" w:fill="auto"/>
                  <w:vAlign w:val="center"/>
                </w:tcPr>
                <w:p w14:paraId="17A6BB79">
                  <w:pPr>
                    <w:jc w:val="center"/>
                    <w:rPr>
                      <w:szCs w:val="21"/>
                    </w:rPr>
                  </w:pPr>
                  <w:r>
                    <w:rPr>
                      <w:szCs w:val="21"/>
                    </w:rPr>
                    <w:t>3.9</w:t>
                  </w:r>
                </w:p>
              </w:tc>
              <w:tc>
                <w:tcPr>
                  <w:tcW w:w="1125" w:type="dxa"/>
                  <w:tcBorders>
                    <w:tl2br w:val="nil"/>
                    <w:tr2bl w:val="nil"/>
                  </w:tcBorders>
                  <w:shd w:val="clear" w:color="auto" w:fill="auto"/>
                  <w:vAlign w:val="center"/>
                </w:tcPr>
                <w:p w14:paraId="3ACF7269">
                  <w:pPr>
                    <w:jc w:val="center"/>
                    <w:rPr>
                      <w:szCs w:val="21"/>
                    </w:rPr>
                  </w:pPr>
                  <w:r>
                    <w:rPr>
                      <w:szCs w:val="21"/>
                    </w:rPr>
                    <w:t>框架结构</w:t>
                  </w:r>
                </w:p>
              </w:tc>
              <w:tc>
                <w:tcPr>
                  <w:tcW w:w="1350" w:type="dxa"/>
                  <w:tcBorders>
                    <w:tl2br w:val="nil"/>
                    <w:tr2bl w:val="nil"/>
                  </w:tcBorders>
                  <w:shd w:val="clear" w:color="auto" w:fill="auto"/>
                  <w:vAlign w:val="center"/>
                </w:tcPr>
                <w:p w14:paraId="4D7ABB21">
                  <w:pPr>
                    <w:jc w:val="center"/>
                    <w:rPr>
                      <w:szCs w:val="21"/>
                    </w:rPr>
                  </w:pPr>
                </w:p>
              </w:tc>
            </w:tr>
            <w:tr w14:paraId="2975E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19241C98">
                  <w:pPr>
                    <w:jc w:val="center"/>
                    <w:rPr>
                      <w:szCs w:val="21"/>
                    </w:rPr>
                  </w:pPr>
                  <w:r>
                    <w:rPr>
                      <w:szCs w:val="21"/>
                    </w:rPr>
                    <w:t>6</w:t>
                  </w:r>
                </w:p>
              </w:tc>
              <w:tc>
                <w:tcPr>
                  <w:tcW w:w="1339" w:type="dxa"/>
                  <w:tcBorders>
                    <w:tl2br w:val="nil"/>
                    <w:tr2bl w:val="nil"/>
                  </w:tcBorders>
                  <w:shd w:val="clear" w:color="auto" w:fill="auto"/>
                  <w:vAlign w:val="center"/>
                </w:tcPr>
                <w:p w14:paraId="772B32E8">
                  <w:pPr>
                    <w:jc w:val="center"/>
                    <w:rPr>
                      <w:szCs w:val="21"/>
                    </w:rPr>
                  </w:pPr>
                  <w:r>
                    <w:rPr>
                      <w:szCs w:val="21"/>
                    </w:rPr>
                    <w:t>危废贮存库</w:t>
                  </w:r>
                </w:p>
              </w:tc>
              <w:tc>
                <w:tcPr>
                  <w:tcW w:w="985" w:type="dxa"/>
                  <w:tcBorders>
                    <w:tl2br w:val="nil"/>
                    <w:tr2bl w:val="nil"/>
                  </w:tcBorders>
                  <w:shd w:val="clear" w:color="auto" w:fill="auto"/>
                  <w:vAlign w:val="center"/>
                </w:tcPr>
                <w:p w14:paraId="64FB1A31">
                  <w:pPr>
                    <w:jc w:val="center"/>
                    <w:rPr>
                      <w:szCs w:val="21"/>
                    </w:rPr>
                  </w:pPr>
                  <w:r>
                    <w:rPr>
                      <w:szCs w:val="21"/>
                    </w:rPr>
                    <w:t>46</w:t>
                  </w:r>
                </w:p>
              </w:tc>
              <w:tc>
                <w:tcPr>
                  <w:tcW w:w="1024" w:type="dxa"/>
                  <w:tcBorders>
                    <w:tl2br w:val="nil"/>
                    <w:tr2bl w:val="nil"/>
                  </w:tcBorders>
                  <w:shd w:val="clear" w:color="auto" w:fill="auto"/>
                  <w:vAlign w:val="center"/>
                </w:tcPr>
                <w:p w14:paraId="62F8C65F">
                  <w:pPr>
                    <w:jc w:val="center"/>
                    <w:rPr>
                      <w:szCs w:val="21"/>
                    </w:rPr>
                  </w:pPr>
                  <w:r>
                    <w:rPr>
                      <w:szCs w:val="21"/>
                    </w:rPr>
                    <w:t>35</w:t>
                  </w:r>
                </w:p>
              </w:tc>
              <w:tc>
                <w:tcPr>
                  <w:tcW w:w="689" w:type="dxa"/>
                  <w:tcBorders>
                    <w:tl2br w:val="nil"/>
                    <w:tr2bl w:val="nil"/>
                  </w:tcBorders>
                  <w:shd w:val="clear" w:color="auto" w:fill="auto"/>
                  <w:vAlign w:val="center"/>
                </w:tcPr>
                <w:p w14:paraId="3DD04E94">
                  <w:pPr>
                    <w:jc w:val="center"/>
                    <w:rPr>
                      <w:szCs w:val="21"/>
                    </w:rPr>
                  </w:pPr>
                  <w:r>
                    <w:rPr>
                      <w:szCs w:val="21"/>
                    </w:rPr>
                    <w:t>1</w:t>
                  </w:r>
                </w:p>
              </w:tc>
              <w:tc>
                <w:tcPr>
                  <w:tcW w:w="787" w:type="dxa"/>
                  <w:tcBorders>
                    <w:tl2br w:val="nil"/>
                    <w:tr2bl w:val="nil"/>
                  </w:tcBorders>
                  <w:shd w:val="clear" w:color="auto" w:fill="auto"/>
                  <w:vAlign w:val="center"/>
                </w:tcPr>
                <w:p w14:paraId="093053AF">
                  <w:pPr>
                    <w:jc w:val="center"/>
                    <w:rPr>
                      <w:szCs w:val="21"/>
                    </w:rPr>
                  </w:pPr>
                  <w:r>
                    <w:rPr>
                      <w:szCs w:val="21"/>
                    </w:rPr>
                    <w:t>3.9</w:t>
                  </w:r>
                </w:p>
              </w:tc>
              <w:tc>
                <w:tcPr>
                  <w:tcW w:w="1125" w:type="dxa"/>
                  <w:tcBorders>
                    <w:tl2br w:val="nil"/>
                    <w:tr2bl w:val="nil"/>
                  </w:tcBorders>
                  <w:shd w:val="clear" w:color="auto" w:fill="auto"/>
                  <w:vAlign w:val="center"/>
                </w:tcPr>
                <w:p w14:paraId="74DE4A45">
                  <w:pPr>
                    <w:jc w:val="center"/>
                    <w:rPr>
                      <w:szCs w:val="21"/>
                    </w:rPr>
                  </w:pPr>
                  <w:r>
                    <w:rPr>
                      <w:szCs w:val="21"/>
                    </w:rPr>
                    <w:t>框架结构</w:t>
                  </w:r>
                </w:p>
              </w:tc>
              <w:tc>
                <w:tcPr>
                  <w:tcW w:w="1350" w:type="dxa"/>
                  <w:tcBorders>
                    <w:tl2br w:val="nil"/>
                    <w:tr2bl w:val="nil"/>
                  </w:tcBorders>
                  <w:shd w:val="clear" w:color="auto" w:fill="auto"/>
                  <w:vAlign w:val="center"/>
                </w:tcPr>
                <w:p w14:paraId="7A128558">
                  <w:pPr>
                    <w:jc w:val="center"/>
                    <w:rPr>
                      <w:szCs w:val="21"/>
                    </w:rPr>
                  </w:pPr>
                </w:p>
              </w:tc>
            </w:tr>
            <w:tr w14:paraId="333FD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38" w:type="dxa"/>
                  <w:tcBorders>
                    <w:tl2br w:val="nil"/>
                    <w:tr2bl w:val="nil"/>
                  </w:tcBorders>
                  <w:shd w:val="clear" w:color="auto" w:fill="auto"/>
                  <w:vAlign w:val="center"/>
                </w:tcPr>
                <w:p w14:paraId="3FD002B1">
                  <w:pPr>
                    <w:jc w:val="center"/>
                    <w:rPr>
                      <w:szCs w:val="21"/>
                    </w:rPr>
                  </w:pPr>
                  <w:r>
                    <w:rPr>
                      <w:szCs w:val="21"/>
                    </w:rPr>
                    <w:t>7</w:t>
                  </w:r>
                </w:p>
              </w:tc>
              <w:tc>
                <w:tcPr>
                  <w:tcW w:w="1339" w:type="dxa"/>
                  <w:tcBorders>
                    <w:tl2br w:val="nil"/>
                    <w:tr2bl w:val="nil"/>
                  </w:tcBorders>
                  <w:shd w:val="clear" w:color="auto" w:fill="auto"/>
                  <w:vAlign w:val="center"/>
                </w:tcPr>
                <w:p w14:paraId="5CC86290">
                  <w:pPr>
                    <w:jc w:val="center"/>
                    <w:rPr>
                      <w:szCs w:val="21"/>
                    </w:rPr>
                  </w:pPr>
                  <w:r>
                    <w:rPr>
                      <w:szCs w:val="21"/>
                    </w:rPr>
                    <w:t>事故油池</w:t>
                  </w:r>
                </w:p>
              </w:tc>
              <w:tc>
                <w:tcPr>
                  <w:tcW w:w="985" w:type="dxa"/>
                  <w:tcBorders>
                    <w:tl2br w:val="nil"/>
                    <w:tr2bl w:val="nil"/>
                  </w:tcBorders>
                  <w:shd w:val="clear" w:color="auto" w:fill="auto"/>
                  <w:vAlign w:val="center"/>
                </w:tcPr>
                <w:p w14:paraId="0E911B07">
                  <w:pPr>
                    <w:jc w:val="center"/>
                    <w:rPr>
                      <w:szCs w:val="21"/>
                    </w:rPr>
                  </w:pPr>
                  <w:r>
                    <w:rPr>
                      <w:szCs w:val="21"/>
                    </w:rPr>
                    <w:t>30</w:t>
                  </w:r>
                </w:p>
              </w:tc>
              <w:tc>
                <w:tcPr>
                  <w:tcW w:w="1024" w:type="dxa"/>
                  <w:tcBorders>
                    <w:tl2br w:val="nil"/>
                    <w:tr2bl w:val="nil"/>
                  </w:tcBorders>
                  <w:shd w:val="clear" w:color="auto" w:fill="auto"/>
                  <w:vAlign w:val="center"/>
                </w:tcPr>
                <w:p w14:paraId="7C3A3C34">
                  <w:pPr>
                    <w:jc w:val="center"/>
                    <w:rPr>
                      <w:szCs w:val="21"/>
                    </w:rPr>
                  </w:pPr>
                  <w:r>
                    <w:rPr>
                      <w:szCs w:val="21"/>
                    </w:rPr>
                    <w:t>30</w:t>
                  </w:r>
                </w:p>
              </w:tc>
              <w:tc>
                <w:tcPr>
                  <w:tcW w:w="689" w:type="dxa"/>
                  <w:tcBorders>
                    <w:tl2br w:val="nil"/>
                    <w:tr2bl w:val="nil"/>
                  </w:tcBorders>
                  <w:shd w:val="clear" w:color="auto" w:fill="auto"/>
                  <w:vAlign w:val="center"/>
                </w:tcPr>
                <w:p w14:paraId="7429A1A8">
                  <w:pPr>
                    <w:jc w:val="center"/>
                    <w:rPr>
                      <w:szCs w:val="21"/>
                    </w:rPr>
                  </w:pPr>
                  <w:r>
                    <w:rPr>
                      <w:szCs w:val="21"/>
                    </w:rPr>
                    <w:t>/</w:t>
                  </w:r>
                </w:p>
              </w:tc>
              <w:tc>
                <w:tcPr>
                  <w:tcW w:w="787" w:type="dxa"/>
                  <w:tcBorders>
                    <w:tl2br w:val="nil"/>
                    <w:tr2bl w:val="nil"/>
                  </w:tcBorders>
                  <w:shd w:val="clear" w:color="auto" w:fill="auto"/>
                  <w:vAlign w:val="center"/>
                </w:tcPr>
                <w:p w14:paraId="052247F7">
                  <w:pPr>
                    <w:jc w:val="center"/>
                    <w:rPr>
                      <w:szCs w:val="21"/>
                    </w:rPr>
                  </w:pPr>
                  <w:r>
                    <w:rPr>
                      <w:szCs w:val="21"/>
                    </w:rPr>
                    <w:t>3</w:t>
                  </w:r>
                </w:p>
              </w:tc>
              <w:tc>
                <w:tcPr>
                  <w:tcW w:w="1125" w:type="dxa"/>
                  <w:tcBorders>
                    <w:tl2br w:val="nil"/>
                    <w:tr2bl w:val="nil"/>
                  </w:tcBorders>
                  <w:shd w:val="clear" w:color="auto" w:fill="auto"/>
                  <w:vAlign w:val="center"/>
                </w:tcPr>
                <w:p w14:paraId="498D0DD7">
                  <w:pPr>
                    <w:jc w:val="center"/>
                    <w:rPr>
                      <w:szCs w:val="21"/>
                    </w:rPr>
                  </w:pPr>
                  <w:r>
                    <w:rPr>
                      <w:szCs w:val="21"/>
                    </w:rPr>
                    <w:t>钢筋混凝土箱型</w:t>
                  </w:r>
                </w:p>
              </w:tc>
              <w:tc>
                <w:tcPr>
                  <w:tcW w:w="1350" w:type="dxa"/>
                  <w:tcBorders>
                    <w:tl2br w:val="nil"/>
                    <w:tr2bl w:val="nil"/>
                  </w:tcBorders>
                  <w:shd w:val="clear" w:color="auto" w:fill="auto"/>
                  <w:vAlign w:val="center"/>
                </w:tcPr>
                <w:p w14:paraId="43901C3E">
                  <w:pPr>
                    <w:jc w:val="center"/>
                    <w:rPr>
                      <w:szCs w:val="21"/>
                    </w:rPr>
                  </w:pPr>
                  <w:r>
                    <w:rPr>
                      <w:szCs w:val="21"/>
                    </w:rPr>
                    <w:t>容积90m³，地下</w:t>
                  </w:r>
                </w:p>
              </w:tc>
            </w:tr>
            <w:tr w14:paraId="12899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7A8F66A9">
                  <w:pPr>
                    <w:jc w:val="center"/>
                    <w:rPr>
                      <w:szCs w:val="21"/>
                    </w:rPr>
                  </w:pPr>
                  <w:r>
                    <w:rPr>
                      <w:szCs w:val="21"/>
                    </w:rPr>
                    <w:t>8</w:t>
                  </w:r>
                </w:p>
              </w:tc>
              <w:tc>
                <w:tcPr>
                  <w:tcW w:w="1339" w:type="dxa"/>
                  <w:tcBorders>
                    <w:tl2br w:val="nil"/>
                    <w:tr2bl w:val="nil"/>
                  </w:tcBorders>
                  <w:shd w:val="clear" w:color="auto" w:fill="auto"/>
                  <w:vAlign w:val="center"/>
                </w:tcPr>
                <w:p w14:paraId="6F67C86F">
                  <w:pPr>
                    <w:jc w:val="center"/>
                    <w:rPr>
                      <w:szCs w:val="21"/>
                    </w:rPr>
                  </w:pPr>
                  <w:r>
                    <w:rPr>
                      <w:szCs w:val="21"/>
                    </w:rPr>
                    <w:t>消防水池</w:t>
                  </w:r>
                </w:p>
              </w:tc>
              <w:tc>
                <w:tcPr>
                  <w:tcW w:w="985" w:type="dxa"/>
                  <w:tcBorders>
                    <w:tl2br w:val="nil"/>
                    <w:tr2bl w:val="nil"/>
                  </w:tcBorders>
                  <w:shd w:val="clear" w:color="auto" w:fill="auto"/>
                  <w:vAlign w:val="center"/>
                </w:tcPr>
                <w:p w14:paraId="68CB5DB8">
                  <w:pPr>
                    <w:jc w:val="center"/>
                    <w:rPr>
                      <w:szCs w:val="21"/>
                    </w:rPr>
                  </w:pPr>
                  <w:r>
                    <w:rPr>
                      <w:szCs w:val="21"/>
                    </w:rPr>
                    <w:t>98</w:t>
                  </w:r>
                </w:p>
              </w:tc>
              <w:tc>
                <w:tcPr>
                  <w:tcW w:w="1024" w:type="dxa"/>
                  <w:tcBorders>
                    <w:tl2br w:val="nil"/>
                    <w:tr2bl w:val="nil"/>
                  </w:tcBorders>
                  <w:shd w:val="clear" w:color="auto" w:fill="auto"/>
                  <w:vAlign w:val="center"/>
                </w:tcPr>
                <w:p w14:paraId="52F2C6F3">
                  <w:pPr>
                    <w:jc w:val="center"/>
                    <w:rPr>
                      <w:szCs w:val="21"/>
                    </w:rPr>
                  </w:pPr>
                  <w:r>
                    <w:rPr>
                      <w:szCs w:val="21"/>
                    </w:rPr>
                    <w:t>98</w:t>
                  </w:r>
                </w:p>
              </w:tc>
              <w:tc>
                <w:tcPr>
                  <w:tcW w:w="689" w:type="dxa"/>
                  <w:tcBorders>
                    <w:tl2br w:val="nil"/>
                    <w:tr2bl w:val="nil"/>
                  </w:tcBorders>
                  <w:shd w:val="clear" w:color="auto" w:fill="auto"/>
                  <w:vAlign w:val="center"/>
                </w:tcPr>
                <w:p w14:paraId="6AFAB48C">
                  <w:pPr>
                    <w:jc w:val="center"/>
                    <w:rPr>
                      <w:szCs w:val="21"/>
                    </w:rPr>
                  </w:pPr>
                  <w:r>
                    <w:rPr>
                      <w:szCs w:val="21"/>
                    </w:rPr>
                    <w:t>/</w:t>
                  </w:r>
                </w:p>
              </w:tc>
              <w:tc>
                <w:tcPr>
                  <w:tcW w:w="787" w:type="dxa"/>
                  <w:tcBorders>
                    <w:tl2br w:val="nil"/>
                    <w:tr2bl w:val="nil"/>
                  </w:tcBorders>
                  <w:shd w:val="clear" w:color="auto" w:fill="auto"/>
                  <w:vAlign w:val="center"/>
                </w:tcPr>
                <w:p w14:paraId="28B03E8B">
                  <w:pPr>
                    <w:jc w:val="center"/>
                    <w:rPr>
                      <w:szCs w:val="21"/>
                    </w:rPr>
                  </w:pPr>
                  <w:r>
                    <w:rPr>
                      <w:szCs w:val="21"/>
                    </w:rPr>
                    <w:t>3.6</w:t>
                  </w:r>
                </w:p>
              </w:tc>
              <w:tc>
                <w:tcPr>
                  <w:tcW w:w="1125" w:type="dxa"/>
                  <w:tcBorders>
                    <w:tl2br w:val="nil"/>
                    <w:tr2bl w:val="nil"/>
                  </w:tcBorders>
                  <w:shd w:val="clear" w:color="auto" w:fill="auto"/>
                  <w:vAlign w:val="center"/>
                </w:tcPr>
                <w:p w14:paraId="0A409FB0">
                  <w:pPr>
                    <w:jc w:val="center"/>
                    <w:rPr>
                      <w:szCs w:val="21"/>
                    </w:rPr>
                  </w:pPr>
                  <w:r>
                    <w:rPr>
                      <w:bCs/>
                      <w:szCs w:val="21"/>
                    </w:rPr>
                    <w:t>钢筋混凝土箱型</w:t>
                  </w:r>
                </w:p>
              </w:tc>
              <w:tc>
                <w:tcPr>
                  <w:tcW w:w="1350" w:type="dxa"/>
                  <w:tcBorders>
                    <w:tl2br w:val="nil"/>
                    <w:tr2bl w:val="nil"/>
                  </w:tcBorders>
                  <w:shd w:val="clear" w:color="auto" w:fill="auto"/>
                  <w:vAlign w:val="center"/>
                </w:tcPr>
                <w:p w14:paraId="6BFF3324">
                  <w:pPr>
                    <w:jc w:val="center"/>
                    <w:rPr>
                      <w:szCs w:val="21"/>
                    </w:rPr>
                  </w:pPr>
                  <w:r>
                    <w:rPr>
                      <w:szCs w:val="21"/>
                    </w:rPr>
                    <w:t>容积350m³</w:t>
                  </w:r>
                </w:p>
              </w:tc>
            </w:tr>
            <w:tr w14:paraId="15927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l2br w:val="nil"/>
                    <w:tr2bl w:val="nil"/>
                  </w:tcBorders>
                  <w:shd w:val="clear" w:color="auto" w:fill="auto"/>
                  <w:vAlign w:val="center"/>
                </w:tcPr>
                <w:p w14:paraId="1F1DE6B2">
                  <w:pPr>
                    <w:jc w:val="center"/>
                    <w:rPr>
                      <w:szCs w:val="21"/>
                    </w:rPr>
                  </w:pPr>
                  <w:r>
                    <w:rPr>
                      <w:szCs w:val="21"/>
                    </w:rPr>
                    <w:t>9</w:t>
                  </w:r>
                </w:p>
              </w:tc>
              <w:tc>
                <w:tcPr>
                  <w:tcW w:w="1339" w:type="dxa"/>
                  <w:tcBorders>
                    <w:tl2br w:val="nil"/>
                    <w:tr2bl w:val="nil"/>
                  </w:tcBorders>
                  <w:shd w:val="clear" w:color="auto" w:fill="auto"/>
                  <w:vAlign w:val="center"/>
                </w:tcPr>
                <w:p w14:paraId="7CCB69AA">
                  <w:pPr>
                    <w:jc w:val="center"/>
                    <w:rPr>
                      <w:szCs w:val="21"/>
                    </w:rPr>
                  </w:pPr>
                  <w:r>
                    <w:rPr>
                      <w:szCs w:val="21"/>
                    </w:rPr>
                    <w:t>污水处理站</w:t>
                  </w:r>
                </w:p>
              </w:tc>
              <w:tc>
                <w:tcPr>
                  <w:tcW w:w="985" w:type="dxa"/>
                  <w:tcBorders>
                    <w:tl2br w:val="nil"/>
                    <w:tr2bl w:val="nil"/>
                  </w:tcBorders>
                  <w:shd w:val="clear" w:color="auto" w:fill="auto"/>
                  <w:vAlign w:val="center"/>
                </w:tcPr>
                <w:p w14:paraId="23EA007C">
                  <w:pPr>
                    <w:jc w:val="center"/>
                    <w:rPr>
                      <w:szCs w:val="21"/>
                    </w:rPr>
                  </w:pPr>
                  <w:r>
                    <w:rPr>
                      <w:szCs w:val="21"/>
                    </w:rPr>
                    <w:t>42</w:t>
                  </w:r>
                </w:p>
              </w:tc>
              <w:tc>
                <w:tcPr>
                  <w:tcW w:w="1024" w:type="dxa"/>
                  <w:tcBorders>
                    <w:tl2br w:val="nil"/>
                    <w:tr2bl w:val="nil"/>
                  </w:tcBorders>
                  <w:shd w:val="clear" w:color="auto" w:fill="auto"/>
                  <w:vAlign w:val="center"/>
                </w:tcPr>
                <w:p w14:paraId="1C8F8F08">
                  <w:pPr>
                    <w:jc w:val="center"/>
                    <w:rPr>
                      <w:szCs w:val="21"/>
                    </w:rPr>
                  </w:pPr>
                  <w:r>
                    <w:rPr>
                      <w:szCs w:val="21"/>
                    </w:rPr>
                    <w:t>42</w:t>
                  </w:r>
                </w:p>
              </w:tc>
              <w:tc>
                <w:tcPr>
                  <w:tcW w:w="689" w:type="dxa"/>
                  <w:tcBorders>
                    <w:tl2br w:val="nil"/>
                    <w:tr2bl w:val="nil"/>
                  </w:tcBorders>
                  <w:shd w:val="clear" w:color="auto" w:fill="auto"/>
                  <w:vAlign w:val="center"/>
                </w:tcPr>
                <w:p w14:paraId="69AB7415">
                  <w:pPr>
                    <w:jc w:val="center"/>
                    <w:rPr>
                      <w:szCs w:val="21"/>
                    </w:rPr>
                  </w:pPr>
                  <w:r>
                    <w:rPr>
                      <w:szCs w:val="21"/>
                    </w:rPr>
                    <w:t>/</w:t>
                  </w:r>
                </w:p>
              </w:tc>
              <w:tc>
                <w:tcPr>
                  <w:tcW w:w="787" w:type="dxa"/>
                  <w:tcBorders>
                    <w:tl2br w:val="nil"/>
                    <w:tr2bl w:val="nil"/>
                  </w:tcBorders>
                  <w:shd w:val="clear" w:color="auto" w:fill="auto"/>
                  <w:vAlign w:val="center"/>
                </w:tcPr>
                <w:p w14:paraId="2BC9C7B4">
                  <w:pPr>
                    <w:jc w:val="center"/>
                    <w:rPr>
                      <w:szCs w:val="21"/>
                    </w:rPr>
                  </w:pPr>
                  <w:r>
                    <w:rPr>
                      <w:szCs w:val="21"/>
                    </w:rPr>
                    <w:t>/</w:t>
                  </w:r>
                </w:p>
              </w:tc>
              <w:tc>
                <w:tcPr>
                  <w:tcW w:w="1125" w:type="dxa"/>
                  <w:tcBorders>
                    <w:tl2br w:val="nil"/>
                    <w:tr2bl w:val="nil"/>
                  </w:tcBorders>
                  <w:shd w:val="clear" w:color="auto" w:fill="auto"/>
                  <w:vAlign w:val="center"/>
                </w:tcPr>
                <w:p w14:paraId="5E40C3BA">
                  <w:pPr>
                    <w:jc w:val="center"/>
                    <w:rPr>
                      <w:szCs w:val="21"/>
                    </w:rPr>
                  </w:pPr>
                  <w:r>
                    <w:rPr>
                      <w:szCs w:val="21"/>
                    </w:rPr>
                    <w:t>钢筋混凝土箱型</w:t>
                  </w:r>
                </w:p>
              </w:tc>
              <w:tc>
                <w:tcPr>
                  <w:tcW w:w="1350" w:type="dxa"/>
                  <w:tcBorders>
                    <w:tl2br w:val="nil"/>
                    <w:tr2bl w:val="nil"/>
                  </w:tcBorders>
                  <w:shd w:val="clear" w:color="auto" w:fill="auto"/>
                  <w:vAlign w:val="center"/>
                </w:tcPr>
                <w:p w14:paraId="5060B55D">
                  <w:pPr>
                    <w:jc w:val="center"/>
                    <w:rPr>
                      <w:szCs w:val="21"/>
                    </w:rPr>
                  </w:pPr>
                  <w:r>
                    <w:rPr>
                      <w:szCs w:val="21"/>
                    </w:rPr>
                    <w:t>地下</w:t>
                  </w:r>
                </w:p>
              </w:tc>
            </w:tr>
          </w:tbl>
          <w:p w14:paraId="2719E418">
            <w:pPr>
              <w:adjustRightInd w:val="0"/>
              <w:snapToGrid w:val="0"/>
              <w:spacing w:line="480" w:lineRule="exact"/>
              <w:ind w:firstLine="482" w:firstLineChars="200"/>
              <w:rPr>
                <w:b/>
                <w:bCs/>
                <w:sz w:val="24"/>
              </w:rPr>
            </w:pPr>
            <w:r>
              <w:rPr>
                <w:b/>
                <w:bCs/>
                <w:sz w:val="24"/>
              </w:rPr>
              <w:t>（4）道路工程</w:t>
            </w:r>
          </w:p>
          <w:p w14:paraId="11B3DF95">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大金重工曹妃甸区 70 万千瓦陆上风力发电项目（市场化）位于河北省唐山市曹妃甸区孙塘庄镇、双井镇、柳赞镇和唐海镇境内。风电场区地形地貌类型属海积平原，场地目前沟渠纵横，坑塘遍布，主要为人工养虾的塘池，单个塘池长约500m，宽约 110m，水深一般在1.50~1.80m之间。海拔高度在1.25m～3m之间。拟建风电场附近有G508、G228高速、各级乡镇道路及村村通公路，交通条件较好。</w:t>
            </w:r>
          </w:p>
          <w:p w14:paraId="72E7CB9B">
            <w:pPr>
              <w:adjustRightInd w:val="0"/>
              <w:snapToGrid w:val="0"/>
              <w:spacing w:line="480" w:lineRule="exact"/>
              <w:ind w:firstLine="480" w:firstLineChars="200"/>
              <w:rPr>
                <w:sz w:val="24"/>
              </w:rPr>
            </w:pPr>
            <w:r>
              <w:rPr>
                <w:sz w:val="24"/>
              </w:rPr>
              <w:t>本项目道路工程包括场内道路、进站道路。</w:t>
            </w:r>
          </w:p>
          <w:p w14:paraId="29791FEB">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场内施工（检修）道路：本项目道路（包括改扩建道路及新建道路）建设标准参照厂矿四级道路标准。为满足大件运输的要求，道路最小转弯半径不小于15m。风电场新建场内道路长22.6km，改建场内道路长38.9km，道路总挖方44100m</w:t>
            </w:r>
            <w:r>
              <w:rPr>
                <w:rFonts w:ascii="Times New Roman" w:hAnsi="Times New Roman" w:eastAsia="宋体"/>
                <w:sz w:val="24"/>
                <w:szCs w:val="24"/>
                <w:vertAlign w:val="superscript"/>
              </w:rPr>
              <w:t>3</w:t>
            </w:r>
            <w:r>
              <w:rPr>
                <w:rFonts w:ascii="Times New Roman" w:hAnsi="Times New Roman" w:eastAsia="宋体"/>
                <w:sz w:val="24"/>
                <w:szCs w:val="24"/>
              </w:rPr>
              <w:t>，总填方37400m</w:t>
            </w:r>
            <w:r>
              <w:rPr>
                <w:rFonts w:ascii="Times New Roman" w:hAnsi="Times New Roman" w:eastAsia="宋体"/>
                <w:sz w:val="24"/>
                <w:szCs w:val="24"/>
                <w:vertAlign w:val="superscript"/>
              </w:rPr>
              <w:t>3</w:t>
            </w:r>
            <w:r>
              <w:rPr>
                <w:rFonts w:ascii="Times New Roman" w:hAnsi="Times New Roman" w:eastAsia="宋体"/>
                <w:sz w:val="24"/>
                <w:szCs w:val="24"/>
              </w:rPr>
              <w:t>。本风电场道路尽量利用原有道路，少占地，施工期路面宽度为5m，两侧各设置0.5m宽土路肩，路基宽度为6m，路面采用250mm厚碎石路面，道路设计时速15km/h，允许最大纵坡12%，并在道路适当位置设置错车道，错车道长30m宽4m，进出错车道缓和段长度为10m，满足风电场日常运维检修要求。</w:t>
            </w:r>
          </w:p>
          <w:p w14:paraId="0468A351">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进站道路：升压站进站道路由南侧公路引接，引接长度约50m，路面宽5m，两侧各设0.25m路肩，采用水泥混凝土路面，道路等级为四级道路，道路最小转弯半径不小于15m，满足升压站大件设备运输要求。</w:t>
            </w:r>
          </w:p>
          <w:p w14:paraId="446AB737">
            <w:pPr>
              <w:adjustRightInd w:val="0"/>
              <w:snapToGrid w:val="0"/>
              <w:spacing w:line="480" w:lineRule="exact"/>
              <w:rPr>
                <w:b/>
                <w:bCs/>
                <w:sz w:val="24"/>
              </w:rPr>
            </w:pPr>
            <w:r>
              <w:rPr>
                <w:b/>
                <w:bCs/>
                <w:sz w:val="24"/>
              </w:rPr>
              <w:t>4、工程占地</w:t>
            </w:r>
          </w:p>
          <w:p w14:paraId="13535DCB">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（1）永久占地</w:t>
            </w:r>
          </w:p>
          <w:p w14:paraId="0EDCD64F">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本项目永久占地范围即征地范围，包括风机及箱变基础、升压站、进站道路占地，征地面积4.4918hm</w:t>
            </w:r>
            <w:r>
              <w:rPr>
                <w:rFonts w:ascii="Times New Roman" w:hAnsi="Times New Roman" w:eastAsia="宋体"/>
                <w:sz w:val="24"/>
                <w:szCs w:val="24"/>
                <w:vertAlign w:val="superscript"/>
              </w:rPr>
              <w:t>2</w:t>
            </w:r>
            <w:r>
              <w:rPr>
                <w:rFonts w:ascii="Times New Roman" w:hAnsi="Times New Roman" w:eastAsia="宋体"/>
                <w:sz w:val="24"/>
                <w:szCs w:val="24"/>
              </w:rPr>
              <w:t>。</w:t>
            </w:r>
          </w:p>
          <w:p w14:paraId="62729B2D">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本项目永久占地已取得</w:t>
            </w:r>
            <w:r>
              <w:rPr>
                <w:rFonts w:ascii="Times New Roman" w:hAnsi="Times New Roman" w:eastAsia="宋体"/>
                <w:sz w:val="24"/>
              </w:rPr>
              <w:t>《建设项目用地预审与选址意见书》（证书编号：用字第1302092025XS0001522号）</w:t>
            </w:r>
            <w:r>
              <w:rPr>
                <w:rFonts w:ascii="Times New Roman" w:hAnsi="Times New Roman" w:eastAsia="宋体"/>
                <w:sz w:val="24"/>
                <w:szCs w:val="24"/>
              </w:rPr>
              <w:t>。选址意见书用地面积为4.4918hm</w:t>
            </w:r>
            <w:r>
              <w:rPr>
                <w:rFonts w:ascii="Times New Roman" w:hAnsi="Times New Roman" w:eastAsia="宋体"/>
                <w:sz w:val="24"/>
                <w:szCs w:val="24"/>
                <w:vertAlign w:val="superscript"/>
              </w:rPr>
              <w:t>2</w:t>
            </w:r>
            <w:r>
              <w:rPr>
                <w:rFonts w:ascii="Times New Roman" w:hAnsi="Times New Roman" w:eastAsia="宋体"/>
                <w:sz w:val="24"/>
                <w:szCs w:val="24"/>
              </w:rPr>
              <w:t>，包括46台风电机组及箱变永久占地面积2.8398hm</w:t>
            </w:r>
            <w:r>
              <w:rPr>
                <w:rFonts w:ascii="Times New Roman" w:hAnsi="Times New Roman" w:eastAsia="宋体"/>
                <w:sz w:val="24"/>
                <w:szCs w:val="24"/>
                <w:vertAlign w:val="superscript"/>
              </w:rPr>
              <w:t>2</w:t>
            </w:r>
            <w:r>
              <w:rPr>
                <w:rFonts w:ascii="Times New Roman" w:hAnsi="Times New Roman" w:eastAsia="宋体"/>
                <w:sz w:val="24"/>
                <w:szCs w:val="24"/>
              </w:rPr>
              <w:t>，升压站永久占地面积1.616hm</w:t>
            </w:r>
            <w:r>
              <w:rPr>
                <w:rFonts w:ascii="Times New Roman" w:hAnsi="Times New Roman" w:eastAsia="宋体"/>
                <w:sz w:val="24"/>
                <w:szCs w:val="24"/>
                <w:vertAlign w:val="superscript"/>
              </w:rPr>
              <w:t>2</w:t>
            </w:r>
            <w:r>
              <w:rPr>
                <w:rFonts w:ascii="Times New Roman" w:hAnsi="Times New Roman" w:eastAsia="宋体"/>
                <w:sz w:val="24"/>
                <w:szCs w:val="24"/>
              </w:rPr>
              <w:t>，进站道路永久占地面积0.036hm</w:t>
            </w:r>
            <w:r>
              <w:rPr>
                <w:rFonts w:ascii="Times New Roman" w:hAnsi="Times New Roman" w:eastAsia="宋体"/>
                <w:sz w:val="24"/>
                <w:szCs w:val="24"/>
                <w:vertAlign w:val="superscript"/>
              </w:rPr>
              <w:t>2</w:t>
            </w:r>
            <w:r>
              <w:rPr>
                <w:rFonts w:ascii="Times New Roman" w:hAnsi="Times New Roman" w:eastAsia="宋体"/>
                <w:sz w:val="24"/>
                <w:szCs w:val="24"/>
              </w:rPr>
              <w:t>。</w:t>
            </w:r>
          </w:p>
          <w:p w14:paraId="43D0B283">
            <w:pPr>
              <w:pStyle w:val="43"/>
              <w:adjustRightInd w:val="0"/>
              <w:snapToGrid w:val="0"/>
              <w:spacing w:line="480" w:lineRule="exact"/>
              <w:ind w:firstLine="480" w:firstLineChars="200"/>
              <w:rPr>
                <w:rFonts w:ascii="Times New Roman" w:hAnsi="Times New Roman" w:eastAsia="宋体"/>
                <w:sz w:val="24"/>
                <w:szCs w:val="24"/>
              </w:rPr>
            </w:pPr>
            <w:r>
              <w:rPr>
                <w:rFonts w:ascii="Times New Roman" w:hAnsi="Times New Roman" w:eastAsia="宋体"/>
                <w:sz w:val="24"/>
                <w:szCs w:val="24"/>
              </w:rPr>
              <w:t>根据现场踏勘及《土地利用现状分类》（GB/T21010-2017），本项目46台风电机组永久占地现状为农用地（坑塘水面、沟渠、果园、设施农用地、旱地、水田、农村道路等），本项目220kV升压站永久占地现状为农用地（坑塘水面）。根据《建设项目用地预审与选址意见书》，本项目永久占地均为农用地。</w:t>
            </w:r>
          </w:p>
          <w:p w14:paraId="5FC09B60">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（2）临时占地</w:t>
            </w:r>
          </w:p>
          <w:p w14:paraId="36736706">
            <w:pPr>
              <w:widowControl/>
              <w:adjustRightInd w:val="0"/>
              <w:snapToGrid w:val="0"/>
              <w:spacing w:line="480" w:lineRule="exact"/>
              <w:ind w:firstLine="480" w:firstLineChars="200"/>
              <w:rPr>
                <w:sz w:val="24"/>
              </w:rPr>
            </w:pPr>
            <w:r>
              <w:rPr>
                <w:sz w:val="24"/>
              </w:rPr>
              <w:t>工程临时占地包括场内集电线路塔基占地、施工临建区、风电机组吊装场地、施工道路、集电线路施工占地等，检修道路与施工道路路径相同，施工结束后施工道路作为检修道路使用。临时占地用地现状为坑塘水面、旱地等。临时占地面积</w:t>
            </w:r>
            <w:r>
              <w:rPr>
                <w:kern w:val="0"/>
                <w:sz w:val="24"/>
              </w:rPr>
              <w:t>60.722h</w:t>
            </w:r>
            <w:r>
              <w:rPr>
                <w:sz w:val="24"/>
              </w:rPr>
              <w:t>m</w:t>
            </w:r>
            <w:r>
              <w:rPr>
                <w:sz w:val="24"/>
                <w:vertAlign w:val="superscript"/>
              </w:rPr>
              <w:t>2</w:t>
            </w:r>
            <w:r>
              <w:rPr>
                <w:sz w:val="24"/>
              </w:rPr>
              <w:t>。</w:t>
            </w:r>
          </w:p>
          <w:p w14:paraId="5EF9AF21">
            <w:pPr>
              <w:widowControl/>
              <w:adjustRightInd w:val="0"/>
              <w:snapToGrid w:val="0"/>
              <w:spacing w:line="480" w:lineRule="exact"/>
              <w:ind w:firstLine="480" w:firstLineChars="200"/>
              <w:rPr>
                <w:sz w:val="24"/>
              </w:rPr>
            </w:pPr>
            <w:r>
              <w:rPr>
                <w:sz w:val="24"/>
              </w:rPr>
              <w:t>本项目检修道路既用于运营期风机的运维检修，也作为公用农村道路使用。本项目所建道路由建设单位投资建设，建设单位不拥有产权，用地需与土地权属单位签订租地补偿协议。</w:t>
            </w:r>
          </w:p>
          <w:p w14:paraId="3050725B">
            <w:pPr>
              <w:adjustRightInd w:val="0"/>
              <w:snapToGrid w:val="0"/>
              <w:spacing w:line="480" w:lineRule="exact"/>
              <w:jc w:val="center"/>
              <w:rPr>
                <w:b/>
                <w:bCs/>
                <w:szCs w:val="21"/>
              </w:rPr>
            </w:pPr>
            <w:r>
              <w:rPr>
                <w:b/>
                <w:bCs/>
                <w:szCs w:val="21"/>
              </w:rPr>
              <w:t>表2-</w:t>
            </w:r>
            <w:r>
              <w:rPr>
                <w:rFonts w:hint="eastAsia"/>
                <w:b/>
                <w:bCs/>
                <w:szCs w:val="21"/>
              </w:rPr>
              <w:t xml:space="preserve">8    </w:t>
            </w:r>
            <w:r>
              <w:rPr>
                <w:b/>
                <w:bCs/>
                <w:szCs w:val="21"/>
              </w:rPr>
              <w:t xml:space="preserve">  本项目占地情况一览表</w:t>
            </w:r>
          </w:p>
          <w:tbl>
            <w:tblPr>
              <w:tblStyle w:val="32"/>
              <w:tblW w:w="80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675"/>
              <w:gridCol w:w="1563"/>
              <w:gridCol w:w="1100"/>
              <w:gridCol w:w="1062"/>
              <w:gridCol w:w="1864"/>
              <w:gridCol w:w="1149"/>
            </w:tblGrid>
            <w:tr w14:paraId="27D0BF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21C8F280">
                  <w:pPr>
                    <w:widowControl/>
                    <w:jc w:val="center"/>
                    <w:textAlignment w:val="center"/>
                    <w:rPr>
                      <w:szCs w:val="21"/>
                    </w:rPr>
                  </w:pPr>
                  <w:r>
                    <w:rPr>
                      <w:kern w:val="0"/>
                      <w:szCs w:val="21"/>
                    </w:rPr>
                    <w:t>序号</w:t>
                  </w:r>
                </w:p>
              </w:tc>
              <w:tc>
                <w:tcPr>
                  <w:tcW w:w="2238" w:type="dxa"/>
                  <w:gridSpan w:val="2"/>
                  <w:tcBorders>
                    <w:tl2br w:val="nil"/>
                    <w:tr2bl w:val="nil"/>
                  </w:tcBorders>
                  <w:shd w:val="clear" w:color="auto" w:fill="auto"/>
                  <w:vAlign w:val="center"/>
                </w:tcPr>
                <w:p w14:paraId="064C16BE">
                  <w:pPr>
                    <w:widowControl/>
                    <w:jc w:val="center"/>
                    <w:textAlignment w:val="center"/>
                    <w:rPr>
                      <w:szCs w:val="21"/>
                    </w:rPr>
                  </w:pPr>
                  <w:r>
                    <w:rPr>
                      <w:kern w:val="0"/>
                      <w:szCs w:val="21"/>
                    </w:rPr>
                    <w:t>项目名称</w:t>
                  </w:r>
                </w:p>
              </w:tc>
              <w:tc>
                <w:tcPr>
                  <w:tcW w:w="1100" w:type="dxa"/>
                  <w:tcBorders>
                    <w:tl2br w:val="nil"/>
                    <w:tr2bl w:val="nil"/>
                  </w:tcBorders>
                  <w:shd w:val="clear" w:color="auto" w:fill="auto"/>
                  <w:vAlign w:val="center"/>
                </w:tcPr>
                <w:p w14:paraId="5750CC0D">
                  <w:pPr>
                    <w:widowControl/>
                    <w:jc w:val="center"/>
                    <w:textAlignment w:val="center"/>
                    <w:rPr>
                      <w:szCs w:val="21"/>
                    </w:rPr>
                  </w:pPr>
                  <w:r>
                    <w:rPr>
                      <w:kern w:val="0"/>
                      <w:szCs w:val="21"/>
                    </w:rPr>
                    <w:t>永久占地/</w:t>
                  </w:r>
                  <w:r>
                    <w:rPr>
                      <w:rFonts w:hint="eastAsia"/>
                      <w:kern w:val="0"/>
                      <w:szCs w:val="21"/>
                    </w:rPr>
                    <w:t>h</w:t>
                  </w:r>
                  <w:r>
                    <w:rPr>
                      <w:kern w:val="0"/>
                      <w:szCs w:val="21"/>
                    </w:rPr>
                    <w:t>m</w:t>
                  </w:r>
                  <w:r>
                    <w:rPr>
                      <w:kern w:val="0"/>
                      <w:szCs w:val="21"/>
                      <w:vertAlign w:val="superscript"/>
                    </w:rPr>
                    <w:t>2</w:t>
                  </w:r>
                </w:p>
              </w:tc>
              <w:tc>
                <w:tcPr>
                  <w:tcW w:w="1062" w:type="dxa"/>
                  <w:tcBorders>
                    <w:tl2br w:val="nil"/>
                    <w:tr2bl w:val="nil"/>
                  </w:tcBorders>
                  <w:shd w:val="clear" w:color="auto" w:fill="auto"/>
                  <w:vAlign w:val="center"/>
                </w:tcPr>
                <w:p w14:paraId="2FCB110F">
                  <w:pPr>
                    <w:widowControl/>
                    <w:jc w:val="center"/>
                    <w:textAlignment w:val="center"/>
                    <w:rPr>
                      <w:szCs w:val="21"/>
                    </w:rPr>
                  </w:pPr>
                  <w:r>
                    <w:rPr>
                      <w:kern w:val="0"/>
                      <w:szCs w:val="21"/>
                    </w:rPr>
                    <w:t>临时占地/</w:t>
                  </w:r>
                  <w:r>
                    <w:rPr>
                      <w:rFonts w:hint="eastAsia"/>
                      <w:kern w:val="0"/>
                      <w:szCs w:val="21"/>
                    </w:rPr>
                    <w:t>h</w:t>
                  </w:r>
                  <w:r>
                    <w:rPr>
                      <w:kern w:val="0"/>
                      <w:szCs w:val="21"/>
                    </w:rPr>
                    <w:t>m</w:t>
                  </w:r>
                  <w:r>
                    <w:rPr>
                      <w:kern w:val="0"/>
                      <w:szCs w:val="21"/>
                      <w:vertAlign w:val="superscript"/>
                    </w:rPr>
                    <w:t>2</w:t>
                  </w:r>
                </w:p>
              </w:tc>
              <w:tc>
                <w:tcPr>
                  <w:tcW w:w="1864" w:type="dxa"/>
                  <w:tcBorders>
                    <w:tl2br w:val="nil"/>
                    <w:tr2bl w:val="nil"/>
                  </w:tcBorders>
                  <w:shd w:val="clear" w:color="auto" w:fill="auto"/>
                  <w:vAlign w:val="center"/>
                </w:tcPr>
                <w:p w14:paraId="23167785">
                  <w:pPr>
                    <w:widowControl/>
                    <w:jc w:val="center"/>
                    <w:textAlignment w:val="center"/>
                    <w:rPr>
                      <w:szCs w:val="21"/>
                    </w:rPr>
                  </w:pPr>
                  <w:r>
                    <w:rPr>
                      <w:kern w:val="0"/>
                      <w:szCs w:val="21"/>
                    </w:rPr>
                    <w:t>占地现状及类型</w:t>
                  </w:r>
                </w:p>
              </w:tc>
              <w:tc>
                <w:tcPr>
                  <w:tcW w:w="1149" w:type="dxa"/>
                  <w:tcBorders>
                    <w:tl2br w:val="nil"/>
                    <w:tr2bl w:val="nil"/>
                  </w:tcBorders>
                  <w:shd w:val="clear" w:color="auto" w:fill="auto"/>
                  <w:vAlign w:val="center"/>
                </w:tcPr>
                <w:p w14:paraId="7EDEFD7F">
                  <w:pPr>
                    <w:widowControl/>
                    <w:jc w:val="center"/>
                    <w:textAlignment w:val="center"/>
                    <w:rPr>
                      <w:szCs w:val="21"/>
                    </w:rPr>
                  </w:pPr>
                  <w:r>
                    <w:rPr>
                      <w:kern w:val="0"/>
                      <w:szCs w:val="21"/>
                    </w:rPr>
                    <w:t>占地性质</w:t>
                  </w:r>
                </w:p>
              </w:tc>
            </w:tr>
            <w:tr w14:paraId="24CDB0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662" w:type="dxa"/>
                  <w:tcBorders>
                    <w:tl2br w:val="nil"/>
                    <w:tr2bl w:val="nil"/>
                  </w:tcBorders>
                  <w:shd w:val="clear" w:color="auto" w:fill="auto"/>
                  <w:vAlign w:val="center"/>
                </w:tcPr>
                <w:p w14:paraId="588FEF2E">
                  <w:pPr>
                    <w:widowControl/>
                    <w:jc w:val="center"/>
                    <w:textAlignment w:val="center"/>
                    <w:rPr>
                      <w:szCs w:val="21"/>
                    </w:rPr>
                  </w:pPr>
                  <w:r>
                    <w:rPr>
                      <w:kern w:val="0"/>
                      <w:szCs w:val="21"/>
                    </w:rPr>
                    <w:t>1</w:t>
                  </w:r>
                </w:p>
              </w:tc>
              <w:tc>
                <w:tcPr>
                  <w:tcW w:w="2238" w:type="dxa"/>
                  <w:gridSpan w:val="2"/>
                  <w:tcBorders>
                    <w:tl2br w:val="nil"/>
                    <w:tr2bl w:val="nil"/>
                  </w:tcBorders>
                  <w:shd w:val="clear" w:color="auto" w:fill="auto"/>
                  <w:vAlign w:val="center"/>
                </w:tcPr>
                <w:p w14:paraId="096A230A">
                  <w:pPr>
                    <w:widowControl/>
                    <w:jc w:val="center"/>
                    <w:textAlignment w:val="center"/>
                    <w:rPr>
                      <w:szCs w:val="21"/>
                    </w:rPr>
                  </w:pPr>
                  <w:r>
                    <w:rPr>
                      <w:kern w:val="0"/>
                      <w:szCs w:val="21"/>
                    </w:rPr>
                    <w:t>风机基础</w:t>
                  </w:r>
                </w:p>
              </w:tc>
              <w:tc>
                <w:tcPr>
                  <w:tcW w:w="1100" w:type="dxa"/>
                  <w:tcBorders>
                    <w:tl2br w:val="nil"/>
                    <w:tr2bl w:val="nil"/>
                  </w:tcBorders>
                  <w:shd w:val="clear" w:color="auto" w:fill="auto"/>
                  <w:vAlign w:val="center"/>
                </w:tcPr>
                <w:p w14:paraId="596DDC21">
                  <w:pPr>
                    <w:widowControl/>
                    <w:jc w:val="center"/>
                    <w:textAlignment w:val="center"/>
                    <w:rPr>
                      <w:szCs w:val="21"/>
                    </w:rPr>
                  </w:pPr>
                  <w:r>
                    <w:rPr>
                      <w:kern w:val="0"/>
                      <w:szCs w:val="21"/>
                    </w:rPr>
                    <w:t>2.8398</w:t>
                  </w:r>
                </w:p>
              </w:tc>
              <w:tc>
                <w:tcPr>
                  <w:tcW w:w="1062" w:type="dxa"/>
                  <w:tcBorders>
                    <w:tl2br w:val="nil"/>
                    <w:tr2bl w:val="nil"/>
                  </w:tcBorders>
                  <w:shd w:val="clear" w:color="auto" w:fill="auto"/>
                  <w:vAlign w:val="center"/>
                </w:tcPr>
                <w:p w14:paraId="789641B1">
                  <w:pPr>
                    <w:jc w:val="center"/>
                    <w:rPr>
                      <w:szCs w:val="21"/>
                    </w:rPr>
                  </w:pPr>
                </w:p>
              </w:tc>
              <w:tc>
                <w:tcPr>
                  <w:tcW w:w="1864" w:type="dxa"/>
                  <w:tcBorders>
                    <w:tl2br w:val="nil"/>
                    <w:tr2bl w:val="nil"/>
                  </w:tcBorders>
                  <w:shd w:val="clear" w:color="auto" w:fill="auto"/>
                  <w:vAlign w:val="center"/>
                </w:tcPr>
                <w:p w14:paraId="53323561">
                  <w:pPr>
                    <w:widowControl/>
                    <w:jc w:val="center"/>
                    <w:textAlignment w:val="center"/>
                    <w:rPr>
                      <w:szCs w:val="21"/>
                    </w:rPr>
                  </w:pPr>
                  <w:r>
                    <w:rPr>
                      <w:kern w:val="0"/>
                      <w:szCs w:val="21"/>
                    </w:rPr>
                    <w:t>坑塘水面、沟渠、果园、设施农用地、旱地、水田、农村道路等</w:t>
                  </w:r>
                </w:p>
              </w:tc>
              <w:tc>
                <w:tcPr>
                  <w:tcW w:w="1149" w:type="dxa"/>
                  <w:tcBorders>
                    <w:tl2br w:val="nil"/>
                    <w:tr2bl w:val="nil"/>
                  </w:tcBorders>
                  <w:shd w:val="clear" w:color="auto" w:fill="auto"/>
                  <w:vAlign w:val="center"/>
                </w:tcPr>
                <w:p w14:paraId="2353F4C5">
                  <w:pPr>
                    <w:widowControl/>
                    <w:jc w:val="center"/>
                    <w:textAlignment w:val="center"/>
                    <w:rPr>
                      <w:szCs w:val="21"/>
                    </w:rPr>
                  </w:pPr>
                  <w:r>
                    <w:rPr>
                      <w:kern w:val="0"/>
                      <w:szCs w:val="21"/>
                    </w:rPr>
                    <w:t>永久用地</w:t>
                  </w:r>
                </w:p>
              </w:tc>
            </w:tr>
            <w:tr w14:paraId="087275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662" w:type="dxa"/>
                  <w:vMerge w:val="restart"/>
                  <w:tcBorders>
                    <w:tl2br w:val="nil"/>
                    <w:tr2bl w:val="nil"/>
                  </w:tcBorders>
                  <w:shd w:val="clear" w:color="auto" w:fill="auto"/>
                  <w:vAlign w:val="center"/>
                </w:tcPr>
                <w:p w14:paraId="727274BC">
                  <w:pPr>
                    <w:widowControl/>
                    <w:jc w:val="center"/>
                    <w:textAlignment w:val="center"/>
                    <w:rPr>
                      <w:szCs w:val="21"/>
                    </w:rPr>
                  </w:pPr>
                  <w:r>
                    <w:rPr>
                      <w:kern w:val="0"/>
                      <w:szCs w:val="21"/>
                    </w:rPr>
                    <w:t>2</w:t>
                  </w:r>
                </w:p>
              </w:tc>
              <w:tc>
                <w:tcPr>
                  <w:tcW w:w="675" w:type="dxa"/>
                  <w:vMerge w:val="restart"/>
                  <w:tcBorders>
                    <w:tl2br w:val="nil"/>
                    <w:tr2bl w:val="nil"/>
                  </w:tcBorders>
                  <w:shd w:val="clear" w:color="auto" w:fill="auto"/>
                  <w:vAlign w:val="center"/>
                </w:tcPr>
                <w:p w14:paraId="110865D4">
                  <w:pPr>
                    <w:widowControl/>
                    <w:jc w:val="center"/>
                    <w:textAlignment w:val="center"/>
                    <w:rPr>
                      <w:szCs w:val="21"/>
                    </w:rPr>
                  </w:pPr>
                  <w:r>
                    <w:rPr>
                      <w:kern w:val="0"/>
                      <w:szCs w:val="21"/>
                    </w:rPr>
                    <w:t>道路</w:t>
                  </w:r>
                </w:p>
              </w:tc>
              <w:tc>
                <w:tcPr>
                  <w:tcW w:w="1563" w:type="dxa"/>
                  <w:tcBorders>
                    <w:tl2br w:val="nil"/>
                    <w:tr2bl w:val="nil"/>
                  </w:tcBorders>
                  <w:shd w:val="clear" w:color="auto" w:fill="auto"/>
                  <w:vAlign w:val="center"/>
                </w:tcPr>
                <w:p w14:paraId="2B019426">
                  <w:pPr>
                    <w:widowControl/>
                    <w:jc w:val="center"/>
                    <w:textAlignment w:val="center"/>
                    <w:rPr>
                      <w:szCs w:val="21"/>
                    </w:rPr>
                  </w:pPr>
                  <w:r>
                    <w:rPr>
                      <w:kern w:val="0"/>
                      <w:szCs w:val="21"/>
                    </w:rPr>
                    <w:t>场内检修道路</w:t>
                  </w:r>
                </w:p>
              </w:tc>
              <w:tc>
                <w:tcPr>
                  <w:tcW w:w="1100" w:type="dxa"/>
                  <w:tcBorders>
                    <w:tl2br w:val="nil"/>
                    <w:tr2bl w:val="nil"/>
                  </w:tcBorders>
                  <w:shd w:val="clear" w:color="auto" w:fill="auto"/>
                  <w:vAlign w:val="center"/>
                </w:tcPr>
                <w:p w14:paraId="597BFD1F">
                  <w:pPr>
                    <w:jc w:val="center"/>
                    <w:rPr>
                      <w:szCs w:val="21"/>
                    </w:rPr>
                  </w:pPr>
                </w:p>
              </w:tc>
              <w:tc>
                <w:tcPr>
                  <w:tcW w:w="1062" w:type="dxa"/>
                  <w:tcBorders>
                    <w:tl2br w:val="nil"/>
                    <w:tr2bl w:val="nil"/>
                  </w:tcBorders>
                  <w:shd w:val="clear" w:color="auto" w:fill="auto"/>
                  <w:vAlign w:val="center"/>
                </w:tcPr>
                <w:p w14:paraId="744DA899">
                  <w:pPr>
                    <w:widowControl/>
                    <w:jc w:val="center"/>
                    <w:textAlignment w:val="center"/>
                    <w:rPr>
                      <w:szCs w:val="21"/>
                    </w:rPr>
                  </w:pPr>
                  <w:r>
                    <w:rPr>
                      <w:kern w:val="0"/>
                      <w:szCs w:val="21"/>
                    </w:rPr>
                    <w:t>9.04</w:t>
                  </w:r>
                </w:p>
              </w:tc>
              <w:tc>
                <w:tcPr>
                  <w:tcW w:w="1864" w:type="dxa"/>
                  <w:tcBorders>
                    <w:tl2br w:val="nil"/>
                    <w:tr2bl w:val="nil"/>
                  </w:tcBorders>
                  <w:shd w:val="clear" w:color="auto" w:fill="auto"/>
                  <w:vAlign w:val="center"/>
                </w:tcPr>
                <w:p w14:paraId="48DADC22">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2D2600A0">
                  <w:pPr>
                    <w:widowControl/>
                    <w:jc w:val="center"/>
                    <w:textAlignment w:val="center"/>
                    <w:rPr>
                      <w:szCs w:val="21"/>
                    </w:rPr>
                  </w:pPr>
                  <w:r>
                    <w:rPr>
                      <w:kern w:val="0"/>
                      <w:szCs w:val="21"/>
                    </w:rPr>
                    <w:t>长期租赁</w:t>
                  </w:r>
                </w:p>
              </w:tc>
            </w:tr>
            <w:tr w14:paraId="3F8676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62" w:type="dxa"/>
                  <w:vMerge w:val="continue"/>
                  <w:tcBorders>
                    <w:tl2br w:val="nil"/>
                    <w:tr2bl w:val="nil"/>
                  </w:tcBorders>
                  <w:shd w:val="clear" w:color="auto" w:fill="auto"/>
                  <w:vAlign w:val="center"/>
                </w:tcPr>
                <w:p w14:paraId="6B8A910D">
                  <w:pPr>
                    <w:jc w:val="center"/>
                    <w:rPr>
                      <w:szCs w:val="21"/>
                    </w:rPr>
                  </w:pPr>
                </w:p>
              </w:tc>
              <w:tc>
                <w:tcPr>
                  <w:tcW w:w="675" w:type="dxa"/>
                  <w:vMerge w:val="continue"/>
                  <w:tcBorders>
                    <w:tl2br w:val="nil"/>
                    <w:tr2bl w:val="nil"/>
                  </w:tcBorders>
                  <w:shd w:val="clear" w:color="auto" w:fill="auto"/>
                  <w:vAlign w:val="center"/>
                </w:tcPr>
                <w:p w14:paraId="2B9ED327">
                  <w:pPr>
                    <w:jc w:val="center"/>
                    <w:rPr>
                      <w:szCs w:val="21"/>
                    </w:rPr>
                  </w:pPr>
                </w:p>
              </w:tc>
              <w:tc>
                <w:tcPr>
                  <w:tcW w:w="1563" w:type="dxa"/>
                  <w:tcBorders>
                    <w:tl2br w:val="nil"/>
                    <w:tr2bl w:val="nil"/>
                  </w:tcBorders>
                  <w:shd w:val="clear" w:color="auto" w:fill="auto"/>
                  <w:vAlign w:val="center"/>
                </w:tcPr>
                <w:p w14:paraId="457119AF">
                  <w:pPr>
                    <w:widowControl/>
                    <w:jc w:val="center"/>
                    <w:textAlignment w:val="center"/>
                    <w:rPr>
                      <w:szCs w:val="21"/>
                    </w:rPr>
                  </w:pPr>
                  <w:r>
                    <w:rPr>
                      <w:kern w:val="0"/>
                      <w:szCs w:val="21"/>
                    </w:rPr>
                    <w:t>进站</w:t>
                  </w:r>
                </w:p>
              </w:tc>
              <w:tc>
                <w:tcPr>
                  <w:tcW w:w="1100" w:type="dxa"/>
                  <w:tcBorders>
                    <w:tl2br w:val="nil"/>
                    <w:tr2bl w:val="nil"/>
                  </w:tcBorders>
                  <w:shd w:val="clear" w:color="auto" w:fill="auto"/>
                  <w:vAlign w:val="center"/>
                </w:tcPr>
                <w:p w14:paraId="4F4AF5C7">
                  <w:pPr>
                    <w:widowControl/>
                    <w:jc w:val="center"/>
                    <w:textAlignment w:val="center"/>
                    <w:rPr>
                      <w:szCs w:val="21"/>
                    </w:rPr>
                  </w:pPr>
                  <w:r>
                    <w:rPr>
                      <w:kern w:val="0"/>
                      <w:szCs w:val="21"/>
                    </w:rPr>
                    <w:t>0.036</w:t>
                  </w:r>
                </w:p>
              </w:tc>
              <w:tc>
                <w:tcPr>
                  <w:tcW w:w="1062" w:type="dxa"/>
                  <w:tcBorders>
                    <w:tl2br w:val="nil"/>
                    <w:tr2bl w:val="nil"/>
                  </w:tcBorders>
                  <w:shd w:val="clear" w:color="auto" w:fill="auto"/>
                  <w:vAlign w:val="center"/>
                </w:tcPr>
                <w:p w14:paraId="4A7AAA5E">
                  <w:pPr>
                    <w:jc w:val="center"/>
                    <w:rPr>
                      <w:szCs w:val="21"/>
                    </w:rPr>
                  </w:pPr>
                </w:p>
              </w:tc>
              <w:tc>
                <w:tcPr>
                  <w:tcW w:w="1864" w:type="dxa"/>
                  <w:tcBorders>
                    <w:tl2br w:val="nil"/>
                    <w:tr2bl w:val="nil"/>
                  </w:tcBorders>
                  <w:shd w:val="clear" w:color="auto" w:fill="auto"/>
                  <w:vAlign w:val="center"/>
                </w:tcPr>
                <w:p w14:paraId="7F8A3FA9">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3C21AC3B">
                  <w:pPr>
                    <w:widowControl/>
                    <w:jc w:val="center"/>
                    <w:textAlignment w:val="center"/>
                    <w:rPr>
                      <w:szCs w:val="21"/>
                    </w:rPr>
                  </w:pPr>
                  <w:r>
                    <w:rPr>
                      <w:kern w:val="0"/>
                      <w:szCs w:val="21"/>
                    </w:rPr>
                    <w:t>永久用地</w:t>
                  </w:r>
                </w:p>
              </w:tc>
            </w:tr>
            <w:tr w14:paraId="524AE0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62" w:type="dxa"/>
                  <w:tcBorders>
                    <w:tl2br w:val="nil"/>
                    <w:tr2bl w:val="nil"/>
                  </w:tcBorders>
                  <w:shd w:val="clear" w:color="auto" w:fill="auto"/>
                  <w:vAlign w:val="center"/>
                </w:tcPr>
                <w:p w14:paraId="44F476D7">
                  <w:pPr>
                    <w:widowControl/>
                    <w:jc w:val="center"/>
                    <w:textAlignment w:val="center"/>
                    <w:rPr>
                      <w:szCs w:val="21"/>
                    </w:rPr>
                  </w:pPr>
                  <w:r>
                    <w:rPr>
                      <w:kern w:val="0"/>
                      <w:szCs w:val="21"/>
                    </w:rPr>
                    <w:t>3</w:t>
                  </w:r>
                </w:p>
              </w:tc>
              <w:tc>
                <w:tcPr>
                  <w:tcW w:w="2238" w:type="dxa"/>
                  <w:gridSpan w:val="2"/>
                  <w:tcBorders>
                    <w:tl2br w:val="nil"/>
                    <w:tr2bl w:val="nil"/>
                  </w:tcBorders>
                  <w:shd w:val="clear" w:color="auto" w:fill="auto"/>
                  <w:vAlign w:val="center"/>
                </w:tcPr>
                <w:p w14:paraId="014E329F">
                  <w:pPr>
                    <w:widowControl/>
                    <w:jc w:val="center"/>
                    <w:textAlignment w:val="center"/>
                    <w:rPr>
                      <w:szCs w:val="21"/>
                    </w:rPr>
                  </w:pPr>
                  <w:r>
                    <w:rPr>
                      <w:kern w:val="0"/>
                      <w:szCs w:val="21"/>
                    </w:rPr>
                    <w:t>升压站</w:t>
                  </w:r>
                </w:p>
              </w:tc>
              <w:tc>
                <w:tcPr>
                  <w:tcW w:w="1100" w:type="dxa"/>
                  <w:tcBorders>
                    <w:tl2br w:val="nil"/>
                    <w:tr2bl w:val="nil"/>
                  </w:tcBorders>
                  <w:shd w:val="clear" w:color="auto" w:fill="auto"/>
                  <w:vAlign w:val="center"/>
                </w:tcPr>
                <w:p w14:paraId="6E4033D3">
                  <w:pPr>
                    <w:widowControl/>
                    <w:jc w:val="center"/>
                    <w:textAlignment w:val="center"/>
                    <w:rPr>
                      <w:szCs w:val="21"/>
                    </w:rPr>
                  </w:pPr>
                  <w:r>
                    <w:rPr>
                      <w:kern w:val="0"/>
                      <w:szCs w:val="21"/>
                    </w:rPr>
                    <w:t>1.616</w:t>
                  </w:r>
                </w:p>
              </w:tc>
              <w:tc>
                <w:tcPr>
                  <w:tcW w:w="1062" w:type="dxa"/>
                  <w:tcBorders>
                    <w:tl2br w:val="nil"/>
                    <w:tr2bl w:val="nil"/>
                  </w:tcBorders>
                  <w:shd w:val="clear" w:color="auto" w:fill="auto"/>
                  <w:vAlign w:val="center"/>
                </w:tcPr>
                <w:p w14:paraId="4FBC6474">
                  <w:pPr>
                    <w:jc w:val="center"/>
                    <w:rPr>
                      <w:szCs w:val="21"/>
                    </w:rPr>
                  </w:pPr>
                </w:p>
              </w:tc>
              <w:tc>
                <w:tcPr>
                  <w:tcW w:w="1864" w:type="dxa"/>
                  <w:tcBorders>
                    <w:tl2br w:val="nil"/>
                    <w:tr2bl w:val="nil"/>
                  </w:tcBorders>
                  <w:shd w:val="clear" w:color="auto" w:fill="auto"/>
                  <w:vAlign w:val="center"/>
                </w:tcPr>
                <w:p w14:paraId="29BA9706">
                  <w:pPr>
                    <w:widowControl/>
                    <w:jc w:val="center"/>
                    <w:textAlignment w:val="center"/>
                    <w:rPr>
                      <w:szCs w:val="21"/>
                    </w:rPr>
                  </w:pPr>
                  <w:r>
                    <w:rPr>
                      <w:kern w:val="0"/>
                      <w:szCs w:val="21"/>
                    </w:rPr>
                    <w:t>坑塘水面</w:t>
                  </w:r>
                </w:p>
              </w:tc>
              <w:tc>
                <w:tcPr>
                  <w:tcW w:w="1149" w:type="dxa"/>
                  <w:tcBorders>
                    <w:tl2br w:val="nil"/>
                    <w:tr2bl w:val="nil"/>
                  </w:tcBorders>
                  <w:shd w:val="clear" w:color="auto" w:fill="auto"/>
                  <w:vAlign w:val="center"/>
                </w:tcPr>
                <w:p w14:paraId="2D220B78">
                  <w:pPr>
                    <w:widowControl/>
                    <w:jc w:val="center"/>
                    <w:textAlignment w:val="center"/>
                    <w:rPr>
                      <w:szCs w:val="21"/>
                    </w:rPr>
                  </w:pPr>
                  <w:r>
                    <w:rPr>
                      <w:kern w:val="0"/>
                      <w:szCs w:val="21"/>
                    </w:rPr>
                    <w:t>永久用地</w:t>
                  </w:r>
                </w:p>
              </w:tc>
            </w:tr>
            <w:tr w14:paraId="260E78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342E8989">
                  <w:pPr>
                    <w:widowControl/>
                    <w:jc w:val="center"/>
                    <w:textAlignment w:val="center"/>
                    <w:rPr>
                      <w:szCs w:val="21"/>
                    </w:rPr>
                  </w:pPr>
                  <w:r>
                    <w:rPr>
                      <w:kern w:val="0"/>
                      <w:szCs w:val="21"/>
                    </w:rPr>
                    <w:t>4</w:t>
                  </w:r>
                </w:p>
              </w:tc>
              <w:tc>
                <w:tcPr>
                  <w:tcW w:w="2238" w:type="dxa"/>
                  <w:gridSpan w:val="2"/>
                  <w:tcBorders>
                    <w:tl2br w:val="nil"/>
                    <w:tr2bl w:val="nil"/>
                  </w:tcBorders>
                  <w:shd w:val="clear" w:color="auto" w:fill="auto"/>
                  <w:vAlign w:val="center"/>
                </w:tcPr>
                <w:p w14:paraId="66AA4FEF">
                  <w:pPr>
                    <w:widowControl/>
                    <w:jc w:val="center"/>
                    <w:textAlignment w:val="center"/>
                    <w:rPr>
                      <w:szCs w:val="21"/>
                    </w:rPr>
                  </w:pPr>
                  <w:r>
                    <w:rPr>
                      <w:kern w:val="0"/>
                      <w:szCs w:val="21"/>
                    </w:rPr>
                    <w:t>集电线路塔基</w:t>
                  </w:r>
                </w:p>
              </w:tc>
              <w:tc>
                <w:tcPr>
                  <w:tcW w:w="1100" w:type="dxa"/>
                  <w:tcBorders>
                    <w:tl2br w:val="nil"/>
                    <w:tr2bl w:val="nil"/>
                  </w:tcBorders>
                  <w:shd w:val="clear" w:color="auto" w:fill="auto"/>
                  <w:vAlign w:val="center"/>
                </w:tcPr>
                <w:p w14:paraId="4B6B9A87">
                  <w:pPr>
                    <w:jc w:val="center"/>
                    <w:rPr>
                      <w:szCs w:val="21"/>
                    </w:rPr>
                  </w:pPr>
                </w:p>
              </w:tc>
              <w:tc>
                <w:tcPr>
                  <w:tcW w:w="1062" w:type="dxa"/>
                  <w:tcBorders>
                    <w:tl2br w:val="nil"/>
                    <w:tr2bl w:val="nil"/>
                  </w:tcBorders>
                  <w:shd w:val="clear" w:color="auto" w:fill="auto"/>
                  <w:vAlign w:val="center"/>
                </w:tcPr>
                <w:p w14:paraId="34D17B59">
                  <w:pPr>
                    <w:widowControl/>
                    <w:jc w:val="center"/>
                    <w:textAlignment w:val="center"/>
                    <w:rPr>
                      <w:szCs w:val="21"/>
                    </w:rPr>
                  </w:pPr>
                  <w:r>
                    <w:rPr>
                      <w:kern w:val="0"/>
                      <w:szCs w:val="21"/>
                    </w:rPr>
                    <w:t>2.29</w:t>
                  </w:r>
                </w:p>
              </w:tc>
              <w:tc>
                <w:tcPr>
                  <w:tcW w:w="1864" w:type="dxa"/>
                  <w:tcBorders>
                    <w:tl2br w:val="nil"/>
                    <w:tr2bl w:val="nil"/>
                  </w:tcBorders>
                  <w:shd w:val="clear" w:color="auto" w:fill="auto"/>
                  <w:vAlign w:val="center"/>
                </w:tcPr>
                <w:p w14:paraId="469CEBF7">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1AFC7491">
                  <w:pPr>
                    <w:widowControl/>
                    <w:jc w:val="center"/>
                    <w:textAlignment w:val="center"/>
                    <w:rPr>
                      <w:szCs w:val="21"/>
                    </w:rPr>
                  </w:pPr>
                  <w:r>
                    <w:rPr>
                      <w:kern w:val="0"/>
                      <w:szCs w:val="21"/>
                    </w:rPr>
                    <w:t>长期租赁</w:t>
                  </w:r>
                </w:p>
              </w:tc>
            </w:tr>
            <w:tr w14:paraId="2E51E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62" w:type="dxa"/>
                  <w:tcBorders>
                    <w:tl2br w:val="nil"/>
                    <w:tr2bl w:val="nil"/>
                  </w:tcBorders>
                  <w:shd w:val="clear" w:color="auto" w:fill="auto"/>
                  <w:vAlign w:val="center"/>
                </w:tcPr>
                <w:p w14:paraId="21BD1050">
                  <w:pPr>
                    <w:widowControl/>
                    <w:jc w:val="center"/>
                    <w:textAlignment w:val="center"/>
                    <w:rPr>
                      <w:szCs w:val="21"/>
                    </w:rPr>
                  </w:pPr>
                  <w:r>
                    <w:rPr>
                      <w:kern w:val="0"/>
                      <w:szCs w:val="21"/>
                    </w:rPr>
                    <w:t>5</w:t>
                  </w:r>
                </w:p>
              </w:tc>
              <w:tc>
                <w:tcPr>
                  <w:tcW w:w="2238" w:type="dxa"/>
                  <w:gridSpan w:val="2"/>
                  <w:tcBorders>
                    <w:tl2br w:val="nil"/>
                    <w:tr2bl w:val="nil"/>
                  </w:tcBorders>
                  <w:shd w:val="clear" w:color="auto" w:fill="auto"/>
                  <w:vAlign w:val="center"/>
                </w:tcPr>
                <w:p w14:paraId="530226DA">
                  <w:pPr>
                    <w:widowControl/>
                    <w:jc w:val="center"/>
                    <w:textAlignment w:val="center"/>
                    <w:rPr>
                      <w:szCs w:val="21"/>
                    </w:rPr>
                  </w:pPr>
                  <w:r>
                    <w:rPr>
                      <w:kern w:val="0"/>
                      <w:szCs w:val="21"/>
                    </w:rPr>
                    <w:t>施工临建区</w:t>
                  </w:r>
                </w:p>
              </w:tc>
              <w:tc>
                <w:tcPr>
                  <w:tcW w:w="1100" w:type="dxa"/>
                  <w:tcBorders>
                    <w:tl2br w:val="nil"/>
                    <w:tr2bl w:val="nil"/>
                  </w:tcBorders>
                  <w:shd w:val="clear" w:color="auto" w:fill="auto"/>
                  <w:vAlign w:val="center"/>
                </w:tcPr>
                <w:p w14:paraId="3E347F6D">
                  <w:pPr>
                    <w:jc w:val="center"/>
                    <w:rPr>
                      <w:szCs w:val="21"/>
                    </w:rPr>
                  </w:pPr>
                </w:p>
              </w:tc>
              <w:tc>
                <w:tcPr>
                  <w:tcW w:w="1062" w:type="dxa"/>
                  <w:tcBorders>
                    <w:tl2br w:val="nil"/>
                    <w:tr2bl w:val="nil"/>
                  </w:tcBorders>
                  <w:shd w:val="clear" w:color="auto" w:fill="auto"/>
                  <w:vAlign w:val="center"/>
                </w:tcPr>
                <w:p w14:paraId="30464FC7">
                  <w:pPr>
                    <w:widowControl/>
                    <w:jc w:val="center"/>
                    <w:textAlignment w:val="center"/>
                    <w:rPr>
                      <w:szCs w:val="21"/>
                    </w:rPr>
                  </w:pPr>
                  <w:r>
                    <w:rPr>
                      <w:kern w:val="0"/>
                      <w:szCs w:val="21"/>
                    </w:rPr>
                    <w:t>1</w:t>
                  </w:r>
                </w:p>
              </w:tc>
              <w:tc>
                <w:tcPr>
                  <w:tcW w:w="1864" w:type="dxa"/>
                  <w:tcBorders>
                    <w:tl2br w:val="nil"/>
                    <w:tr2bl w:val="nil"/>
                  </w:tcBorders>
                  <w:shd w:val="clear" w:color="auto" w:fill="auto"/>
                  <w:vAlign w:val="center"/>
                </w:tcPr>
                <w:p w14:paraId="615D690B">
                  <w:pPr>
                    <w:widowControl/>
                    <w:jc w:val="center"/>
                    <w:textAlignment w:val="center"/>
                    <w:rPr>
                      <w:szCs w:val="21"/>
                    </w:rPr>
                  </w:pPr>
                  <w:r>
                    <w:rPr>
                      <w:kern w:val="0"/>
                      <w:szCs w:val="21"/>
                    </w:rPr>
                    <w:t>旱地</w:t>
                  </w:r>
                </w:p>
              </w:tc>
              <w:tc>
                <w:tcPr>
                  <w:tcW w:w="1149" w:type="dxa"/>
                  <w:tcBorders>
                    <w:tl2br w:val="nil"/>
                    <w:tr2bl w:val="nil"/>
                  </w:tcBorders>
                  <w:shd w:val="clear" w:color="auto" w:fill="auto"/>
                  <w:vAlign w:val="center"/>
                </w:tcPr>
                <w:p w14:paraId="14101E39">
                  <w:pPr>
                    <w:widowControl/>
                    <w:jc w:val="center"/>
                    <w:textAlignment w:val="center"/>
                    <w:rPr>
                      <w:szCs w:val="21"/>
                    </w:rPr>
                  </w:pPr>
                  <w:r>
                    <w:rPr>
                      <w:kern w:val="0"/>
                      <w:szCs w:val="21"/>
                    </w:rPr>
                    <w:t>临时用地</w:t>
                  </w:r>
                </w:p>
              </w:tc>
            </w:tr>
            <w:tr w14:paraId="25586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394015D6">
                  <w:pPr>
                    <w:widowControl/>
                    <w:jc w:val="center"/>
                    <w:textAlignment w:val="center"/>
                    <w:rPr>
                      <w:szCs w:val="21"/>
                    </w:rPr>
                  </w:pPr>
                  <w:r>
                    <w:rPr>
                      <w:kern w:val="0"/>
                      <w:szCs w:val="21"/>
                    </w:rPr>
                    <w:t>6</w:t>
                  </w:r>
                </w:p>
              </w:tc>
              <w:tc>
                <w:tcPr>
                  <w:tcW w:w="2238" w:type="dxa"/>
                  <w:gridSpan w:val="2"/>
                  <w:tcBorders>
                    <w:tl2br w:val="nil"/>
                    <w:tr2bl w:val="nil"/>
                  </w:tcBorders>
                  <w:shd w:val="clear" w:color="auto" w:fill="auto"/>
                  <w:vAlign w:val="center"/>
                </w:tcPr>
                <w:p w14:paraId="106E5680">
                  <w:pPr>
                    <w:widowControl/>
                    <w:jc w:val="center"/>
                    <w:textAlignment w:val="center"/>
                    <w:rPr>
                      <w:szCs w:val="21"/>
                    </w:rPr>
                  </w:pPr>
                  <w:r>
                    <w:rPr>
                      <w:kern w:val="0"/>
                      <w:szCs w:val="21"/>
                    </w:rPr>
                    <w:t>风机施工吊装场地</w:t>
                  </w:r>
                </w:p>
              </w:tc>
              <w:tc>
                <w:tcPr>
                  <w:tcW w:w="1100" w:type="dxa"/>
                  <w:tcBorders>
                    <w:tl2br w:val="nil"/>
                    <w:tr2bl w:val="nil"/>
                  </w:tcBorders>
                  <w:shd w:val="clear" w:color="auto" w:fill="auto"/>
                  <w:vAlign w:val="center"/>
                </w:tcPr>
                <w:p w14:paraId="4B19F5F1">
                  <w:pPr>
                    <w:jc w:val="center"/>
                    <w:rPr>
                      <w:szCs w:val="21"/>
                    </w:rPr>
                  </w:pPr>
                </w:p>
              </w:tc>
              <w:tc>
                <w:tcPr>
                  <w:tcW w:w="1062" w:type="dxa"/>
                  <w:tcBorders>
                    <w:tl2br w:val="nil"/>
                    <w:tr2bl w:val="nil"/>
                  </w:tcBorders>
                  <w:shd w:val="clear" w:color="auto" w:fill="auto"/>
                  <w:vAlign w:val="center"/>
                </w:tcPr>
                <w:p w14:paraId="5DF2A03B">
                  <w:pPr>
                    <w:widowControl/>
                    <w:jc w:val="center"/>
                    <w:textAlignment w:val="center"/>
                    <w:rPr>
                      <w:szCs w:val="21"/>
                    </w:rPr>
                  </w:pPr>
                  <w:r>
                    <w:rPr>
                      <w:kern w:val="0"/>
                      <w:szCs w:val="21"/>
                    </w:rPr>
                    <w:t>13.8</w:t>
                  </w:r>
                </w:p>
              </w:tc>
              <w:tc>
                <w:tcPr>
                  <w:tcW w:w="1864" w:type="dxa"/>
                  <w:tcBorders>
                    <w:tl2br w:val="nil"/>
                    <w:tr2bl w:val="nil"/>
                  </w:tcBorders>
                  <w:shd w:val="clear" w:color="auto" w:fill="auto"/>
                  <w:vAlign w:val="center"/>
                </w:tcPr>
                <w:p w14:paraId="0103AAE1">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791F0086">
                  <w:pPr>
                    <w:widowControl/>
                    <w:jc w:val="center"/>
                    <w:textAlignment w:val="center"/>
                    <w:rPr>
                      <w:szCs w:val="21"/>
                    </w:rPr>
                  </w:pPr>
                  <w:r>
                    <w:rPr>
                      <w:kern w:val="0"/>
                      <w:szCs w:val="21"/>
                    </w:rPr>
                    <w:t>临时用地</w:t>
                  </w:r>
                </w:p>
              </w:tc>
            </w:tr>
            <w:tr w14:paraId="6A497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43FCC3A1">
                  <w:pPr>
                    <w:widowControl/>
                    <w:jc w:val="center"/>
                    <w:textAlignment w:val="center"/>
                    <w:rPr>
                      <w:szCs w:val="21"/>
                    </w:rPr>
                  </w:pPr>
                  <w:r>
                    <w:rPr>
                      <w:kern w:val="0"/>
                      <w:szCs w:val="21"/>
                    </w:rPr>
                    <w:t>7</w:t>
                  </w:r>
                </w:p>
              </w:tc>
              <w:tc>
                <w:tcPr>
                  <w:tcW w:w="2238" w:type="dxa"/>
                  <w:gridSpan w:val="2"/>
                  <w:tcBorders>
                    <w:tl2br w:val="nil"/>
                    <w:tr2bl w:val="nil"/>
                  </w:tcBorders>
                  <w:shd w:val="clear" w:color="auto" w:fill="auto"/>
                  <w:vAlign w:val="center"/>
                </w:tcPr>
                <w:p w14:paraId="1E81471B">
                  <w:pPr>
                    <w:widowControl/>
                    <w:jc w:val="center"/>
                    <w:textAlignment w:val="center"/>
                    <w:rPr>
                      <w:szCs w:val="21"/>
                    </w:rPr>
                  </w:pPr>
                  <w:r>
                    <w:rPr>
                      <w:kern w:val="0"/>
                      <w:szCs w:val="21"/>
                    </w:rPr>
                    <w:t>施工道路</w:t>
                  </w:r>
                </w:p>
              </w:tc>
              <w:tc>
                <w:tcPr>
                  <w:tcW w:w="1100" w:type="dxa"/>
                  <w:tcBorders>
                    <w:tl2br w:val="nil"/>
                    <w:tr2bl w:val="nil"/>
                  </w:tcBorders>
                  <w:shd w:val="clear" w:color="auto" w:fill="auto"/>
                  <w:vAlign w:val="center"/>
                </w:tcPr>
                <w:p w14:paraId="502A30DA">
                  <w:pPr>
                    <w:jc w:val="center"/>
                    <w:rPr>
                      <w:szCs w:val="21"/>
                    </w:rPr>
                  </w:pPr>
                </w:p>
              </w:tc>
              <w:tc>
                <w:tcPr>
                  <w:tcW w:w="1062" w:type="dxa"/>
                  <w:tcBorders>
                    <w:tl2br w:val="nil"/>
                    <w:tr2bl w:val="nil"/>
                  </w:tcBorders>
                  <w:shd w:val="clear" w:color="auto" w:fill="auto"/>
                  <w:vAlign w:val="center"/>
                </w:tcPr>
                <w:p w14:paraId="09982B4D">
                  <w:pPr>
                    <w:widowControl/>
                    <w:jc w:val="center"/>
                    <w:textAlignment w:val="center"/>
                    <w:rPr>
                      <w:szCs w:val="21"/>
                    </w:rPr>
                  </w:pPr>
                  <w:r>
                    <w:rPr>
                      <w:kern w:val="0"/>
                      <w:szCs w:val="21"/>
                    </w:rPr>
                    <w:t>22.992</w:t>
                  </w:r>
                </w:p>
              </w:tc>
              <w:tc>
                <w:tcPr>
                  <w:tcW w:w="1864" w:type="dxa"/>
                  <w:tcBorders>
                    <w:tl2br w:val="nil"/>
                    <w:tr2bl w:val="nil"/>
                  </w:tcBorders>
                  <w:shd w:val="clear" w:color="auto" w:fill="auto"/>
                  <w:vAlign w:val="center"/>
                </w:tcPr>
                <w:p w14:paraId="765DD200">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6C580EFA">
                  <w:pPr>
                    <w:widowControl/>
                    <w:jc w:val="center"/>
                    <w:textAlignment w:val="center"/>
                    <w:rPr>
                      <w:szCs w:val="21"/>
                    </w:rPr>
                  </w:pPr>
                  <w:r>
                    <w:rPr>
                      <w:kern w:val="0"/>
                      <w:szCs w:val="21"/>
                    </w:rPr>
                    <w:t>临时用地</w:t>
                  </w:r>
                </w:p>
              </w:tc>
            </w:tr>
            <w:tr w14:paraId="18E92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62" w:type="dxa"/>
                  <w:tcBorders>
                    <w:tl2br w:val="nil"/>
                    <w:tr2bl w:val="nil"/>
                  </w:tcBorders>
                  <w:shd w:val="clear" w:color="auto" w:fill="auto"/>
                  <w:vAlign w:val="center"/>
                </w:tcPr>
                <w:p w14:paraId="39ACACAE">
                  <w:pPr>
                    <w:widowControl/>
                    <w:jc w:val="center"/>
                    <w:textAlignment w:val="center"/>
                    <w:rPr>
                      <w:szCs w:val="21"/>
                    </w:rPr>
                  </w:pPr>
                  <w:r>
                    <w:rPr>
                      <w:kern w:val="0"/>
                      <w:szCs w:val="21"/>
                    </w:rPr>
                    <w:t>8</w:t>
                  </w:r>
                </w:p>
              </w:tc>
              <w:tc>
                <w:tcPr>
                  <w:tcW w:w="2238" w:type="dxa"/>
                  <w:gridSpan w:val="2"/>
                  <w:tcBorders>
                    <w:tl2br w:val="nil"/>
                    <w:tr2bl w:val="nil"/>
                  </w:tcBorders>
                  <w:shd w:val="clear" w:color="auto" w:fill="auto"/>
                  <w:vAlign w:val="center"/>
                </w:tcPr>
                <w:p w14:paraId="77B5BDD5">
                  <w:pPr>
                    <w:widowControl/>
                    <w:jc w:val="center"/>
                    <w:textAlignment w:val="center"/>
                    <w:rPr>
                      <w:szCs w:val="21"/>
                    </w:rPr>
                  </w:pPr>
                  <w:r>
                    <w:rPr>
                      <w:kern w:val="0"/>
                      <w:szCs w:val="21"/>
                    </w:rPr>
                    <w:t>集电线路施工占地</w:t>
                  </w:r>
                </w:p>
              </w:tc>
              <w:tc>
                <w:tcPr>
                  <w:tcW w:w="1100" w:type="dxa"/>
                  <w:tcBorders>
                    <w:tl2br w:val="nil"/>
                    <w:tr2bl w:val="nil"/>
                  </w:tcBorders>
                  <w:shd w:val="clear" w:color="auto" w:fill="auto"/>
                  <w:vAlign w:val="center"/>
                </w:tcPr>
                <w:p w14:paraId="3F3C2131">
                  <w:pPr>
                    <w:jc w:val="center"/>
                    <w:rPr>
                      <w:szCs w:val="21"/>
                    </w:rPr>
                  </w:pPr>
                </w:p>
              </w:tc>
              <w:tc>
                <w:tcPr>
                  <w:tcW w:w="1062" w:type="dxa"/>
                  <w:tcBorders>
                    <w:tl2br w:val="nil"/>
                    <w:tr2bl w:val="nil"/>
                  </w:tcBorders>
                  <w:shd w:val="clear" w:color="auto" w:fill="auto"/>
                  <w:vAlign w:val="center"/>
                </w:tcPr>
                <w:p w14:paraId="5CFD95F4">
                  <w:pPr>
                    <w:widowControl/>
                    <w:jc w:val="center"/>
                    <w:textAlignment w:val="center"/>
                    <w:rPr>
                      <w:szCs w:val="21"/>
                    </w:rPr>
                  </w:pPr>
                  <w:r>
                    <w:rPr>
                      <w:kern w:val="0"/>
                      <w:szCs w:val="21"/>
                    </w:rPr>
                    <w:t>11.6</w:t>
                  </w:r>
                </w:p>
              </w:tc>
              <w:tc>
                <w:tcPr>
                  <w:tcW w:w="1864" w:type="dxa"/>
                  <w:tcBorders>
                    <w:tl2br w:val="nil"/>
                    <w:tr2bl w:val="nil"/>
                  </w:tcBorders>
                  <w:shd w:val="clear" w:color="auto" w:fill="auto"/>
                  <w:vAlign w:val="center"/>
                </w:tcPr>
                <w:p w14:paraId="1CE5871C">
                  <w:pPr>
                    <w:widowControl/>
                    <w:jc w:val="center"/>
                    <w:textAlignment w:val="center"/>
                    <w:rPr>
                      <w:szCs w:val="21"/>
                    </w:rPr>
                  </w:pPr>
                  <w:r>
                    <w:rPr>
                      <w:kern w:val="0"/>
                      <w:szCs w:val="21"/>
                    </w:rPr>
                    <w:t>坑塘水面、旱地</w:t>
                  </w:r>
                </w:p>
              </w:tc>
              <w:tc>
                <w:tcPr>
                  <w:tcW w:w="1149" w:type="dxa"/>
                  <w:tcBorders>
                    <w:tl2br w:val="nil"/>
                    <w:tr2bl w:val="nil"/>
                  </w:tcBorders>
                  <w:shd w:val="clear" w:color="auto" w:fill="auto"/>
                  <w:vAlign w:val="center"/>
                </w:tcPr>
                <w:p w14:paraId="44350FF1">
                  <w:pPr>
                    <w:widowControl/>
                    <w:jc w:val="center"/>
                    <w:textAlignment w:val="center"/>
                    <w:rPr>
                      <w:szCs w:val="21"/>
                    </w:rPr>
                  </w:pPr>
                  <w:r>
                    <w:rPr>
                      <w:kern w:val="0"/>
                      <w:szCs w:val="21"/>
                    </w:rPr>
                    <w:t>临时用地</w:t>
                  </w:r>
                </w:p>
              </w:tc>
            </w:tr>
            <w:tr w14:paraId="329294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62" w:type="dxa"/>
                  <w:tcBorders>
                    <w:tl2br w:val="nil"/>
                    <w:tr2bl w:val="nil"/>
                  </w:tcBorders>
                  <w:shd w:val="clear" w:color="auto" w:fill="auto"/>
                  <w:vAlign w:val="center"/>
                </w:tcPr>
                <w:p w14:paraId="3D831DC6">
                  <w:pPr>
                    <w:widowControl/>
                    <w:jc w:val="center"/>
                    <w:textAlignment w:val="center"/>
                    <w:rPr>
                      <w:szCs w:val="21"/>
                    </w:rPr>
                  </w:pPr>
                  <w:r>
                    <w:rPr>
                      <w:kern w:val="0"/>
                      <w:szCs w:val="21"/>
                    </w:rPr>
                    <w:t>9</w:t>
                  </w:r>
                </w:p>
              </w:tc>
              <w:tc>
                <w:tcPr>
                  <w:tcW w:w="2238" w:type="dxa"/>
                  <w:gridSpan w:val="2"/>
                  <w:tcBorders>
                    <w:tl2br w:val="nil"/>
                    <w:tr2bl w:val="nil"/>
                  </w:tcBorders>
                  <w:shd w:val="clear" w:color="auto" w:fill="auto"/>
                  <w:vAlign w:val="center"/>
                </w:tcPr>
                <w:p w14:paraId="14DCEFB0">
                  <w:pPr>
                    <w:widowControl/>
                    <w:jc w:val="center"/>
                    <w:textAlignment w:val="center"/>
                    <w:rPr>
                      <w:szCs w:val="21"/>
                    </w:rPr>
                  </w:pPr>
                  <w:r>
                    <w:rPr>
                      <w:kern w:val="0"/>
                      <w:szCs w:val="21"/>
                    </w:rPr>
                    <w:t>合计</w:t>
                  </w:r>
                </w:p>
              </w:tc>
              <w:tc>
                <w:tcPr>
                  <w:tcW w:w="1100" w:type="dxa"/>
                  <w:tcBorders>
                    <w:tl2br w:val="nil"/>
                    <w:tr2bl w:val="nil"/>
                  </w:tcBorders>
                  <w:shd w:val="clear" w:color="auto" w:fill="auto"/>
                  <w:vAlign w:val="center"/>
                </w:tcPr>
                <w:p w14:paraId="2FC1705A">
                  <w:pPr>
                    <w:widowControl/>
                    <w:jc w:val="center"/>
                    <w:textAlignment w:val="center"/>
                    <w:rPr>
                      <w:szCs w:val="21"/>
                    </w:rPr>
                  </w:pPr>
                  <w:r>
                    <w:rPr>
                      <w:kern w:val="0"/>
                      <w:szCs w:val="21"/>
                    </w:rPr>
                    <w:t>4.4918</w:t>
                  </w:r>
                </w:p>
              </w:tc>
              <w:tc>
                <w:tcPr>
                  <w:tcW w:w="1062" w:type="dxa"/>
                  <w:tcBorders>
                    <w:tl2br w:val="nil"/>
                    <w:tr2bl w:val="nil"/>
                  </w:tcBorders>
                  <w:shd w:val="clear" w:color="auto" w:fill="auto"/>
                  <w:vAlign w:val="center"/>
                </w:tcPr>
                <w:p w14:paraId="2F14493A">
                  <w:pPr>
                    <w:widowControl/>
                    <w:jc w:val="center"/>
                    <w:textAlignment w:val="center"/>
                    <w:rPr>
                      <w:szCs w:val="21"/>
                    </w:rPr>
                  </w:pPr>
                  <w:r>
                    <w:rPr>
                      <w:kern w:val="0"/>
                      <w:szCs w:val="21"/>
                    </w:rPr>
                    <w:t>60.722</w:t>
                  </w:r>
                </w:p>
              </w:tc>
              <w:tc>
                <w:tcPr>
                  <w:tcW w:w="1864" w:type="dxa"/>
                  <w:tcBorders>
                    <w:tl2br w:val="nil"/>
                    <w:tr2bl w:val="nil"/>
                  </w:tcBorders>
                  <w:shd w:val="clear" w:color="auto" w:fill="auto"/>
                  <w:vAlign w:val="center"/>
                </w:tcPr>
                <w:p w14:paraId="02FEEEF4">
                  <w:pPr>
                    <w:jc w:val="center"/>
                    <w:rPr>
                      <w:szCs w:val="21"/>
                    </w:rPr>
                  </w:pPr>
                </w:p>
              </w:tc>
              <w:tc>
                <w:tcPr>
                  <w:tcW w:w="1149" w:type="dxa"/>
                  <w:tcBorders>
                    <w:tl2br w:val="nil"/>
                    <w:tr2bl w:val="nil"/>
                  </w:tcBorders>
                  <w:shd w:val="clear" w:color="auto" w:fill="auto"/>
                  <w:noWrap/>
                  <w:vAlign w:val="center"/>
                </w:tcPr>
                <w:p w14:paraId="5617DCC5">
                  <w:pPr>
                    <w:rPr>
                      <w:szCs w:val="21"/>
                    </w:rPr>
                  </w:pPr>
                </w:p>
              </w:tc>
            </w:tr>
          </w:tbl>
          <w:p w14:paraId="0FF273D2">
            <w:pPr>
              <w:adjustRightInd w:val="0"/>
              <w:snapToGrid w:val="0"/>
              <w:spacing w:line="480" w:lineRule="exact"/>
              <w:rPr>
                <w:b/>
                <w:bCs/>
                <w:sz w:val="24"/>
              </w:rPr>
            </w:pPr>
            <w:r>
              <w:rPr>
                <w:b/>
                <w:bCs/>
                <w:sz w:val="24"/>
              </w:rPr>
              <w:t>5、生产设备</w:t>
            </w:r>
          </w:p>
          <w:p w14:paraId="37F80D57">
            <w:pPr>
              <w:adjustRightInd w:val="0"/>
              <w:snapToGrid w:val="0"/>
              <w:spacing w:line="480" w:lineRule="exact"/>
              <w:ind w:firstLine="480" w:firstLineChars="200"/>
              <w:rPr>
                <w:sz w:val="24"/>
              </w:rPr>
            </w:pPr>
            <w:r>
              <w:rPr>
                <w:sz w:val="24"/>
              </w:rPr>
              <w:t>本项目施工期主要生产设备见下表。</w:t>
            </w:r>
          </w:p>
          <w:p w14:paraId="61CFA616">
            <w:pPr>
              <w:pStyle w:val="7"/>
              <w:spacing w:before="0" w:beforeAutospacing="0" w:after="0" w:afterAutospacing="0" w:line="480" w:lineRule="exact"/>
              <w:jc w:val="center"/>
              <w:rPr>
                <w:rFonts w:ascii="Times New Roman" w:hAnsi="Times New Roman"/>
                <w:b/>
                <w:bCs/>
                <w:sz w:val="21"/>
                <w:szCs w:val="21"/>
              </w:rPr>
            </w:pPr>
          </w:p>
          <w:p w14:paraId="40D7125B">
            <w:pPr>
              <w:pStyle w:val="7"/>
              <w:spacing w:before="0" w:beforeAutospacing="0" w:after="0" w:afterAutospacing="0" w:line="480" w:lineRule="exact"/>
              <w:jc w:val="center"/>
              <w:rPr>
                <w:rFonts w:ascii="Times New Roman" w:hAnsi="Times New Roman"/>
              </w:rPr>
            </w:pPr>
            <w:r>
              <w:rPr>
                <w:rFonts w:ascii="Times New Roman" w:hAnsi="Times New Roman"/>
                <w:b/>
                <w:bCs/>
                <w:sz w:val="21"/>
                <w:szCs w:val="21"/>
              </w:rPr>
              <w:t>表2-</w:t>
            </w:r>
            <w:r>
              <w:rPr>
                <w:rFonts w:hint="eastAsia" w:ascii="Times New Roman" w:hAnsi="Times New Roman"/>
                <w:b/>
                <w:bCs/>
                <w:sz w:val="21"/>
                <w:szCs w:val="21"/>
              </w:rPr>
              <w:t xml:space="preserve">9   </w:t>
            </w:r>
            <w:r>
              <w:rPr>
                <w:rFonts w:ascii="Times New Roman" w:hAnsi="Times New Roman"/>
                <w:b/>
                <w:bCs/>
                <w:sz w:val="21"/>
                <w:szCs w:val="21"/>
              </w:rPr>
              <w:t xml:space="preserve">   施工期主要生产设备一览表</w:t>
            </w:r>
          </w:p>
          <w:tbl>
            <w:tblPr>
              <w:tblStyle w:val="32"/>
              <w:tblW w:w="45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2239"/>
              <w:gridCol w:w="1547"/>
              <w:gridCol w:w="1202"/>
              <w:gridCol w:w="1032"/>
              <w:gridCol w:w="1056"/>
            </w:tblGrid>
            <w:tr w14:paraId="05056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ign w:val="center"/>
                </w:tcPr>
                <w:p w14:paraId="2CF223CC">
                  <w:pPr>
                    <w:pStyle w:val="84"/>
                    <w:tabs>
                      <w:tab w:val="left" w:pos="0"/>
                    </w:tabs>
                    <w:rPr>
                      <w:szCs w:val="21"/>
                    </w:rPr>
                  </w:pPr>
                  <w:r>
                    <w:rPr>
                      <w:szCs w:val="21"/>
                    </w:rPr>
                    <w:t>序号</w:t>
                  </w:r>
                </w:p>
              </w:tc>
              <w:tc>
                <w:tcPr>
                  <w:tcW w:w="1410" w:type="pct"/>
                  <w:noWrap/>
                  <w:vAlign w:val="center"/>
                </w:tcPr>
                <w:p w14:paraId="6FEA8898">
                  <w:pPr>
                    <w:pStyle w:val="84"/>
                    <w:tabs>
                      <w:tab w:val="left" w:pos="0"/>
                    </w:tabs>
                    <w:rPr>
                      <w:szCs w:val="21"/>
                    </w:rPr>
                  </w:pPr>
                  <w:r>
                    <w:rPr>
                      <w:szCs w:val="21"/>
                    </w:rPr>
                    <w:t>机械名称</w:t>
                  </w:r>
                </w:p>
              </w:tc>
              <w:tc>
                <w:tcPr>
                  <w:tcW w:w="974" w:type="pct"/>
                  <w:noWrap/>
                  <w:vAlign w:val="center"/>
                </w:tcPr>
                <w:p w14:paraId="0875C503">
                  <w:pPr>
                    <w:pStyle w:val="84"/>
                    <w:tabs>
                      <w:tab w:val="left" w:pos="0"/>
                    </w:tabs>
                    <w:rPr>
                      <w:szCs w:val="21"/>
                    </w:rPr>
                  </w:pPr>
                  <w:r>
                    <w:rPr>
                      <w:szCs w:val="21"/>
                    </w:rPr>
                    <w:t>规格型号</w:t>
                  </w:r>
                </w:p>
              </w:tc>
              <w:tc>
                <w:tcPr>
                  <w:tcW w:w="757" w:type="pct"/>
                  <w:noWrap/>
                  <w:vAlign w:val="center"/>
                </w:tcPr>
                <w:p w14:paraId="5A80D59B">
                  <w:pPr>
                    <w:pStyle w:val="84"/>
                    <w:tabs>
                      <w:tab w:val="left" w:pos="0"/>
                    </w:tabs>
                    <w:rPr>
                      <w:szCs w:val="21"/>
                    </w:rPr>
                  </w:pPr>
                  <w:r>
                    <w:rPr>
                      <w:szCs w:val="21"/>
                    </w:rPr>
                    <w:t>单位</w:t>
                  </w:r>
                </w:p>
              </w:tc>
              <w:tc>
                <w:tcPr>
                  <w:tcW w:w="650" w:type="pct"/>
                  <w:noWrap/>
                  <w:vAlign w:val="center"/>
                </w:tcPr>
                <w:p w14:paraId="664A3A9E">
                  <w:pPr>
                    <w:pStyle w:val="84"/>
                    <w:tabs>
                      <w:tab w:val="left" w:pos="0"/>
                    </w:tabs>
                    <w:rPr>
                      <w:szCs w:val="21"/>
                    </w:rPr>
                  </w:pPr>
                  <w:r>
                    <w:rPr>
                      <w:szCs w:val="21"/>
                    </w:rPr>
                    <w:t>数量</w:t>
                  </w:r>
                </w:p>
              </w:tc>
              <w:tc>
                <w:tcPr>
                  <w:tcW w:w="665" w:type="pct"/>
                  <w:noWrap/>
                  <w:vAlign w:val="center"/>
                </w:tcPr>
                <w:p w14:paraId="21E34DA1">
                  <w:pPr>
                    <w:pStyle w:val="84"/>
                    <w:tabs>
                      <w:tab w:val="left" w:pos="0"/>
                    </w:tabs>
                    <w:rPr>
                      <w:szCs w:val="21"/>
                    </w:rPr>
                  </w:pPr>
                  <w:r>
                    <w:rPr>
                      <w:szCs w:val="21"/>
                    </w:rPr>
                    <w:t>备注</w:t>
                  </w:r>
                </w:p>
              </w:tc>
            </w:tr>
            <w:tr w14:paraId="0C80F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B3CABD6">
                  <w:pPr>
                    <w:pStyle w:val="84"/>
                    <w:tabs>
                      <w:tab w:val="left" w:pos="0"/>
                    </w:tabs>
                    <w:rPr>
                      <w:szCs w:val="21"/>
                    </w:rPr>
                  </w:pPr>
                  <w:r>
                    <w:rPr>
                      <w:szCs w:val="21"/>
                    </w:rPr>
                    <w:t>1</w:t>
                  </w:r>
                </w:p>
              </w:tc>
              <w:tc>
                <w:tcPr>
                  <w:tcW w:w="1410" w:type="pct"/>
                  <w:noWrap/>
                  <w:vAlign w:val="center"/>
                </w:tcPr>
                <w:p w14:paraId="4226A861">
                  <w:pPr>
                    <w:pStyle w:val="84"/>
                    <w:tabs>
                      <w:tab w:val="left" w:pos="0"/>
                    </w:tabs>
                    <w:rPr>
                      <w:szCs w:val="21"/>
                    </w:rPr>
                  </w:pPr>
                  <w:r>
                    <w:rPr>
                      <w:szCs w:val="21"/>
                    </w:rPr>
                    <w:t>履带式挖掘机</w:t>
                  </w:r>
                </w:p>
              </w:tc>
              <w:tc>
                <w:tcPr>
                  <w:tcW w:w="974" w:type="pct"/>
                  <w:noWrap/>
                  <w:vAlign w:val="center"/>
                </w:tcPr>
                <w:p w14:paraId="79768584">
                  <w:pPr>
                    <w:pStyle w:val="84"/>
                    <w:tabs>
                      <w:tab w:val="left" w:pos="0"/>
                    </w:tabs>
                    <w:rPr>
                      <w:szCs w:val="21"/>
                    </w:rPr>
                  </w:pPr>
                  <w:r>
                    <w:rPr>
                      <w:szCs w:val="21"/>
                    </w:rPr>
                    <w:t>1 m³</w:t>
                  </w:r>
                </w:p>
              </w:tc>
              <w:tc>
                <w:tcPr>
                  <w:tcW w:w="757" w:type="pct"/>
                  <w:noWrap/>
                  <w:vAlign w:val="center"/>
                </w:tcPr>
                <w:p w14:paraId="685F3488">
                  <w:pPr>
                    <w:pStyle w:val="84"/>
                    <w:tabs>
                      <w:tab w:val="left" w:pos="0"/>
                    </w:tabs>
                    <w:rPr>
                      <w:szCs w:val="21"/>
                    </w:rPr>
                  </w:pPr>
                  <w:r>
                    <w:rPr>
                      <w:szCs w:val="21"/>
                    </w:rPr>
                    <w:t>台</w:t>
                  </w:r>
                </w:p>
              </w:tc>
              <w:tc>
                <w:tcPr>
                  <w:tcW w:w="650" w:type="pct"/>
                  <w:noWrap/>
                  <w:vAlign w:val="center"/>
                </w:tcPr>
                <w:p w14:paraId="0CB77108">
                  <w:pPr>
                    <w:pStyle w:val="84"/>
                    <w:tabs>
                      <w:tab w:val="left" w:pos="0"/>
                    </w:tabs>
                    <w:rPr>
                      <w:szCs w:val="21"/>
                    </w:rPr>
                  </w:pPr>
                  <w:r>
                    <w:rPr>
                      <w:szCs w:val="21"/>
                    </w:rPr>
                    <w:t>10</w:t>
                  </w:r>
                </w:p>
              </w:tc>
              <w:tc>
                <w:tcPr>
                  <w:tcW w:w="665" w:type="pct"/>
                  <w:noWrap/>
                  <w:vAlign w:val="center"/>
                </w:tcPr>
                <w:p w14:paraId="24ED023A">
                  <w:pPr>
                    <w:pStyle w:val="84"/>
                    <w:tabs>
                      <w:tab w:val="left" w:pos="0"/>
                    </w:tabs>
                    <w:rPr>
                      <w:szCs w:val="21"/>
                    </w:rPr>
                  </w:pPr>
                </w:p>
              </w:tc>
            </w:tr>
            <w:tr w14:paraId="48D18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09C5B2D">
                  <w:pPr>
                    <w:pStyle w:val="84"/>
                    <w:tabs>
                      <w:tab w:val="left" w:pos="0"/>
                    </w:tabs>
                    <w:rPr>
                      <w:szCs w:val="21"/>
                    </w:rPr>
                  </w:pPr>
                  <w:r>
                    <w:rPr>
                      <w:szCs w:val="21"/>
                    </w:rPr>
                    <w:t>2</w:t>
                  </w:r>
                </w:p>
              </w:tc>
              <w:tc>
                <w:tcPr>
                  <w:tcW w:w="1410" w:type="pct"/>
                  <w:noWrap/>
                  <w:vAlign w:val="center"/>
                </w:tcPr>
                <w:p w14:paraId="27F48E28">
                  <w:pPr>
                    <w:pStyle w:val="84"/>
                    <w:tabs>
                      <w:tab w:val="left" w:pos="0"/>
                    </w:tabs>
                    <w:rPr>
                      <w:szCs w:val="21"/>
                    </w:rPr>
                  </w:pPr>
                  <w:r>
                    <w:rPr>
                      <w:szCs w:val="21"/>
                    </w:rPr>
                    <w:t>装载机</w:t>
                  </w:r>
                </w:p>
              </w:tc>
              <w:tc>
                <w:tcPr>
                  <w:tcW w:w="974" w:type="pct"/>
                  <w:noWrap/>
                  <w:vAlign w:val="center"/>
                </w:tcPr>
                <w:p w14:paraId="29E80891">
                  <w:pPr>
                    <w:pStyle w:val="84"/>
                    <w:tabs>
                      <w:tab w:val="left" w:pos="0"/>
                    </w:tabs>
                    <w:rPr>
                      <w:szCs w:val="21"/>
                    </w:rPr>
                  </w:pPr>
                  <w:r>
                    <w:rPr>
                      <w:szCs w:val="21"/>
                    </w:rPr>
                    <w:t>2 m³</w:t>
                  </w:r>
                </w:p>
              </w:tc>
              <w:tc>
                <w:tcPr>
                  <w:tcW w:w="757" w:type="pct"/>
                  <w:noWrap/>
                  <w:vAlign w:val="center"/>
                </w:tcPr>
                <w:p w14:paraId="7D1BD26B">
                  <w:pPr>
                    <w:pStyle w:val="84"/>
                    <w:tabs>
                      <w:tab w:val="left" w:pos="0"/>
                    </w:tabs>
                    <w:rPr>
                      <w:szCs w:val="21"/>
                    </w:rPr>
                  </w:pPr>
                  <w:r>
                    <w:rPr>
                      <w:szCs w:val="21"/>
                    </w:rPr>
                    <w:t>台</w:t>
                  </w:r>
                </w:p>
              </w:tc>
              <w:tc>
                <w:tcPr>
                  <w:tcW w:w="650" w:type="pct"/>
                  <w:noWrap/>
                  <w:vAlign w:val="center"/>
                </w:tcPr>
                <w:p w14:paraId="712AA6F2">
                  <w:pPr>
                    <w:pStyle w:val="84"/>
                    <w:tabs>
                      <w:tab w:val="left" w:pos="0"/>
                    </w:tabs>
                    <w:rPr>
                      <w:szCs w:val="21"/>
                    </w:rPr>
                  </w:pPr>
                  <w:r>
                    <w:rPr>
                      <w:szCs w:val="21"/>
                    </w:rPr>
                    <w:t>10</w:t>
                  </w:r>
                </w:p>
              </w:tc>
              <w:tc>
                <w:tcPr>
                  <w:tcW w:w="665" w:type="pct"/>
                  <w:noWrap/>
                  <w:vAlign w:val="center"/>
                </w:tcPr>
                <w:p w14:paraId="4BF5FC5D">
                  <w:pPr>
                    <w:pStyle w:val="84"/>
                    <w:tabs>
                      <w:tab w:val="left" w:pos="0"/>
                    </w:tabs>
                    <w:rPr>
                      <w:szCs w:val="21"/>
                    </w:rPr>
                  </w:pPr>
                </w:p>
              </w:tc>
            </w:tr>
            <w:tr w14:paraId="34021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5FE67B5A">
                  <w:pPr>
                    <w:pStyle w:val="84"/>
                    <w:tabs>
                      <w:tab w:val="left" w:pos="0"/>
                    </w:tabs>
                    <w:rPr>
                      <w:szCs w:val="21"/>
                    </w:rPr>
                  </w:pPr>
                  <w:r>
                    <w:rPr>
                      <w:szCs w:val="21"/>
                    </w:rPr>
                    <w:t>3</w:t>
                  </w:r>
                </w:p>
              </w:tc>
              <w:tc>
                <w:tcPr>
                  <w:tcW w:w="1410" w:type="pct"/>
                  <w:noWrap/>
                  <w:vAlign w:val="center"/>
                </w:tcPr>
                <w:p w14:paraId="783DF5E6">
                  <w:pPr>
                    <w:pStyle w:val="84"/>
                    <w:tabs>
                      <w:tab w:val="left" w:pos="0"/>
                    </w:tabs>
                    <w:rPr>
                      <w:szCs w:val="21"/>
                    </w:rPr>
                  </w:pPr>
                  <w:r>
                    <w:rPr>
                      <w:szCs w:val="21"/>
                    </w:rPr>
                    <w:t>推土机</w:t>
                  </w:r>
                </w:p>
              </w:tc>
              <w:tc>
                <w:tcPr>
                  <w:tcW w:w="974" w:type="pct"/>
                  <w:noWrap/>
                  <w:vAlign w:val="center"/>
                </w:tcPr>
                <w:p w14:paraId="63FA9F49">
                  <w:pPr>
                    <w:pStyle w:val="84"/>
                    <w:tabs>
                      <w:tab w:val="left" w:pos="0"/>
                    </w:tabs>
                    <w:rPr>
                      <w:szCs w:val="21"/>
                    </w:rPr>
                  </w:pPr>
                  <w:r>
                    <w:rPr>
                      <w:szCs w:val="21"/>
                    </w:rPr>
                    <w:t>132kW</w:t>
                  </w:r>
                </w:p>
              </w:tc>
              <w:tc>
                <w:tcPr>
                  <w:tcW w:w="757" w:type="pct"/>
                  <w:noWrap/>
                  <w:vAlign w:val="center"/>
                </w:tcPr>
                <w:p w14:paraId="22661B5D">
                  <w:pPr>
                    <w:pStyle w:val="84"/>
                    <w:tabs>
                      <w:tab w:val="left" w:pos="0"/>
                    </w:tabs>
                    <w:rPr>
                      <w:szCs w:val="21"/>
                    </w:rPr>
                  </w:pPr>
                  <w:r>
                    <w:rPr>
                      <w:szCs w:val="21"/>
                    </w:rPr>
                    <w:t>台</w:t>
                  </w:r>
                </w:p>
              </w:tc>
              <w:tc>
                <w:tcPr>
                  <w:tcW w:w="650" w:type="pct"/>
                  <w:noWrap/>
                  <w:vAlign w:val="center"/>
                </w:tcPr>
                <w:p w14:paraId="41FE6EBD">
                  <w:pPr>
                    <w:pStyle w:val="84"/>
                    <w:tabs>
                      <w:tab w:val="left" w:pos="0"/>
                    </w:tabs>
                    <w:rPr>
                      <w:szCs w:val="21"/>
                    </w:rPr>
                  </w:pPr>
                  <w:r>
                    <w:rPr>
                      <w:szCs w:val="21"/>
                    </w:rPr>
                    <w:t>8</w:t>
                  </w:r>
                </w:p>
              </w:tc>
              <w:tc>
                <w:tcPr>
                  <w:tcW w:w="665" w:type="pct"/>
                  <w:noWrap/>
                  <w:vAlign w:val="center"/>
                </w:tcPr>
                <w:p w14:paraId="74BF3812">
                  <w:pPr>
                    <w:pStyle w:val="84"/>
                    <w:tabs>
                      <w:tab w:val="left" w:pos="0"/>
                    </w:tabs>
                    <w:rPr>
                      <w:szCs w:val="21"/>
                    </w:rPr>
                  </w:pPr>
                </w:p>
              </w:tc>
            </w:tr>
            <w:tr w14:paraId="4BC74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6CCAEFE">
                  <w:pPr>
                    <w:pStyle w:val="84"/>
                    <w:tabs>
                      <w:tab w:val="left" w:pos="0"/>
                    </w:tabs>
                    <w:rPr>
                      <w:szCs w:val="21"/>
                    </w:rPr>
                  </w:pPr>
                  <w:r>
                    <w:rPr>
                      <w:szCs w:val="21"/>
                    </w:rPr>
                    <w:t>4</w:t>
                  </w:r>
                </w:p>
              </w:tc>
              <w:tc>
                <w:tcPr>
                  <w:tcW w:w="1410" w:type="pct"/>
                  <w:noWrap/>
                  <w:vAlign w:val="center"/>
                </w:tcPr>
                <w:p w14:paraId="6BBFEFD6">
                  <w:pPr>
                    <w:pStyle w:val="84"/>
                    <w:tabs>
                      <w:tab w:val="left" w:pos="0"/>
                    </w:tabs>
                    <w:rPr>
                      <w:szCs w:val="21"/>
                    </w:rPr>
                  </w:pPr>
                  <w:r>
                    <w:rPr>
                      <w:szCs w:val="21"/>
                    </w:rPr>
                    <w:t>自卸汽车</w:t>
                  </w:r>
                </w:p>
              </w:tc>
              <w:tc>
                <w:tcPr>
                  <w:tcW w:w="974" w:type="pct"/>
                  <w:noWrap/>
                  <w:vAlign w:val="center"/>
                </w:tcPr>
                <w:p w14:paraId="303556C0">
                  <w:pPr>
                    <w:pStyle w:val="84"/>
                    <w:tabs>
                      <w:tab w:val="left" w:pos="0"/>
                    </w:tabs>
                    <w:rPr>
                      <w:szCs w:val="21"/>
                    </w:rPr>
                  </w:pPr>
                  <w:r>
                    <w:rPr>
                      <w:szCs w:val="21"/>
                    </w:rPr>
                    <w:t>10t</w:t>
                  </w:r>
                </w:p>
              </w:tc>
              <w:tc>
                <w:tcPr>
                  <w:tcW w:w="757" w:type="pct"/>
                  <w:noWrap/>
                  <w:vAlign w:val="center"/>
                </w:tcPr>
                <w:p w14:paraId="663B707D">
                  <w:pPr>
                    <w:pStyle w:val="84"/>
                    <w:tabs>
                      <w:tab w:val="left" w:pos="0"/>
                    </w:tabs>
                    <w:rPr>
                      <w:szCs w:val="21"/>
                    </w:rPr>
                  </w:pPr>
                  <w:r>
                    <w:rPr>
                      <w:szCs w:val="21"/>
                    </w:rPr>
                    <w:t>台</w:t>
                  </w:r>
                </w:p>
              </w:tc>
              <w:tc>
                <w:tcPr>
                  <w:tcW w:w="650" w:type="pct"/>
                  <w:noWrap/>
                  <w:vAlign w:val="center"/>
                </w:tcPr>
                <w:p w14:paraId="3011D6C1">
                  <w:pPr>
                    <w:pStyle w:val="84"/>
                    <w:tabs>
                      <w:tab w:val="left" w:pos="0"/>
                    </w:tabs>
                    <w:rPr>
                      <w:szCs w:val="21"/>
                    </w:rPr>
                  </w:pPr>
                  <w:r>
                    <w:rPr>
                      <w:szCs w:val="21"/>
                    </w:rPr>
                    <w:t>15</w:t>
                  </w:r>
                </w:p>
              </w:tc>
              <w:tc>
                <w:tcPr>
                  <w:tcW w:w="665" w:type="pct"/>
                  <w:noWrap/>
                  <w:vAlign w:val="center"/>
                </w:tcPr>
                <w:p w14:paraId="5DB566F2">
                  <w:pPr>
                    <w:pStyle w:val="84"/>
                    <w:tabs>
                      <w:tab w:val="left" w:pos="0"/>
                    </w:tabs>
                    <w:rPr>
                      <w:szCs w:val="21"/>
                    </w:rPr>
                  </w:pPr>
                </w:p>
              </w:tc>
            </w:tr>
            <w:tr w14:paraId="0EF77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8EB0870">
                  <w:pPr>
                    <w:pStyle w:val="84"/>
                    <w:tabs>
                      <w:tab w:val="left" w:pos="0"/>
                    </w:tabs>
                    <w:rPr>
                      <w:szCs w:val="21"/>
                    </w:rPr>
                  </w:pPr>
                  <w:r>
                    <w:rPr>
                      <w:szCs w:val="21"/>
                    </w:rPr>
                    <w:t>5</w:t>
                  </w:r>
                </w:p>
              </w:tc>
              <w:tc>
                <w:tcPr>
                  <w:tcW w:w="1410" w:type="pct"/>
                  <w:noWrap/>
                  <w:vAlign w:val="center"/>
                </w:tcPr>
                <w:p w14:paraId="02244092">
                  <w:pPr>
                    <w:pStyle w:val="84"/>
                    <w:tabs>
                      <w:tab w:val="left" w:pos="0"/>
                    </w:tabs>
                    <w:rPr>
                      <w:szCs w:val="21"/>
                    </w:rPr>
                  </w:pPr>
                  <w:r>
                    <w:rPr>
                      <w:szCs w:val="21"/>
                    </w:rPr>
                    <w:t>手扶式振动碾压机</w:t>
                  </w:r>
                </w:p>
              </w:tc>
              <w:tc>
                <w:tcPr>
                  <w:tcW w:w="974" w:type="pct"/>
                  <w:noWrap/>
                  <w:vAlign w:val="center"/>
                </w:tcPr>
                <w:p w14:paraId="7888E569">
                  <w:pPr>
                    <w:pStyle w:val="84"/>
                    <w:tabs>
                      <w:tab w:val="left" w:pos="0"/>
                    </w:tabs>
                    <w:rPr>
                      <w:szCs w:val="21"/>
                    </w:rPr>
                  </w:pPr>
                </w:p>
              </w:tc>
              <w:tc>
                <w:tcPr>
                  <w:tcW w:w="757" w:type="pct"/>
                  <w:noWrap/>
                  <w:vAlign w:val="center"/>
                </w:tcPr>
                <w:p w14:paraId="5AD61E51">
                  <w:pPr>
                    <w:pStyle w:val="84"/>
                    <w:tabs>
                      <w:tab w:val="left" w:pos="0"/>
                    </w:tabs>
                    <w:rPr>
                      <w:szCs w:val="21"/>
                    </w:rPr>
                  </w:pPr>
                  <w:r>
                    <w:rPr>
                      <w:szCs w:val="21"/>
                    </w:rPr>
                    <w:t>台</w:t>
                  </w:r>
                </w:p>
              </w:tc>
              <w:tc>
                <w:tcPr>
                  <w:tcW w:w="650" w:type="pct"/>
                  <w:noWrap/>
                  <w:vAlign w:val="center"/>
                </w:tcPr>
                <w:p w14:paraId="62B7A934">
                  <w:pPr>
                    <w:pStyle w:val="84"/>
                    <w:tabs>
                      <w:tab w:val="left" w:pos="0"/>
                    </w:tabs>
                    <w:rPr>
                      <w:szCs w:val="21"/>
                    </w:rPr>
                  </w:pPr>
                  <w:r>
                    <w:rPr>
                      <w:szCs w:val="21"/>
                    </w:rPr>
                    <w:t>10</w:t>
                  </w:r>
                </w:p>
              </w:tc>
              <w:tc>
                <w:tcPr>
                  <w:tcW w:w="665" w:type="pct"/>
                  <w:noWrap/>
                  <w:vAlign w:val="center"/>
                </w:tcPr>
                <w:p w14:paraId="7A14A4E2">
                  <w:pPr>
                    <w:pStyle w:val="84"/>
                    <w:tabs>
                      <w:tab w:val="left" w:pos="0"/>
                    </w:tabs>
                    <w:rPr>
                      <w:szCs w:val="21"/>
                    </w:rPr>
                  </w:pPr>
                </w:p>
              </w:tc>
            </w:tr>
            <w:tr w14:paraId="087CE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B3EFF7E">
                  <w:pPr>
                    <w:pStyle w:val="84"/>
                    <w:tabs>
                      <w:tab w:val="left" w:pos="0"/>
                    </w:tabs>
                    <w:rPr>
                      <w:szCs w:val="21"/>
                    </w:rPr>
                  </w:pPr>
                  <w:r>
                    <w:rPr>
                      <w:szCs w:val="21"/>
                    </w:rPr>
                    <w:t>6</w:t>
                  </w:r>
                </w:p>
              </w:tc>
              <w:tc>
                <w:tcPr>
                  <w:tcW w:w="1410" w:type="pct"/>
                  <w:noWrap/>
                  <w:vAlign w:val="center"/>
                </w:tcPr>
                <w:p w14:paraId="3E6953B6">
                  <w:pPr>
                    <w:pStyle w:val="84"/>
                    <w:tabs>
                      <w:tab w:val="left" w:pos="0"/>
                    </w:tabs>
                    <w:rPr>
                      <w:szCs w:val="21"/>
                    </w:rPr>
                  </w:pPr>
                  <w:r>
                    <w:rPr>
                      <w:szCs w:val="21"/>
                    </w:rPr>
                    <w:t>吊罐</w:t>
                  </w:r>
                </w:p>
              </w:tc>
              <w:tc>
                <w:tcPr>
                  <w:tcW w:w="974" w:type="pct"/>
                  <w:noWrap/>
                  <w:vAlign w:val="center"/>
                </w:tcPr>
                <w:p w14:paraId="2B8BA30A">
                  <w:pPr>
                    <w:pStyle w:val="84"/>
                    <w:tabs>
                      <w:tab w:val="left" w:pos="0"/>
                    </w:tabs>
                    <w:rPr>
                      <w:szCs w:val="21"/>
                    </w:rPr>
                  </w:pPr>
                  <w:r>
                    <w:rPr>
                      <w:szCs w:val="21"/>
                    </w:rPr>
                    <w:t>6 m³</w:t>
                  </w:r>
                </w:p>
              </w:tc>
              <w:tc>
                <w:tcPr>
                  <w:tcW w:w="757" w:type="pct"/>
                  <w:noWrap/>
                  <w:vAlign w:val="center"/>
                </w:tcPr>
                <w:p w14:paraId="6149E34C">
                  <w:pPr>
                    <w:pStyle w:val="84"/>
                    <w:tabs>
                      <w:tab w:val="left" w:pos="0"/>
                    </w:tabs>
                    <w:rPr>
                      <w:szCs w:val="21"/>
                    </w:rPr>
                  </w:pPr>
                  <w:r>
                    <w:rPr>
                      <w:szCs w:val="21"/>
                    </w:rPr>
                    <w:t>个</w:t>
                  </w:r>
                </w:p>
              </w:tc>
              <w:tc>
                <w:tcPr>
                  <w:tcW w:w="650" w:type="pct"/>
                  <w:noWrap/>
                  <w:vAlign w:val="center"/>
                </w:tcPr>
                <w:p w14:paraId="094D77D9">
                  <w:pPr>
                    <w:pStyle w:val="84"/>
                    <w:tabs>
                      <w:tab w:val="left" w:pos="0"/>
                    </w:tabs>
                    <w:rPr>
                      <w:szCs w:val="21"/>
                    </w:rPr>
                  </w:pPr>
                  <w:r>
                    <w:rPr>
                      <w:szCs w:val="21"/>
                    </w:rPr>
                    <w:t>10</w:t>
                  </w:r>
                </w:p>
              </w:tc>
              <w:tc>
                <w:tcPr>
                  <w:tcW w:w="665" w:type="pct"/>
                  <w:noWrap/>
                  <w:vAlign w:val="center"/>
                </w:tcPr>
                <w:p w14:paraId="247EE8FD">
                  <w:pPr>
                    <w:pStyle w:val="84"/>
                    <w:tabs>
                      <w:tab w:val="left" w:pos="0"/>
                    </w:tabs>
                    <w:rPr>
                      <w:szCs w:val="21"/>
                    </w:rPr>
                  </w:pPr>
                </w:p>
              </w:tc>
            </w:tr>
            <w:tr w14:paraId="4F406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044137D">
                  <w:pPr>
                    <w:pStyle w:val="84"/>
                    <w:tabs>
                      <w:tab w:val="left" w:pos="0"/>
                    </w:tabs>
                    <w:rPr>
                      <w:szCs w:val="21"/>
                    </w:rPr>
                  </w:pPr>
                  <w:r>
                    <w:rPr>
                      <w:szCs w:val="21"/>
                    </w:rPr>
                    <w:t>7</w:t>
                  </w:r>
                </w:p>
              </w:tc>
              <w:tc>
                <w:tcPr>
                  <w:tcW w:w="1410" w:type="pct"/>
                  <w:noWrap/>
                  <w:vAlign w:val="center"/>
                </w:tcPr>
                <w:p w14:paraId="609BB488">
                  <w:pPr>
                    <w:pStyle w:val="84"/>
                    <w:tabs>
                      <w:tab w:val="left" w:pos="0"/>
                    </w:tabs>
                    <w:rPr>
                      <w:szCs w:val="21"/>
                    </w:rPr>
                  </w:pPr>
                  <w:r>
                    <w:rPr>
                      <w:szCs w:val="21"/>
                    </w:rPr>
                    <w:t>光轮压路机</w:t>
                  </w:r>
                </w:p>
              </w:tc>
              <w:tc>
                <w:tcPr>
                  <w:tcW w:w="974" w:type="pct"/>
                  <w:noWrap/>
                  <w:vAlign w:val="center"/>
                </w:tcPr>
                <w:p w14:paraId="52F86D5D">
                  <w:pPr>
                    <w:pStyle w:val="84"/>
                    <w:tabs>
                      <w:tab w:val="left" w:pos="0"/>
                    </w:tabs>
                    <w:rPr>
                      <w:szCs w:val="21"/>
                    </w:rPr>
                  </w:pPr>
                  <w:r>
                    <w:rPr>
                      <w:szCs w:val="21"/>
                    </w:rPr>
                    <w:t>25t  YZ25</w:t>
                  </w:r>
                </w:p>
              </w:tc>
              <w:tc>
                <w:tcPr>
                  <w:tcW w:w="757" w:type="pct"/>
                  <w:noWrap/>
                  <w:vAlign w:val="center"/>
                </w:tcPr>
                <w:p w14:paraId="1DD71DBB">
                  <w:pPr>
                    <w:pStyle w:val="84"/>
                    <w:tabs>
                      <w:tab w:val="left" w:pos="0"/>
                    </w:tabs>
                    <w:rPr>
                      <w:szCs w:val="21"/>
                    </w:rPr>
                  </w:pPr>
                  <w:r>
                    <w:rPr>
                      <w:szCs w:val="21"/>
                    </w:rPr>
                    <w:t>台</w:t>
                  </w:r>
                </w:p>
              </w:tc>
              <w:tc>
                <w:tcPr>
                  <w:tcW w:w="650" w:type="pct"/>
                  <w:noWrap/>
                  <w:vAlign w:val="center"/>
                </w:tcPr>
                <w:p w14:paraId="3A6CCE91">
                  <w:pPr>
                    <w:pStyle w:val="84"/>
                    <w:tabs>
                      <w:tab w:val="left" w:pos="0"/>
                    </w:tabs>
                    <w:rPr>
                      <w:szCs w:val="21"/>
                    </w:rPr>
                  </w:pPr>
                  <w:r>
                    <w:rPr>
                      <w:szCs w:val="21"/>
                    </w:rPr>
                    <w:t>8</w:t>
                  </w:r>
                </w:p>
              </w:tc>
              <w:tc>
                <w:tcPr>
                  <w:tcW w:w="665" w:type="pct"/>
                  <w:noWrap/>
                  <w:vAlign w:val="center"/>
                </w:tcPr>
                <w:p w14:paraId="57E77C59">
                  <w:pPr>
                    <w:pStyle w:val="84"/>
                    <w:tabs>
                      <w:tab w:val="left" w:pos="0"/>
                    </w:tabs>
                    <w:rPr>
                      <w:szCs w:val="21"/>
                    </w:rPr>
                  </w:pPr>
                </w:p>
              </w:tc>
            </w:tr>
            <w:tr w14:paraId="22525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144D81B4">
                  <w:pPr>
                    <w:pStyle w:val="84"/>
                    <w:tabs>
                      <w:tab w:val="left" w:pos="0"/>
                    </w:tabs>
                    <w:rPr>
                      <w:szCs w:val="21"/>
                    </w:rPr>
                  </w:pPr>
                  <w:r>
                    <w:rPr>
                      <w:szCs w:val="21"/>
                    </w:rPr>
                    <w:t>8</w:t>
                  </w:r>
                </w:p>
              </w:tc>
              <w:tc>
                <w:tcPr>
                  <w:tcW w:w="1410" w:type="pct"/>
                  <w:noWrap/>
                  <w:vAlign w:val="center"/>
                </w:tcPr>
                <w:p w14:paraId="43137E4D">
                  <w:pPr>
                    <w:pStyle w:val="84"/>
                    <w:tabs>
                      <w:tab w:val="left" w:pos="0"/>
                    </w:tabs>
                    <w:rPr>
                      <w:szCs w:val="21"/>
                    </w:rPr>
                  </w:pPr>
                  <w:r>
                    <w:rPr>
                      <w:szCs w:val="21"/>
                    </w:rPr>
                    <w:t>混凝土输送泵</w:t>
                  </w:r>
                </w:p>
              </w:tc>
              <w:tc>
                <w:tcPr>
                  <w:tcW w:w="974" w:type="pct"/>
                  <w:noWrap/>
                  <w:vAlign w:val="center"/>
                </w:tcPr>
                <w:p w14:paraId="74651D54">
                  <w:pPr>
                    <w:pStyle w:val="84"/>
                    <w:tabs>
                      <w:tab w:val="left" w:pos="0"/>
                    </w:tabs>
                    <w:rPr>
                      <w:szCs w:val="21"/>
                    </w:rPr>
                  </w:pPr>
                  <w:r>
                    <w:rPr>
                      <w:szCs w:val="21"/>
                    </w:rPr>
                    <w:t>70 m³/h</w:t>
                  </w:r>
                </w:p>
              </w:tc>
              <w:tc>
                <w:tcPr>
                  <w:tcW w:w="757" w:type="pct"/>
                  <w:noWrap/>
                  <w:vAlign w:val="center"/>
                </w:tcPr>
                <w:p w14:paraId="3D33BB80">
                  <w:pPr>
                    <w:pStyle w:val="84"/>
                    <w:tabs>
                      <w:tab w:val="left" w:pos="0"/>
                    </w:tabs>
                    <w:rPr>
                      <w:szCs w:val="21"/>
                    </w:rPr>
                  </w:pPr>
                  <w:r>
                    <w:rPr>
                      <w:szCs w:val="21"/>
                    </w:rPr>
                    <w:t>项</w:t>
                  </w:r>
                </w:p>
              </w:tc>
              <w:tc>
                <w:tcPr>
                  <w:tcW w:w="650" w:type="pct"/>
                  <w:noWrap/>
                  <w:vAlign w:val="center"/>
                </w:tcPr>
                <w:p w14:paraId="30152F43">
                  <w:pPr>
                    <w:pStyle w:val="84"/>
                    <w:tabs>
                      <w:tab w:val="left" w:pos="0"/>
                    </w:tabs>
                    <w:rPr>
                      <w:szCs w:val="21"/>
                    </w:rPr>
                  </w:pPr>
                  <w:r>
                    <w:rPr>
                      <w:szCs w:val="21"/>
                    </w:rPr>
                    <w:t>2</w:t>
                  </w:r>
                </w:p>
              </w:tc>
              <w:tc>
                <w:tcPr>
                  <w:tcW w:w="665" w:type="pct"/>
                  <w:noWrap/>
                  <w:vAlign w:val="center"/>
                </w:tcPr>
                <w:p w14:paraId="4666F85F">
                  <w:pPr>
                    <w:pStyle w:val="84"/>
                    <w:tabs>
                      <w:tab w:val="left" w:pos="0"/>
                    </w:tabs>
                    <w:rPr>
                      <w:szCs w:val="21"/>
                    </w:rPr>
                  </w:pPr>
                  <w:r>
                    <w:rPr>
                      <w:szCs w:val="21"/>
                    </w:rPr>
                    <w:t>采用商混</w:t>
                  </w:r>
                </w:p>
              </w:tc>
            </w:tr>
            <w:tr w14:paraId="5291B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6D42D4F">
                  <w:pPr>
                    <w:pStyle w:val="84"/>
                    <w:tabs>
                      <w:tab w:val="left" w:pos="0"/>
                    </w:tabs>
                    <w:rPr>
                      <w:szCs w:val="21"/>
                    </w:rPr>
                  </w:pPr>
                  <w:r>
                    <w:rPr>
                      <w:szCs w:val="21"/>
                    </w:rPr>
                    <w:t>9</w:t>
                  </w:r>
                </w:p>
              </w:tc>
              <w:tc>
                <w:tcPr>
                  <w:tcW w:w="1410" w:type="pct"/>
                  <w:noWrap/>
                  <w:vAlign w:val="center"/>
                </w:tcPr>
                <w:p w14:paraId="4EB3B672">
                  <w:pPr>
                    <w:pStyle w:val="84"/>
                    <w:tabs>
                      <w:tab w:val="left" w:pos="0"/>
                    </w:tabs>
                    <w:rPr>
                      <w:szCs w:val="21"/>
                    </w:rPr>
                  </w:pPr>
                  <w:r>
                    <w:rPr>
                      <w:szCs w:val="21"/>
                    </w:rPr>
                    <w:t>插入式振捣器</w:t>
                  </w:r>
                </w:p>
              </w:tc>
              <w:tc>
                <w:tcPr>
                  <w:tcW w:w="974" w:type="pct"/>
                  <w:noWrap/>
                  <w:vAlign w:val="center"/>
                </w:tcPr>
                <w:p w14:paraId="333E1287">
                  <w:pPr>
                    <w:pStyle w:val="84"/>
                    <w:tabs>
                      <w:tab w:val="left" w:pos="0"/>
                    </w:tabs>
                    <w:rPr>
                      <w:szCs w:val="21"/>
                    </w:rPr>
                  </w:pPr>
                  <w:r>
                    <w:rPr>
                      <w:szCs w:val="21"/>
                    </w:rPr>
                    <w:t>1.1～1.5kW</w:t>
                  </w:r>
                </w:p>
              </w:tc>
              <w:tc>
                <w:tcPr>
                  <w:tcW w:w="757" w:type="pct"/>
                  <w:noWrap/>
                  <w:vAlign w:val="center"/>
                </w:tcPr>
                <w:p w14:paraId="327D2AEA">
                  <w:pPr>
                    <w:pStyle w:val="84"/>
                    <w:tabs>
                      <w:tab w:val="left" w:pos="0"/>
                    </w:tabs>
                    <w:rPr>
                      <w:szCs w:val="21"/>
                    </w:rPr>
                  </w:pPr>
                  <w:r>
                    <w:rPr>
                      <w:szCs w:val="21"/>
                    </w:rPr>
                    <w:t>台</w:t>
                  </w:r>
                </w:p>
              </w:tc>
              <w:tc>
                <w:tcPr>
                  <w:tcW w:w="650" w:type="pct"/>
                  <w:noWrap/>
                  <w:vAlign w:val="center"/>
                </w:tcPr>
                <w:p w14:paraId="4CA94C84">
                  <w:pPr>
                    <w:pStyle w:val="84"/>
                    <w:tabs>
                      <w:tab w:val="left" w:pos="0"/>
                    </w:tabs>
                    <w:rPr>
                      <w:szCs w:val="21"/>
                    </w:rPr>
                  </w:pPr>
                  <w:r>
                    <w:rPr>
                      <w:szCs w:val="21"/>
                    </w:rPr>
                    <w:t>20</w:t>
                  </w:r>
                </w:p>
              </w:tc>
              <w:tc>
                <w:tcPr>
                  <w:tcW w:w="665" w:type="pct"/>
                  <w:noWrap/>
                  <w:vAlign w:val="center"/>
                </w:tcPr>
                <w:p w14:paraId="4DAD1D31">
                  <w:pPr>
                    <w:pStyle w:val="84"/>
                    <w:tabs>
                      <w:tab w:val="left" w:pos="0"/>
                    </w:tabs>
                    <w:rPr>
                      <w:szCs w:val="21"/>
                    </w:rPr>
                  </w:pPr>
                </w:p>
              </w:tc>
            </w:tr>
            <w:tr w14:paraId="02ABF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22E3AEB">
                  <w:pPr>
                    <w:pStyle w:val="84"/>
                    <w:tabs>
                      <w:tab w:val="left" w:pos="0"/>
                    </w:tabs>
                    <w:rPr>
                      <w:szCs w:val="21"/>
                    </w:rPr>
                  </w:pPr>
                  <w:r>
                    <w:rPr>
                      <w:szCs w:val="21"/>
                    </w:rPr>
                    <w:t>10</w:t>
                  </w:r>
                </w:p>
              </w:tc>
              <w:tc>
                <w:tcPr>
                  <w:tcW w:w="1410" w:type="pct"/>
                  <w:noWrap/>
                  <w:vAlign w:val="center"/>
                </w:tcPr>
                <w:p w14:paraId="4790C3A2">
                  <w:pPr>
                    <w:pStyle w:val="84"/>
                    <w:tabs>
                      <w:tab w:val="left" w:pos="0"/>
                    </w:tabs>
                    <w:rPr>
                      <w:szCs w:val="21"/>
                    </w:rPr>
                  </w:pPr>
                  <w:r>
                    <w:rPr>
                      <w:szCs w:val="21"/>
                    </w:rPr>
                    <w:t>混凝土搅拌运输车</w:t>
                  </w:r>
                </w:p>
              </w:tc>
              <w:tc>
                <w:tcPr>
                  <w:tcW w:w="974" w:type="pct"/>
                  <w:noWrap/>
                  <w:vAlign w:val="center"/>
                </w:tcPr>
                <w:p w14:paraId="5FA5438C">
                  <w:pPr>
                    <w:pStyle w:val="84"/>
                    <w:tabs>
                      <w:tab w:val="left" w:pos="0"/>
                    </w:tabs>
                    <w:rPr>
                      <w:szCs w:val="21"/>
                    </w:rPr>
                  </w:pPr>
                  <w:r>
                    <w:rPr>
                      <w:szCs w:val="21"/>
                    </w:rPr>
                    <w:t>8m³</w:t>
                  </w:r>
                </w:p>
              </w:tc>
              <w:tc>
                <w:tcPr>
                  <w:tcW w:w="757" w:type="pct"/>
                  <w:noWrap/>
                  <w:vAlign w:val="center"/>
                </w:tcPr>
                <w:p w14:paraId="31A8237D">
                  <w:pPr>
                    <w:pStyle w:val="84"/>
                    <w:tabs>
                      <w:tab w:val="left" w:pos="0"/>
                    </w:tabs>
                    <w:rPr>
                      <w:szCs w:val="21"/>
                    </w:rPr>
                  </w:pPr>
                  <w:r>
                    <w:rPr>
                      <w:szCs w:val="21"/>
                    </w:rPr>
                    <w:t>台</w:t>
                  </w:r>
                </w:p>
              </w:tc>
              <w:tc>
                <w:tcPr>
                  <w:tcW w:w="650" w:type="pct"/>
                  <w:noWrap/>
                  <w:vAlign w:val="center"/>
                </w:tcPr>
                <w:p w14:paraId="383A2A4B">
                  <w:pPr>
                    <w:pStyle w:val="84"/>
                    <w:tabs>
                      <w:tab w:val="left" w:pos="0"/>
                    </w:tabs>
                    <w:rPr>
                      <w:szCs w:val="21"/>
                    </w:rPr>
                  </w:pPr>
                  <w:r>
                    <w:rPr>
                      <w:szCs w:val="21"/>
                    </w:rPr>
                    <w:t>12</w:t>
                  </w:r>
                </w:p>
              </w:tc>
              <w:tc>
                <w:tcPr>
                  <w:tcW w:w="665" w:type="pct"/>
                  <w:noWrap/>
                  <w:vAlign w:val="center"/>
                </w:tcPr>
                <w:p w14:paraId="3F05FF27">
                  <w:pPr>
                    <w:pStyle w:val="84"/>
                    <w:tabs>
                      <w:tab w:val="left" w:pos="0"/>
                    </w:tabs>
                    <w:rPr>
                      <w:szCs w:val="21"/>
                    </w:rPr>
                  </w:pPr>
                </w:p>
              </w:tc>
            </w:tr>
            <w:tr w14:paraId="4F642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F5D281D">
                  <w:pPr>
                    <w:pStyle w:val="84"/>
                    <w:tabs>
                      <w:tab w:val="left" w:pos="0"/>
                    </w:tabs>
                    <w:rPr>
                      <w:szCs w:val="21"/>
                    </w:rPr>
                  </w:pPr>
                  <w:r>
                    <w:rPr>
                      <w:szCs w:val="21"/>
                    </w:rPr>
                    <w:t>11</w:t>
                  </w:r>
                </w:p>
              </w:tc>
              <w:tc>
                <w:tcPr>
                  <w:tcW w:w="1410" w:type="pct"/>
                  <w:noWrap/>
                  <w:vAlign w:val="center"/>
                </w:tcPr>
                <w:p w14:paraId="1A331BBC">
                  <w:pPr>
                    <w:pStyle w:val="84"/>
                    <w:tabs>
                      <w:tab w:val="left" w:pos="0"/>
                    </w:tabs>
                    <w:rPr>
                      <w:szCs w:val="21"/>
                    </w:rPr>
                  </w:pPr>
                  <w:r>
                    <w:rPr>
                      <w:szCs w:val="21"/>
                    </w:rPr>
                    <w:t>空压机</w:t>
                  </w:r>
                </w:p>
              </w:tc>
              <w:tc>
                <w:tcPr>
                  <w:tcW w:w="974" w:type="pct"/>
                  <w:noWrap/>
                  <w:vAlign w:val="center"/>
                </w:tcPr>
                <w:p w14:paraId="4FA85E24">
                  <w:pPr>
                    <w:pStyle w:val="84"/>
                    <w:tabs>
                      <w:tab w:val="left" w:pos="0"/>
                    </w:tabs>
                    <w:rPr>
                      <w:szCs w:val="21"/>
                    </w:rPr>
                  </w:pPr>
                  <w:r>
                    <w:rPr>
                      <w:szCs w:val="21"/>
                    </w:rPr>
                    <w:t>9m³/min</w:t>
                  </w:r>
                </w:p>
              </w:tc>
              <w:tc>
                <w:tcPr>
                  <w:tcW w:w="757" w:type="pct"/>
                  <w:noWrap/>
                  <w:vAlign w:val="center"/>
                </w:tcPr>
                <w:p w14:paraId="145F3FC2">
                  <w:pPr>
                    <w:pStyle w:val="84"/>
                    <w:tabs>
                      <w:tab w:val="left" w:pos="0"/>
                    </w:tabs>
                    <w:rPr>
                      <w:szCs w:val="21"/>
                    </w:rPr>
                  </w:pPr>
                  <w:r>
                    <w:rPr>
                      <w:szCs w:val="21"/>
                    </w:rPr>
                    <w:t>台</w:t>
                  </w:r>
                </w:p>
              </w:tc>
              <w:tc>
                <w:tcPr>
                  <w:tcW w:w="650" w:type="pct"/>
                  <w:noWrap/>
                  <w:vAlign w:val="center"/>
                </w:tcPr>
                <w:p w14:paraId="13D59706">
                  <w:pPr>
                    <w:pStyle w:val="84"/>
                    <w:tabs>
                      <w:tab w:val="left" w:pos="0"/>
                    </w:tabs>
                    <w:rPr>
                      <w:szCs w:val="21"/>
                    </w:rPr>
                  </w:pPr>
                  <w:r>
                    <w:rPr>
                      <w:szCs w:val="21"/>
                    </w:rPr>
                    <w:t>4</w:t>
                  </w:r>
                </w:p>
              </w:tc>
              <w:tc>
                <w:tcPr>
                  <w:tcW w:w="665" w:type="pct"/>
                  <w:noWrap/>
                  <w:vAlign w:val="center"/>
                </w:tcPr>
                <w:p w14:paraId="1B349568">
                  <w:pPr>
                    <w:pStyle w:val="84"/>
                    <w:tabs>
                      <w:tab w:val="left" w:pos="0"/>
                    </w:tabs>
                    <w:rPr>
                      <w:szCs w:val="21"/>
                    </w:rPr>
                  </w:pPr>
                </w:p>
              </w:tc>
            </w:tr>
            <w:tr w14:paraId="77B42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C824AC6">
                  <w:pPr>
                    <w:pStyle w:val="84"/>
                    <w:tabs>
                      <w:tab w:val="left" w:pos="0"/>
                    </w:tabs>
                    <w:rPr>
                      <w:szCs w:val="21"/>
                    </w:rPr>
                  </w:pPr>
                  <w:r>
                    <w:rPr>
                      <w:szCs w:val="21"/>
                    </w:rPr>
                    <w:t>12</w:t>
                  </w:r>
                </w:p>
              </w:tc>
              <w:tc>
                <w:tcPr>
                  <w:tcW w:w="1410" w:type="pct"/>
                  <w:noWrap/>
                  <w:vAlign w:val="center"/>
                </w:tcPr>
                <w:p w14:paraId="738A9347">
                  <w:pPr>
                    <w:pStyle w:val="84"/>
                    <w:tabs>
                      <w:tab w:val="left" w:pos="0"/>
                    </w:tabs>
                    <w:rPr>
                      <w:szCs w:val="21"/>
                    </w:rPr>
                  </w:pPr>
                  <w:r>
                    <w:rPr>
                      <w:szCs w:val="21"/>
                    </w:rPr>
                    <w:t>冲击式打桩机</w:t>
                  </w:r>
                </w:p>
              </w:tc>
              <w:tc>
                <w:tcPr>
                  <w:tcW w:w="974" w:type="pct"/>
                  <w:noWrap/>
                  <w:vAlign w:val="center"/>
                </w:tcPr>
                <w:p w14:paraId="3E4B129C">
                  <w:pPr>
                    <w:pStyle w:val="84"/>
                    <w:tabs>
                      <w:tab w:val="left" w:pos="0"/>
                    </w:tabs>
                    <w:rPr>
                      <w:szCs w:val="21"/>
                    </w:rPr>
                  </w:pPr>
                </w:p>
              </w:tc>
              <w:tc>
                <w:tcPr>
                  <w:tcW w:w="757" w:type="pct"/>
                  <w:noWrap/>
                  <w:vAlign w:val="center"/>
                </w:tcPr>
                <w:p w14:paraId="748BB435">
                  <w:pPr>
                    <w:pStyle w:val="84"/>
                    <w:tabs>
                      <w:tab w:val="left" w:pos="0"/>
                    </w:tabs>
                    <w:rPr>
                      <w:szCs w:val="21"/>
                    </w:rPr>
                  </w:pPr>
                  <w:r>
                    <w:rPr>
                      <w:szCs w:val="21"/>
                    </w:rPr>
                    <w:t>台</w:t>
                  </w:r>
                </w:p>
              </w:tc>
              <w:tc>
                <w:tcPr>
                  <w:tcW w:w="650" w:type="pct"/>
                  <w:noWrap/>
                  <w:vAlign w:val="center"/>
                </w:tcPr>
                <w:p w14:paraId="67B919D9">
                  <w:pPr>
                    <w:pStyle w:val="84"/>
                    <w:tabs>
                      <w:tab w:val="left" w:pos="0"/>
                    </w:tabs>
                    <w:rPr>
                      <w:szCs w:val="21"/>
                    </w:rPr>
                  </w:pPr>
                  <w:r>
                    <w:rPr>
                      <w:szCs w:val="21"/>
                    </w:rPr>
                    <w:t>6</w:t>
                  </w:r>
                </w:p>
              </w:tc>
              <w:tc>
                <w:tcPr>
                  <w:tcW w:w="665" w:type="pct"/>
                  <w:noWrap/>
                  <w:vAlign w:val="center"/>
                </w:tcPr>
                <w:p w14:paraId="04F9D90D">
                  <w:pPr>
                    <w:pStyle w:val="84"/>
                    <w:tabs>
                      <w:tab w:val="left" w:pos="0"/>
                    </w:tabs>
                    <w:rPr>
                      <w:szCs w:val="21"/>
                    </w:rPr>
                  </w:pPr>
                </w:p>
              </w:tc>
            </w:tr>
            <w:tr w14:paraId="6E1A6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4E2BF34">
                  <w:pPr>
                    <w:pStyle w:val="84"/>
                    <w:tabs>
                      <w:tab w:val="left" w:pos="0"/>
                    </w:tabs>
                    <w:rPr>
                      <w:szCs w:val="21"/>
                    </w:rPr>
                  </w:pPr>
                  <w:r>
                    <w:rPr>
                      <w:szCs w:val="21"/>
                    </w:rPr>
                    <w:t>13</w:t>
                  </w:r>
                </w:p>
              </w:tc>
              <w:tc>
                <w:tcPr>
                  <w:tcW w:w="1410" w:type="pct"/>
                  <w:noWrap/>
                  <w:vAlign w:val="center"/>
                </w:tcPr>
                <w:p w14:paraId="35465671">
                  <w:pPr>
                    <w:pStyle w:val="84"/>
                    <w:tabs>
                      <w:tab w:val="left" w:pos="0"/>
                    </w:tabs>
                    <w:rPr>
                      <w:szCs w:val="21"/>
                    </w:rPr>
                  </w:pPr>
                  <w:r>
                    <w:rPr>
                      <w:szCs w:val="21"/>
                    </w:rPr>
                    <w:t>履带式主吊</w:t>
                  </w:r>
                </w:p>
              </w:tc>
              <w:tc>
                <w:tcPr>
                  <w:tcW w:w="974" w:type="pct"/>
                  <w:noWrap/>
                  <w:vAlign w:val="center"/>
                </w:tcPr>
                <w:p w14:paraId="2946F22B">
                  <w:pPr>
                    <w:pStyle w:val="84"/>
                    <w:tabs>
                      <w:tab w:val="left" w:pos="0"/>
                    </w:tabs>
                    <w:rPr>
                      <w:szCs w:val="21"/>
                    </w:rPr>
                  </w:pPr>
                  <w:r>
                    <w:rPr>
                      <w:szCs w:val="21"/>
                    </w:rPr>
                    <w:t>1600t</w:t>
                  </w:r>
                </w:p>
              </w:tc>
              <w:tc>
                <w:tcPr>
                  <w:tcW w:w="757" w:type="pct"/>
                  <w:noWrap/>
                  <w:vAlign w:val="center"/>
                </w:tcPr>
                <w:p w14:paraId="07CEF865">
                  <w:pPr>
                    <w:pStyle w:val="84"/>
                    <w:tabs>
                      <w:tab w:val="left" w:pos="0"/>
                    </w:tabs>
                    <w:rPr>
                      <w:szCs w:val="21"/>
                    </w:rPr>
                  </w:pPr>
                  <w:r>
                    <w:rPr>
                      <w:szCs w:val="21"/>
                    </w:rPr>
                    <w:t>台</w:t>
                  </w:r>
                </w:p>
              </w:tc>
              <w:tc>
                <w:tcPr>
                  <w:tcW w:w="650" w:type="pct"/>
                  <w:noWrap/>
                  <w:vAlign w:val="center"/>
                </w:tcPr>
                <w:p w14:paraId="684357A9">
                  <w:pPr>
                    <w:pStyle w:val="84"/>
                    <w:tabs>
                      <w:tab w:val="left" w:pos="0"/>
                    </w:tabs>
                    <w:rPr>
                      <w:szCs w:val="21"/>
                    </w:rPr>
                  </w:pPr>
                  <w:r>
                    <w:rPr>
                      <w:szCs w:val="21"/>
                    </w:rPr>
                    <w:t>2</w:t>
                  </w:r>
                </w:p>
              </w:tc>
              <w:tc>
                <w:tcPr>
                  <w:tcW w:w="665" w:type="pct"/>
                  <w:noWrap/>
                  <w:vAlign w:val="center"/>
                </w:tcPr>
                <w:p w14:paraId="5D16187D">
                  <w:pPr>
                    <w:pStyle w:val="84"/>
                    <w:tabs>
                      <w:tab w:val="left" w:pos="0"/>
                    </w:tabs>
                    <w:rPr>
                      <w:szCs w:val="21"/>
                    </w:rPr>
                  </w:pPr>
                </w:p>
              </w:tc>
            </w:tr>
            <w:tr w14:paraId="4215A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73D7B15B">
                  <w:pPr>
                    <w:pStyle w:val="84"/>
                    <w:tabs>
                      <w:tab w:val="left" w:pos="0"/>
                    </w:tabs>
                    <w:rPr>
                      <w:szCs w:val="21"/>
                    </w:rPr>
                  </w:pPr>
                  <w:r>
                    <w:rPr>
                      <w:szCs w:val="21"/>
                    </w:rPr>
                    <w:t>14</w:t>
                  </w:r>
                </w:p>
              </w:tc>
              <w:tc>
                <w:tcPr>
                  <w:tcW w:w="1410" w:type="pct"/>
                  <w:noWrap/>
                  <w:vAlign w:val="center"/>
                </w:tcPr>
                <w:p w14:paraId="5E02DD48">
                  <w:pPr>
                    <w:pStyle w:val="84"/>
                    <w:tabs>
                      <w:tab w:val="left" w:pos="0"/>
                    </w:tabs>
                    <w:rPr>
                      <w:szCs w:val="21"/>
                    </w:rPr>
                  </w:pPr>
                  <w:r>
                    <w:rPr>
                      <w:szCs w:val="21"/>
                    </w:rPr>
                    <w:t>汽车式起重机</w:t>
                  </w:r>
                </w:p>
              </w:tc>
              <w:tc>
                <w:tcPr>
                  <w:tcW w:w="974" w:type="pct"/>
                  <w:noWrap/>
                  <w:vAlign w:val="center"/>
                </w:tcPr>
                <w:p w14:paraId="2D487A63">
                  <w:pPr>
                    <w:pStyle w:val="84"/>
                    <w:tabs>
                      <w:tab w:val="left" w:pos="0"/>
                    </w:tabs>
                    <w:rPr>
                      <w:szCs w:val="21"/>
                    </w:rPr>
                  </w:pPr>
                  <w:r>
                    <w:rPr>
                      <w:szCs w:val="21"/>
                    </w:rPr>
                    <w:t>200t</w:t>
                  </w:r>
                </w:p>
              </w:tc>
              <w:tc>
                <w:tcPr>
                  <w:tcW w:w="757" w:type="pct"/>
                  <w:noWrap/>
                  <w:vAlign w:val="center"/>
                </w:tcPr>
                <w:p w14:paraId="1D36535E">
                  <w:pPr>
                    <w:pStyle w:val="84"/>
                    <w:tabs>
                      <w:tab w:val="left" w:pos="0"/>
                    </w:tabs>
                    <w:rPr>
                      <w:szCs w:val="21"/>
                    </w:rPr>
                  </w:pPr>
                  <w:r>
                    <w:rPr>
                      <w:szCs w:val="21"/>
                    </w:rPr>
                    <w:t>台</w:t>
                  </w:r>
                </w:p>
              </w:tc>
              <w:tc>
                <w:tcPr>
                  <w:tcW w:w="650" w:type="pct"/>
                  <w:noWrap/>
                  <w:vAlign w:val="center"/>
                </w:tcPr>
                <w:p w14:paraId="3090C9AB">
                  <w:pPr>
                    <w:pStyle w:val="84"/>
                    <w:tabs>
                      <w:tab w:val="left" w:pos="0"/>
                    </w:tabs>
                    <w:rPr>
                      <w:szCs w:val="21"/>
                    </w:rPr>
                  </w:pPr>
                  <w:r>
                    <w:rPr>
                      <w:szCs w:val="21"/>
                    </w:rPr>
                    <w:t>6</w:t>
                  </w:r>
                </w:p>
              </w:tc>
              <w:tc>
                <w:tcPr>
                  <w:tcW w:w="665" w:type="pct"/>
                  <w:noWrap/>
                  <w:vAlign w:val="center"/>
                </w:tcPr>
                <w:p w14:paraId="0429C88E">
                  <w:pPr>
                    <w:pStyle w:val="84"/>
                    <w:tabs>
                      <w:tab w:val="left" w:pos="0"/>
                    </w:tabs>
                    <w:rPr>
                      <w:szCs w:val="21"/>
                    </w:rPr>
                  </w:pPr>
                </w:p>
              </w:tc>
            </w:tr>
            <w:tr w14:paraId="01667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830B0AB">
                  <w:pPr>
                    <w:pStyle w:val="84"/>
                    <w:tabs>
                      <w:tab w:val="left" w:pos="0"/>
                    </w:tabs>
                    <w:rPr>
                      <w:szCs w:val="21"/>
                    </w:rPr>
                  </w:pPr>
                  <w:r>
                    <w:rPr>
                      <w:szCs w:val="21"/>
                    </w:rPr>
                    <w:t>15</w:t>
                  </w:r>
                </w:p>
              </w:tc>
              <w:tc>
                <w:tcPr>
                  <w:tcW w:w="1410" w:type="pct"/>
                  <w:noWrap/>
                  <w:vAlign w:val="center"/>
                </w:tcPr>
                <w:p w14:paraId="13C49155">
                  <w:pPr>
                    <w:pStyle w:val="84"/>
                    <w:tabs>
                      <w:tab w:val="left" w:pos="0"/>
                    </w:tabs>
                    <w:rPr>
                      <w:szCs w:val="21"/>
                    </w:rPr>
                  </w:pPr>
                  <w:r>
                    <w:rPr>
                      <w:szCs w:val="21"/>
                    </w:rPr>
                    <w:t>汽车式起重机</w:t>
                  </w:r>
                </w:p>
              </w:tc>
              <w:tc>
                <w:tcPr>
                  <w:tcW w:w="974" w:type="pct"/>
                  <w:noWrap/>
                  <w:vAlign w:val="center"/>
                </w:tcPr>
                <w:p w14:paraId="75AAE383">
                  <w:pPr>
                    <w:pStyle w:val="84"/>
                    <w:tabs>
                      <w:tab w:val="left" w:pos="0"/>
                    </w:tabs>
                    <w:rPr>
                      <w:szCs w:val="21"/>
                    </w:rPr>
                  </w:pPr>
                  <w:r>
                    <w:rPr>
                      <w:szCs w:val="21"/>
                    </w:rPr>
                    <w:t>100t</w:t>
                  </w:r>
                </w:p>
              </w:tc>
              <w:tc>
                <w:tcPr>
                  <w:tcW w:w="757" w:type="pct"/>
                  <w:noWrap/>
                  <w:vAlign w:val="center"/>
                </w:tcPr>
                <w:p w14:paraId="5765FE56">
                  <w:pPr>
                    <w:pStyle w:val="84"/>
                    <w:tabs>
                      <w:tab w:val="left" w:pos="0"/>
                    </w:tabs>
                    <w:rPr>
                      <w:szCs w:val="21"/>
                    </w:rPr>
                  </w:pPr>
                  <w:r>
                    <w:rPr>
                      <w:szCs w:val="21"/>
                    </w:rPr>
                    <w:t>台</w:t>
                  </w:r>
                </w:p>
              </w:tc>
              <w:tc>
                <w:tcPr>
                  <w:tcW w:w="650" w:type="pct"/>
                  <w:noWrap/>
                  <w:vAlign w:val="center"/>
                </w:tcPr>
                <w:p w14:paraId="052C1D39">
                  <w:pPr>
                    <w:pStyle w:val="84"/>
                    <w:tabs>
                      <w:tab w:val="left" w:pos="0"/>
                    </w:tabs>
                    <w:rPr>
                      <w:szCs w:val="21"/>
                    </w:rPr>
                  </w:pPr>
                  <w:r>
                    <w:rPr>
                      <w:szCs w:val="21"/>
                    </w:rPr>
                    <w:t>10</w:t>
                  </w:r>
                </w:p>
              </w:tc>
              <w:tc>
                <w:tcPr>
                  <w:tcW w:w="665" w:type="pct"/>
                  <w:noWrap/>
                  <w:vAlign w:val="center"/>
                </w:tcPr>
                <w:p w14:paraId="2009D1BC">
                  <w:pPr>
                    <w:pStyle w:val="84"/>
                    <w:tabs>
                      <w:tab w:val="left" w:pos="0"/>
                    </w:tabs>
                    <w:rPr>
                      <w:szCs w:val="21"/>
                    </w:rPr>
                  </w:pPr>
                </w:p>
              </w:tc>
            </w:tr>
            <w:tr w14:paraId="374FD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1B7F209D">
                  <w:pPr>
                    <w:pStyle w:val="84"/>
                    <w:tabs>
                      <w:tab w:val="left" w:pos="0"/>
                    </w:tabs>
                    <w:rPr>
                      <w:szCs w:val="21"/>
                    </w:rPr>
                  </w:pPr>
                  <w:r>
                    <w:rPr>
                      <w:szCs w:val="21"/>
                    </w:rPr>
                    <w:t>16</w:t>
                  </w:r>
                </w:p>
              </w:tc>
              <w:tc>
                <w:tcPr>
                  <w:tcW w:w="1410" w:type="pct"/>
                  <w:noWrap/>
                  <w:vAlign w:val="center"/>
                </w:tcPr>
                <w:p w14:paraId="3A37732D">
                  <w:pPr>
                    <w:pStyle w:val="84"/>
                    <w:tabs>
                      <w:tab w:val="left" w:pos="0"/>
                    </w:tabs>
                    <w:rPr>
                      <w:szCs w:val="21"/>
                    </w:rPr>
                  </w:pPr>
                  <w:r>
                    <w:rPr>
                      <w:szCs w:val="21"/>
                    </w:rPr>
                    <w:t>水车</w:t>
                  </w:r>
                </w:p>
              </w:tc>
              <w:tc>
                <w:tcPr>
                  <w:tcW w:w="974" w:type="pct"/>
                  <w:noWrap/>
                  <w:vAlign w:val="center"/>
                </w:tcPr>
                <w:p w14:paraId="5C0C8F7B">
                  <w:pPr>
                    <w:pStyle w:val="84"/>
                    <w:tabs>
                      <w:tab w:val="left" w:pos="0"/>
                    </w:tabs>
                    <w:rPr>
                      <w:szCs w:val="21"/>
                    </w:rPr>
                  </w:pPr>
                  <w:r>
                    <w:rPr>
                      <w:szCs w:val="21"/>
                    </w:rPr>
                    <w:t>8m³</w:t>
                  </w:r>
                </w:p>
              </w:tc>
              <w:tc>
                <w:tcPr>
                  <w:tcW w:w="757" w:type="pct"/>
                  <w:noWrap/>
                  <w:vAlign w:val="center"/>
                </w:tcPr>
                <w:p w14:paraId="0E0AABE0">
                  <w:pPr>
                    <w:pStyle w:val="84"/>
                    <w:tabs>
                      <w:tab w:val="left" w:pos="0"/>
                    </w:tabs>
                    <w:rPr>
                      <w:szCs w:val="21"/>
                    </w:rPr>
                  </w:pPr>
                  <w:r>
                    <w:rPr>
                      <w:szCs w:val="21"/>
                    </w:rPr>
                    <w:t>台</w:t>
                  </w:r>
                </w:p>
              </w:tc>
              <w:tc>
                <w:tcPr>
                  <w:tcW w:w="650" w:type="pct"/>
                  <w:noWrap/>
                  <w:vAlign w:val="center"/>
                </w:tcPr>
                <w:p w14:paraId="0C8B7DD2">
                  <w:pPr>
                    <w:pStyle w:val="84"/>
                    <w:tabs>
                      <w:tab w:val="left" w:pos="0"/>
                    </w:tabs>
                    <w:rPr>
                      <w:szCs w:val="21"/>
                    </w:rPr>
                  </w:pPr>
                  <w:r>
                    <w:rPr>
                      <w:szCs w:val="21"/>
                    </w:rPr>
                    <w:t>4</w:t>
                  </w:r>
                </w:p>
              </w:tc>
              <w:tc>
                <w:tcPr>
                  <w:tcW w:w="665" w:type="pct"/>
                  <w:noWrap/>
                  <w:vAlign w:val="center"/>
                </w:tcPr>
                <w:p w14:paraId="1E23D15A">
                  <w:pPr>
                    <w:pStyle w:val="84"/>
                    <w:tabs>
                      <w:tab w:val="left" w:pos="0"/>
                    </w:tabs>
                    <w:rPr>
                      <w:szCs w:val="21"/>
                    </w:rPr>
                  </w:pPr>
                </w:p>
              </w:tc>
            </w:tr>
            <w:tr w14:paraId="150F5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BA3A807">
                  <w:pPr>
                    <w:pStyle w:val="84"/>
                    <w:tabs>
                      <w:tab w:val="left" w:pos="0"/>
                    </w:tabs>
                    <w:rPr>
                      <w:szCs w:val="21"/>
                    </w:rPr>
                  </w:pPr>
                  <w:r>
                    <w:rPr>
                      <w:szCs w:val="21"/>
                    </w:rPr>
                    <w:t>17</w:t>
                  </w:r>
                </w:p>
              </w:tc>
              <w:tc>
                <w:tcPr>
                  <w:tcW w:w="1410" w:type="pct"/>
                  <w:noWrap/>
                  <w:vAlign w:val="center"/>
                </w:tcPr>
                <w:p w14:paraId="4AFDA4F3">
                  <w:pPr>
                    <w:pStyle w:val="84"/>
                    <w:tabs>
                      <w:tab w:val="left" w:pos="0"/>
                    </w:tabs>
                    <w:rPr>
                      <w:szCs w:val="21"/>
                    </w:rPr>
                  </w:pPr>
                  <w:r>
                    <w:rPr>
                      <w:szCs w:val="21"/>
                    </w:rPr>
                    <w:t>移动式柴油发电机</w:t>
                  </w:r>
                </w:p>
              </w:tc>
              <w:tc>
                <w:tcPr>
                  <w:tcW w:w="974" w:type="pct"/>
                  <w:noWrap/>
                  <w:vAlign w:val="center"/>
                </w:tcPr>
                <w:p w14:paraId="1E0DF1D9">
                  <w:pPr>
                    <w:pStyle w:val="84"/>
                    <w:tabs>
                      <w:tab w:val="left" w:pos="0"/>
                    </w:tabs>
                    <w:rPr>
                      <w:szCs w:val="21"/>
                    </w:rPr>
                  </w:pPr>
                  <w:r>
                    <w:rPr>
                      <w:szCs w:val="21"/>
                    </w:rPr>
                    <w:t>50kW</w:t>
                  </w:r>
                </w:p>
              </w:tc>
              <w:tc>
                <w:tcPr>
                  <w:tcW w:w="757" w:type="pct"/>
                  <w:noWrap/>
                  <w:vAlign w:val="center"/>
                </w:tcPr>
                <w:p w14:paraId="08B95225">
                  <w:pPr>
                    <w:pStyle w:val="84"/>
                    <w:tabs>
                      <w:tab w:val="left" w:pos="0"/>
                    </w:tabs>
                    <w:rPr>
                      <w:szCs w:val="21"/>
                    </w:rPr>
                  </w:pPr>
                  <w:r>
                    <w:rPr>
                      <w:szCs w:val="21"/>
                    </w:rPr>
                    <w:t>台</w:t>
                  </w:r>
                </w:p>
              </w:tc>
              <w:tc>
                <w:tcPr>
                  <w:tcW w:w="650" w:type="pct"/>
                  <w:noWrap/>
                  <w:vAlign w:val="center"/>
                </w:tcPr>
                <w:p w14:paraId="11E70249">
                  <w:pPr>
                    <w:pStyle w:val="84"/>
                    <w:tabs>
                      <w:tab w:val="left" w:pos="0"/>
                    </w:tabs>
                    <w:rPr>
                      <w:szCs w:val="21"/>
                    </w:rPr>
                  </w:pPr>
                  <w:r>
                    <w:rPr>
                      <w:szCs w:val="21"/>
                    </w:rPr>
                    <w:t>4</w:t>
                  </w:r>
                </w:p>
              </w:tc>
              <w:tc>
                <w:tcPr>
                  <w:tcW w:w="665" w:type="pct"/>
                  <w:noWrap/>
                  <w:vAlign w:val="center"/>
                </w:tcPr>
                <w:p w14:paraId="3E7B2856">
                  <w:pPr>
                    <w:pStyle w:val="84"/>
                    <w:tabs>
                      <w:tab w:val="left" w:pos="0"/>
                    </w:tabs>
                    <w:rPr>
                      <w:szCs w:val="21"/>
                    </w:rPr>
                  </w:pPr>
                </w:p>
              </w:tc>
            </w:tr>
            <w:tr w14:paraId="4C0E5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01D0CA57">
                  <w:pPr>
                    <w:pStyle w:val="84"/>
                    <w:tabs>
                      <w:tab w:val="left" w:pos="0"/>
                    </w:tabs>
                    <w:rPr>
                      <w:szCs w:val="21"/>
                    </w:rPr>
                  </w:pPr>
                  <w:r>
                    <w:rPr>
                      <w:szCs w:val="21"/>
                    </w:rPr>
                    <w:t>18</w:t>
                  </w:r>
                </w:p>
              </w:tc>
              <w:tc>
                <w:tcPr>
                  <w:tcW w:w="1410" w:type="pct"/>
                  <w:noWrap/>
                  <w:vAlign w:val="center"/>
                </w:tcPr>
                <w:p w14:paraId="4DAB73DC">
                  <w:pPr>
                    <w:pStyle w:val="84"/>
                    <w:tabs>
                      <w:tab w:val="left" w:pos="0"/>
                    </w:tabs>
                    <w:rPr>
                      <w:szCs w:val="21"/>
                    </w:rPr>
                  </w:pPr>
                  <w:r>
                    <w:rPr>
                      <w:szCs w:val="21"/>
                    </w:rPr>
                    <w:t>平板拖车</w:t>
                  </w:r>
                </w:p>
              </w:tc>
              <w:tc>
                <w:tcPr>
                  <w:tcW w:w="974" w:type="pct"/>
                  <w:noWrap/>
                  <w:vAlign w:val="center"/>
                </w:tcPr>
                <w:p w14:paraId="6931BEE5">
                  <w:pPr>
                    <w:pStyle w:val="84"/>
                    <w:tabs>
                      <w:tab w:val="left" w:pos="0"/>
                    </w:tabs>
                    <w:rPr>
                      <w:szCs w:val="21"/>
                    </w:rPr>
                  </w:pPr>
                </w:p>
              </w:tc>
              <w:tc>
                <w:tcPr>
                  <w:tcW w:w="757" w:type="pct"/>
                  <w:noWrap/>
                  <w:vAlign w:val="center"/>
                </w:tcPr>
                <w:p w14:paraId="72D06A45">
                  <w:pPr>
                    <w:pStyle w:val="84"/>
                    <w:tabs>
                      <w:tab w:val="left" w:pos="0"/>
                    </w:tabs>
                    <w:rPr>
                      <w:szCs w:val="21"/>
                    </w:rPr>
                  </w:pPr>
                  <w:r>
                    <w:rPr>
                      <w:szCs w:val="21"/>
                    </w:rPr>
                    <w:t>台</w:t>
                  </w:r>
                </w:p>
              </w:tc>
              <w:tc>
                <w:tcPr>
                  <w:tcW w:w="650" w:type="pct"/>
                  <w:noWrap/>
                  <w:vAlign w:val="center"/>
                </w:tcPr>
                <w:p w14:paraId="0D631CA3">
                  <w:pPr>
                    <w:pStyle w:val="84"/>
                    <w:tabs>
                      <w:tab w:val="left" w:pos="0"/>
                    </w:tabs>
                    <w:rPr>
                      <w:szCs w:val="21"/>
                    </w:rPr>
                  </w:pPr>
                  <w:r>
                    <w:rPr>
                      <w:szCs w:val="21"/>
                    </w:rPr>
                    <w:t>6</w:t>
                  </w:r>
                </w:p>
              </w:tc>
              <w:tc>
                <w:tcPr>
                  <w:tcW w:w="665" w:type="pct"/>
                  <w:noWrap/>
                  <w:vAlign w:val="center"/>
                </w:tcPr>
                <w:p w14:paraId="5CA98A6C">
                  <w:pPr>
                    <w:pStyle w:val="84"/>
                    <w:tabs>
                      <w:tab w:val="left" w:pos="0"/>
                    </w:tabs>
                    <w:rPr>
                      <w:szCs w:val="21"/>
                    </w:rPr>
                  </w:pPr>
                </w:p>
              </w:tc>
            </w:tr>
            <w:tr w14:paraId="57F37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25EFC8ED">
                  <w:pPr>
                    <w:pStyle w:val="84"/>
                    <w:tabs>
                      <w:tab w:val="left" w:pos="0"/>
                    </w:tabs>
                    <w:rPr>
                      <w:szCs w:val="21"/>
                    </w:rPr>
                  </w:pPr>
                  <w:r>
                    <w:rPr>
                      <w:szCs w:val="21"/>
                    </w:rPr>
                    <w:t>19</w:t>
                  </w:r>
                </w:p>
              </w:tc>
              <w:tc>
                <w:tcPr>
                  <w:tcW w:w="1410" w:type="pct"/>
                  <w:noWrap/>
                  <w:vAlign w:val="center"/>
                </w:tcPr>
                <w:p w14:paraId="13651F72">
                  <w:pPr>
                    <w:pStyle w:val="84"/>
                    <w:tabs>
                      <w:tab w:val="left" w:pos="0"/>
                    </w:tabs>
                    <w:rPr>
                      <w:szCs w:val="21"/>
                    </w:rPr>
                  </w:pPr>
                  <w:r>
                    <w:rPr>
                      <w:szCs w:val="21"/>
                    </w:rPr>
                    <w:t>振动碾</w:t>
                  </w:r>
                </w:p>
              </w:tc>
              <w:tc>
                <w:tcPr>
                  <w:tcW w:w="974" w:type="pct"/>
                  <w:noWrap/>
                  <w:vAlign w:val="center"/>
                </w:tcPr>
                <w:p w14:paraId="7ADE624D">
                  <w:pPr>
                    <w:pStyle w:val="84"/>
                    <w:tabs>
                      <w:tab w:val="left" w:pos="0"/>
                    </w:tabs>
                    <w:rPr>
                      <w:szCs w:val="21"/>
                    </w:rPr>
                  </w:pPr>
                </w:p>
              </w:tc>
              <w:tc>
                <w:tcPr>
                  <w:tcW w:w="757" w:type="pct"/>
                  <w:noWrap/>
                  <w:vAlign w:val="center"/>
                </w:tcPr>
                <w:p w14:paraId="6B8F4059">
                  <w:pPr>
                    <w:pStyle w:val="84"/>
                    <w:tabs>
                      <w:tab w:val="left" w:pos="0"/>
                    </w:tabs>
                    <w:rPr>
                      <w:szCs w:val="21"/>
                    </w:rPr>
                  </w:pPr>
                  <w:r>
                    <w:rPr>
                      <w:szCs w:val="21"/>
                    </w:rPr>
                    <w:t>台</w:t>
                  </w:r>
                </w:p>
              </w:tc>
              <w:tc>
                <w:tcPr>
                  <w:tcW w:w="650" w:type="pct"/>
                  <w:noWrap/>
                  <w:vAlign w:val="center"/>
                </w:tcPr>
                <w:p w14:paraId="5BF1EBCF">
                  <w:pPr>
                    <w:pStyle w:val="84"/>
                    <w:tabs>
                      <w:tab w:val="left" w:pos="0"/>
                    </w:tabs>
                    <w:rPr>
                      <w:szCs w:val="21"/>
                    </w:rPr>
                  </w:pPr>
                  <w:r>
                    <w:rPr>
                      <w:szCs w:val="21"/>
                    </w:rPr>
                    <w:t>6</w:t>
                  </w:r>
                </w:p>
              </w:tc>
              <w:tc>
                <w:tcPr>
                  <w:tcW w:w="665" w:type="pct"/>
                  <w:noWrap/>
                  <w:vAlign w:val="center"/>
                </w:tcPr>
                <w:p w14:paraId="038F60DE">
                  <w:pPr>
                    <w:pStyle w:val="84"/>
                    <w:tabs>
                      <w:tab w:val="left" w:pos="0"/>
                    </w:tabs>
                    <w:rPr>
                      <w:szCs w:val="21"/>
                    </w:rPr>
                  </w:pPr>
                </w:p>
              </w:tc>
            </w:tr>
            <w:tr w14:paraId="7C6B7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6D6731CA">
                  <w:pPr>
                    <w:pStyle w:val="84"/>
                    <w:tabs>
                      <w:tab w:val="left" w:pos="0"/>
                    </w:tabs>
                    <w:rPr>
                      <w:szCs w:val="21"/>
                    </w:rPr>
                  </w:pPr>
                  <w:r>
                    <w:rPr>
                      <w:szCs w:val="21"/>
                    </w:rPr>
                    <w:t>20</w:t>
                  </w:r>
                </w:p>
              </w:tc>
              <w:tc>
                <w:tcPr>
                  <w:tcW w:w="1410" w:type="pct"/>
                  <w:noWrap/>
                  <w:vAlign w:val="center"/>
                </w:tcPr>
                <w:p w14:paraId="71002491">
                  <w:pPr>
                    <w:pStyle w:val="84"/>
                    <w:tabs>
                      <w:tab w:val="left" w:pos="0"/>
                    </w:tabs>
                    <w:rPr>
                      <w:szCs w:val="21"/>
                    </w:rPr>
                  </w:pPr>
                  <w:r>
                    <w:rPr>
                      <w:szCs w:val="21"/>
                    </w:rPr>
                    <w:t>蛙式打夯机</w:t>
                  </w:r>
                </w:p>
              </w:tc>
              <w:tc>
                <w:tcPr>
                  <w:tcW w:w="974" w:type="pct"/>
                  <w:noWrap/>
                  <w:vAlign w:val="center"/>
                </w:tcPr>
                <w:p w14:paraId="6D47FEBC">
                  <w:pPr>
                    <w:pStyle w:val="84"/>
                    <w:tabs>
                      <w:tab w:val="left" w:pos="0"/>
                    </w:tabs>
                    <w:rPr>
                      <w:szCs w:val="21"/>
                    </w:rPr>
                  </w:pPr>
                </w:p>
              </w:tc>
              <w:tc>
                <w:tcPr>
                  <w:tcW w:w="757" w:type="pct"/>
                  <w:noWrap/>
                  <w:vAlign w:val="center"/>
                </w:tcPr>
                <w:p w14:paraId="2E56B096">
                  <w:pPr>
                    <w:pStyle w:val="84"/>
                    <w:tabs>
                      <w:tab w:val="left" w:pos="0"/>
                    </w:tabs>
                    <w:rPr>
                      <w:szCs w:val="21"/>
                    </w:rPr>
                  </w:pPr>
                  <w:r>
                    <w:rPr>
                      <w:szCs w:val="21"/>
                    </w:rPr>
                    <w:t>台</w:t>
                  </w:r>
                </w:p>
              </w:tc>
              <w:tc>
                <w:tcPr>
                  <w:tcW w:w="650" w:type="pct"/>
                  <w:noWrap/>
                  <w:vAlign w:val="center"/>
                </w:tcPr>
                <w:p w14:paraId="164497B1">
                  <w:pPr>
                    <w:pStyle w:val="84"/>
                    <w:tabs>
                      <w:tab w:val="left" w:pos="0"/>
                    </w:tabs>
                    <w:rPr>
                      <w:szCs w:val="21"/>
                    </w:rPr>
                  </w:pPr>
                  <w:r>
                    <w:rPr>
                      <w:szCs w:val="21"/>
                    </w:rPr>
                    <w:t>8</w:t>
                  </w:r>
                </w:p>
              </w:tc>
              <w:tc>
                <w:tcPr>
                  <w:tcW w:w="665" w:type="pct"/>
                  <w:noWrap/>
                  <w:vAlign w:val="center"/>
                </w:tcPr>
                <w:p w14:paraId="6A1F26C0">
                  <w:pPr>
                    <w:pStyle w:val="84"/>
                    <w:tabs>
                      <w:tab w:val="left" w:pos="0"/>
                    </w:tabs>
                    <w:rPr>
                      <w:szCs w:val="21"/>
                    </w:rPr>
                  </w:pPr>
                </w:p>
              </w:tc>
            </w:tr>
            <w:tr w14:paraId="32F20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348D9506">
                  <w:pPr>
                    <w:pStyle w:val="84"/>
                    <w:tabs>
                      <w:tab w:val="left" w:pos="0"/>
                    </w:tabs>
                    <w:rPr>
                      <w:szCs w:val="21"/>
                    </w:rPr>
                  </w:pPr>
                  <w:r>
                    <w:rPr>
                      <w:szCs w:val="21"/>
                    </w:rPr>
                    <w:t>21</w:t>
                  </w:r>
                </w:p>
              </w:tc>
              <w:tc>
                <w:tcPr>
                  <w:tcW w:w="1410" w:type="pct"/>
                  <w:noWrap/>
                  <w:vAlign w:val="center"/>
                </w:tcPr>
                <w:p w14:paraId="2AF41268">
                  <w:pPr>
                    <w:pStyle w:val="84"/>
                    <w:tabs>
                      <w:tab w:val="left" w:pos="0"/>
                    </w:tabs>
                    <w:rPr>
                      <w:szCs w:val="21"/>
                    </w:rPr>
                  </w:pPr>
                  <w:r>
                    <w:rPr>
                      <w:szCs w:val="21"/>
                    </w:rPr>
                    <w:t>钢筋调直机</w:t>
                  </w:r>
                </w:p>
              </w:tc>
              <w:tc>
                <w:tcPr>
                  <w:tcW w:w="974" w:type="pct"/>
                  <w:noWrap/>
                  <w:vAlign w:val="center"/>
                </w:tcPr>
                <w:p w14:paraId="7DC818F9">
                  <w:pPr>
                    <w:pStyle w:val="84"/>
                    <w:tabs>
                      <w:tab w:val="left" w:pos="0"/>
                    </w:tabs>
                    <w:rPr>
                      <w:szCs w:val="21"/>
                    </w:rPr>
                  </w:pPr>
                </w:p>
              </w:tc>
              <w:tc>
                <w:tcPr>
                  <w:tcW w:w="757" w:type="pct"/>
                  <w:noWrap/>
                  <w:vAlign w:val="center"/>
                </w:tcPr>
                <w:p w14:paraId="1C081EBA">
                  <w:pPr>
                    <w:pStyle w:val="84"/>
                    <w:tabs>
                      <w:tab w:val="left" w:pos="0"/>
                    </w:tabs>
                    <w:rPr>
                      <w:szCs w:val="21"/>
                    </w:rPr>
                  </w:pPr>
                  <w:r>
                    <w:rPr>
                      <w:szCs w:val="21"/>
                    </w:rPr>
                    <w:t>台</w:t>
                  </w:r>
                </w:p>
              </w:tc>
              <w:tc>
                <w:tcPr>
                  <w:tcW w:w="650" w:type="pct"/>
                  <w:noWrap/>
                  <w:vAlign w:val="center"/>
                </w:tcPr>
                <w:p w14:paraId="6358641B">
                  <w:pPr>
                    <w:pStyle w:val="84"/>
                    <w:tabs>
                      <w:tab w:val="left" w:pos="0"/>
                    </w:tabs>
                    <w:rPr>
                      <w:szCs w:val="21"/>
                    </w:rPr>
                  </w:pPr>
                  <w:r>
                    <w:rPr>
                      <w:szCs w:val="21"/>
                    </w:rPr>
                    <w:t>12</w:t>
                  </w:r>
                </w:p>
              </w:tc>
              <w:tc>
                <w:tcPr>
                  <w:tcW w:w="665" w:type="pct"/>
                  <w:noWrap/>
                  <w:vAlign w:val="center"/>
                </w:tcPr>
                <w:p w14:paraId="12A7DD8C">
                  <w:pPr>
                    <w:pStyle w:val="84"/>
                    <w:tabs>
                      <w:tab w:val="left" w:pos="0"/>
                    </w:tabs>
                    <w:rPr>
                      <w:szCs w:val="21"/>
                    </w:rPr>
                  </w:pPr>
                </w:p>
              </w:tc>
            </w:tr>
            <w:tr w14:paraId="21555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477C2C82">
                  <w:pPr>
                    <w:pStyle w:val="84"/>
                    <w:tabs>
                      <w:tab w:val="left" w:pos="0"/>
                    </w:tabs>
                    <w:rPr>
                      <w:szCs w:val="21"/>
                    </w:rPr>
                  </w:pPr>
                  <w:r>
                    <w:rPr>
                      <w:szCs w:val="21"/>
                    </w:rPr>
                    <w:t>22</w:t>
                  </w:r>
                </w:p>
              </w:tc>
              <w:tc>
                <w:tcPr>
                  <w:tcW w:w="1410" w:type="pct"/>
                  <w:noWrap/>
                  <w:vAlign w:val="center"/>
                </w:tcPr>
                <w:p w14:paraId="14B9D128">
                  <w:pPr>
                    <w:pStyle w:val="84"/>
                    <w:tabs>
                      <w:tab w:val="left" w:pos="0"/>
                    </w:tabs>
                    <w:rPr>
                      <w:szCs w:val="21"/>
                    </w:rPr>
                  </w:pPr>
                  <w:r>
                    <w:rPr>
                      <w:szCs w:val="21"/>
                    </w:rPr>
                    <w:t>钢筋切断机</w:t>
                  </w:r>
                </w:p>
              </w:tc>
              <w:tc>
                <w:tcPr>
                  <w:tcW w:w="974" w:type="pct"/>
                  <w:noWrap/>
                  <w:vAlign w:val="center"/>
                </w:tcPr>
                <w:p w14:paraId="59D574E4">
                  <w:pPr>
                    <w:pStyle w:val="84"/>
                    <w:tabs>
                      <w:tab w:val="left" w:pos="0"/>
                    </w:tabs>
                    <w:rPr>
                      <w:szCs w:val="21"/>
                    </w:rPr>
                  </w:pPr>
                </w:p>
              </w:tc>
              <w:tc>
                <w:tcPr>
                  <w:tcW w:w="757" w:type="pct"/>
                  <w:noWrap/>
                  <w:vAlign w:val="center"/>
                </w:tcPr>
                <w:p w14:paraId="04CC9511">
                  <w:pPr>
                    <w:pStyle w:val="84"/>
                    <w:tabs>
                      <w:tab w:val="left" w:pos="0"/>
                    </w:tabs>
                    <w:rPr>
                      <w:szCs w:val="21"/>
                    </w:rPr>
                  </w:pPr>
                  <w:r>
                    <w:rPr>
                      <w:szCs w:val="21"/>
                    </w:rPr>
                    <w:t>台</w:t>
                  </w:r>
                </w:p>
              </w:tc>
              <w:tc>
                <w:tcPr>
                  <w:tcW w:w="650" w:type="pct"/>
                  <w:noWrap/>
                  <w:vAlign w:val="center"/>
                </w:tcPr>
                <w:p w14:paraId="3E0C3511">
                  <w:pPr>
                    <w:pStyle w:val="84"/>
                    <w:tabs>
                      <w:tab w:val="left" w:pos="0"/>
                    </w:tabs>
                    <w:rPr>
                      <w:szCs w:val="21"/>
                    </w:rPr>
                  </w:pPr>
                  <w:r>
                    <w:rPr>
                      <w:szCs w:val="21"/>
                    </w:rPr>
                    <w:t>12</w:t>
                  </w:r>
                </w:p>
              </w:tc>
              <w:tc>
                <w:tcPr>
                  <w:tcW w:w="665" w:type="pct"/>
                  <w:noWrap/>
                  <w:vAlign w:val="center"/>
                </w:tcPr>
                <w:p w14:paraId="30FE65A4">
                  <w:pPr>
                    <w:pStyle w:val="84"/>
                    <w:tabs>
                      <w:tab w:val="left" w:pos="0"/>
                    </w:tabs>
                    <w:rPr>
                      <w:szCs w:val="21"/>
                    </w:rPr>
                  </w:pPr>
                </w:p>
              </w:tc>
            </w:tr>
            <w:tr w14:paraId="23515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13E15B3A">
                  <w:pPr>
                    <w:pStyle w:val="84"/>
                    <w:tabs>
                      <w:tab w:val="left" w:pos="0"/>
                    </w:tabs>
                    <w:rPr>
                      <w:szCs w:val="21"/>
                    </w:rPr>
                  </w:pPr>
                  <w:r>
                    <w:rPr>
                      <w:szCs w:val="21"/>
                    </w:rPr>
                    <w:t>23</w:t>
                  </w:r>
                </w:p>
              </w:tc>
              <w:tc>
                <w:tcPr>
                  <w:tcW w:w="1410" w:type="pct"/>
                  <w:noWrap/>
                  <w:vAlign w:val="center"/>
                </w:tcPr>
                <w:p w14:paraId="34ECDB3A">
                  <w:pPr>
                    <w:pStyle w:val="84"/>
                    <w:tabs>
                      <w:tab w:val="left" w:pos="0"/>
                    </w:tabs>
                    <w:rPr>
                      <w:szCs w:val="21"/>
                    </w:rPr>
                  </w:pPr>
                  <w:r>
                    <w:rPr>
                      <w:szCs w:val="21"/>
                    </w:rPr>
                    <w:t>钢筋弯曲机</w:t>
                  </w:r>
                </w:p>
              </w:tc>
              <w:tc>
                <w:tcPr>
                  <w:tcW w:w="974" w:type="pct"/>
                  <w:noWrap/>
                  <w:vAlign w:val="center"/>
                </w:tcPr>
                <w:p w14:paraId="3374B57B">
                  <w:pPr>
                    <w:pStyle w:val="84"/>
                    <w:tabs>
                      <w:tab w:val="left" w:pos="0"/>
                    </w:tabs>
                    <w:rPr>
                      <w:szCs w:val="21"/>
                    </w:rPr>
                  </w:pPr>
                </w:p>
              </w:tc>
              <w:tc>
                <w:tcPr>
                  <w:tcW w:w="757" w:type="pct"/>
                  <w:noWrap/>
                  <w:vAlign w:val="center"/>
                </w:tcPr>
                <w:p w14:paraId="669DA11D">
                  <w:pPr>
                    <w:pStyle w:val="84"/>
                    <w:tabs>
                      <w:tab w:val="left" w:pos="0"/>
                    </w:tabs>
                    <w:rPr>
                      <w:szCs w:val="21"/>
                    </w:rPr>
                  </w:pPr>
                  <w:r>
                    <w:rPr>
                      <w:szCs w:val="21"/>
                    </w:rPr>
                    <w:t>台</w:t>
                  </w:r>
                </w:p>
              </w:tc>
              <w:tc>
                <w:tcPr>
                  <w:tcW w:w="650" w:type="pct"/>
                  <w:noWrap/>
                  <w:vAlign w:val="center"/>
                </w:tcPr>
                <w:p w14:paraId="5983C351">
                  <w:pPr>
                    <w:pStyle w:val="84"/>
                    <w:tabs>
                      <w:tab w:val="left" w:pos="0"/>
                    </w:tabs>
                    <w:rPr>
                      <w:szCs w:val="21"/>
                    </w:rPr>
                  </w:pPr>
                  <w:r>
                    <w:rPr>
                      <w:szCs w:val="21"/>
                    </w:rPr>
                    <w:t>12</w:t>
                  </w:r>
                </w:p>
              </w:tc>
              <w:tc>
                <w:tcPr>
                  <w:tcW w:w="665" w:type="pct"/>
                  <w:noWrap/>
                  <w:vAlign w:val="center"/>
                </w:tcPr>
                <w:p w14:paraId="32DC9F83">
                  <w:pPr>
                    <w:pStyle w:val="84"/>
                    <w:tabs>
                      <w:tab w:val="left" w:pos="0"/>
                    </w:tabs>
                    <w:rPr>
                      <w:szCs w:val="21"/>
                    </w:rPr>
                  </w:pPr>
                </w:p>
              </w:tc>
            </w:tr>
            <w:tr w14:paraId="01E81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4EA71DC7">
                  <w:pPr>
                    <w:pStyle w:val="84"/>
                    <w:tabs>
                      <w:tab w:val="left" w:pos="0"/>
                    </w:tabs>
                    <w:rPr>
                      <w:szCs w:val="21"/>
                    </w:rPr>
                  </w:pPr>
                  <w:r>
                    <w:rPr>
                      <w:szCs w:val="21"/>
                    </w:rPr>
                    <w:t>24</w:t>
                  </w:r>
                </w:p>
              </w:tc>
              <w:tc>
                <w:tcPr>
                  <w:tcW w:w="1410" w:type="pct"/>
                  <w:noWrap/>
                  <w:vAlign w:val="center"/>
                </w:tcPr>
                <w:p w14:paraId="6CBB3CC4">
                  <w:pPr>
                    <w:pStyle w:val="84"/>
                    <w:tabs>
                      <w:tab w:val="left" w:pos="0"/>
                    </w:tabs>
                    <w:rPr>
                      <w:szCs w:val="21"/>
                    </w:rPr>
                  </w:pPr>
                  <w:r>
                    <w:rPr>
                      <w:szCs w:val="21"/>
                    </w:rPr>
                    <w:t>直流电焊机</w:t>
                  </w:r>
                </w:p>
              </w:tc>
              <w:tc>
                <w:tcPr>
                  <w:tcW w:w="974" w:type="pct"/>
                  <w:noWrap/>
                  <w:vAlign w:val="center"/>
                </w:tcPr>
                <w:p w14:paraId="64536436">
                  <w:pPr>
                    <w:pStyle w:val="84"/>
                    <w:tabs>
                      <w:tab w:val="left" w:pos="0"/>
                    </w:tabs>
                    <w:rPr>
                      <w:szCs w:val="21"/>
                    </w:rPr>
                  </w:pPr>
                </w:p>
              </w:tc>
              <w:tc>
                <w:tcPr>
                  <w:tcW w:w="757" w:type="pct"/>
                  <w:noWrap/>
                  <w:vAlign w:val="center"/>
                </w:tcPr>
                <w:p w14:paraId="75582CFB">
                  <w:pPr>
                    <w:pStyle w:val="84"/>
                    <w:tabs>
                      <w:tab w:val="left" w:pos="0"/>
                    </w:tabs>
                    <w:rPr>
                      <w:szCs w:val="21"/>
                    </w:rPr>
                  </w:pPr>
                  <w:r>
                    <w:rPr>
                      <w:szCs w:val="21"/>
                    </w:rPr>
                    <w:t>台</w:t>
                  </w:r>
                </w:p>
              </w:tc>
              <w:tc>
                <w:tcPr>
                  <w:tcW w:w="650" w:type="pct"/>
                  <w:noWrap/>
                  <w:vAlign w:val="center"/>
                </w:tcPr>
                <w:p w14:paraId="073961A1">
                  <w:pPr>
                    <w:pStyle w:val="84"/>
                    <w:tabs>
                      <w:tab w:val="left" w:pos="0"/>
                    </w:tabs>
                    <w:rPr>
                      <w:szCs w:val="21"/>
                    </w:rPr>
                  </w:pPr>
                  <w:r>
                    <w:rPr>
                      <w:szCs w:val="21"/>
                    </w:rPr>
                    <w:t>20</w:t>
                  </w:r>
                </w:p>
              </w:tc>
              <w:tc>
                <w:tcPr>
                  <w:tcW w:w="665" w:type="pct"/>
                  <w:noWrap/>
                  <w:vAlign w:val="center"/>
                </w:tcPr>
                <w:p w14:paraId="2322B81E">
                  <w:pPr>
                    <w:pStyle w:val="84"/>
                    <w:tabs>
                      <w:tab w:val="left" w:pos="0"/>
                    </w:tabs>
                    <w:rPr>
                      <w:szCs w:val="21"/>
                    </w:rPr>
                  </w:pPr>
                </w:p>
              </w:tc>
            </w:tr>
            <w:tr w14:paraId="6D50F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noWrap/>
                  <w:vAlign w:val="center"/>
                </w:tcPr>
                <w:p w14:paraId="1AFCC64D">
                  <w:pPr>
                    <w:pStyle w:val="84"/>
                    <w:tabs>
                      <w:tab w:val="left" w:pos="0"/>
                    </w:tabs>
                    <w:rPr>
                      <w:szCs w:val="21"/>
                    </w:rPr>
                  </w:pPr>
                  <w:r>
                    <w:rPr>
                      <w:szCs w:val="21"/>
                    </w:rPr>
                    <w:t>25</w:t>
                  </w:r>
                </w:p>
              </w:tc>
              <w:tc>
                <w:tcPr>
                  <w:tcW w:w="2239" w:type="dxa"/>
                  <w:noWrap/>
                  <w:vAlign w:val="center"/>
                </w:tcPr>
                <w:p w14:paraId="27949A87">
                  <w:pPr>
                    <w:pStyle w:val="84"/>
                    <w:tabs>
                      <w:tab w:val="left" w:pos="0"/>
                    </w:tabs>
                    <w:rPr>
                      <w:szCs w:val="21"/>
                    </w:rPr>
                  </w:pPr>
                  <w:r>
                    <w:rPr>
                      <w:rFonts w:hint="eastAsia"/>
                      <w:szCs w:val="21"/>
                    </w:rPr>
                    <w:t>潜水泵</w:t>
                  </w:r>
                </w:p>
              </w:tc>
              <w:tc>
                <w:tcPr>
                  <w:tcW w:w="1547" w:type="dxa"/>
                  <w:noWrap/>
                  <w:vAlign w:val="center"/>
                </w:tcPr>
                <w:p w14:paraId="46C744E9">
                  <w:pPr>
                    <w:pStyle w:val="84"/>
                    <w:tabs>
                      <w:tab w:val="left" w:pos="0"/>
                    </w:tabs>
                    <w:rPr>
                      <w:szCs w:val="21"/>
                    </w:rPr>
                  </w:pPr>
                  <w:r>
                    <w:rPr>
                      <w:rFonts w:hint="eastAsia"/>
                      <w:szCs w:val="21"/>
                    </w:rPr>
                    <w:t>2.2kw</w:t>
                  </w:r>
                </w:p>
              </w:tc>
              <w:tc>
                <w:tcPr>
                  <w:tcW w:w="1202" w:type="dxa"/>
                  <w:noWrap/>
                  <w:vAlign w:val="center"/>
                </w:tcPr>
                <w:p w14:paraId="4A564142">
                  <w:pPr>
                    <w:pStyle w:val="84"/>
                    <w:tabs>
                      <w:tab w:val="left" w:pos="0"/>
                    </w:tabs>
                    <w:rPr>
                      <w:szCs w:val="21"/>
                    </w:rPr>
                  </w:pPr>
                  <w:r>
                    <w:rPr>
                      <w:rFonts w:hint="eastAsia"/>
                      <w:szCs w:val="21"/>
                    </w:rPr>
                    <w:t>台</w:t>
                  </w:r>
                </w:p>
              </w:tc>
              <w:tc>
                <w:tcPr>
                  <w:tcW w:w="1032" w:type="dxa"/>
                  <w:noWrap/>
                  <w:vAlign w:val="center"/>
                </w:tcPr>
                <w:p w14:paraId="63F9E490">
                  <w:pPr>
                    <w:pStyle w:val="84"/>
                    <w:tabs>
                      <w:tab w:val="left" w:pos="0"/>
                    </w:tabs>
                    <w:rPr>
                      <w:szCs w:val="21"/>
                    </w:rPr>
                  </w:pPr>
                  <w:r>
                    <w:rPr>
                      <w:rFonts w:hint="eastAsia"/>
                      <w:szCs w:val="21"/>
                    </w:rPr>
                    <w:t>2</w:t>
                  </w:r>
                </w:p>
              </w:tc>
              <w:tc>
                <w:tcPr>
                  <w:tcW w:w="665" w:type="pct"/>
                  <w:noWrap/>
                  <w:vAlign w:val="center"/>
                </w:tcPr>
                <w:p w14:paraId="7B4E703D">
                  <w:pPr>
                    <w:pStyle w:val="84"/>
                    <w:tabs>
                      <w:tab w:val="left" w:pos="0"/>
                    </w:tabs>
                    <w:rPr>
                      <w:szCs w:val="21"/>
                    </w:rPr>
                  </w:pPr>
                </w:p>
              </w:tc>
            </w:tr>
          </w:tbl>
          <w:p w14:paraId="3823917D">
            <w:pPr>
              <w:pStyle w:val="60"/>
              <w:spacing w:beforeLines="0" w:afterLines="0" w:line="480" w:lineRule="exact"/>
              <w:ind w:firstLine="480" w:firstLineChars="200"/>
              <w:jc w:val="both"/>
              <w:rPr>
                <w:rFonts w:ascii="Times New Roman"/>
                <w:b/>
                <w:bCs/>
                <w:szCs w:val="21"/>
              </w:rPr>
            </w:pPr>
            <w:r>
              <w:rPr>
                <w:rFonts w:ascii="Times New Roman"/>
                <w:sz w:val="24"/>
              </w:rPr>
              <w:t>本项目运营期主要生产设备见下表。</w:t>
            </w:r>
          </w:p>
          <w:p w14:paraId="41C179F0">
            <w:pPr>
              <w:pStyle w:val="60"/>
              <w:spacing w:beforeLines="0" w:afterLines="0" w:line="480" w:lineRule="exact"/>
              <w:rPr>
                <w:rFonts w:ascii="Times New Roman"/>
                <w:b/>
                <w:bCs/>
                <w:szCs w:val="21"/>
              </w:rPr>
            </w:pPr>
            <w:r>
              <w:rPr>
                <w:rFonts w:ascii="Times New Roman"/>
                <w:b/>
                <w:bCs/>
                <w:szCs w:val="21"/>
              </w:rPr>
              <w:t>表2-</w:t>
            </w:r>
            <w:r>
              <w:rPr>
                <w:rFonts w:hint="eastAsia" w:ascii="Times New Roman"/>
                <w:b/>
                <w:bCs/>
                <w:szCs w:val="21"/>
              </w:rPr>
              <w:t>10</w:t>
            </w:r>
            <w:r>
              <w:rPr>
                <w:rFonts w:ascii="Times New Roman"/>
                <w:b/>
                <w:bCs/>
                <w:szCs w:val="21"/>
              </w:rPr>
              <w:t xml:space="preserve">   运营期主要生产设备一览表</w:t>
            </w:r>
          </w:p>
          <w:tbl>
            <w:tblPr>
              <w:tblStyle w:val="32"/>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2059"/>
              <w:gridCol w:w="1322"/>
              <w:gridCol w:w="661"/>
              <w:gridCol w:w="2089"/>
              <w:gridCol w:w="723"/>
              <w:gridCol w:w="670"/>
            </w:tblGrid>
            <w:tr w14:paraId="54ED8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426" w:type="dxa"/>
                  <w:tcBorders>
                    <w:tl2br w:val="nil"/>
                    <w:tr2bl w:val="nil"/>
                  </w:tcBorders>
                  <w:vAlign w:val="center"/>
                </w:tcPr>
                <w:p w14:paraId="2A3749A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序号</w:t>
                  </w:r>
                </w:p>
              </w:tc>
              <w:tc>
                <w:tcPr>
                  <w:tcW w:w="2163" w:type="dxa"/>
                  <w:tcBorders>
                    <w:tl2br w:val="nil"/>
                    <w:tr2bl w:val="nil"/>
                  </w:tcBorders>
                  <w:vAlign w:val="center"/>
                </w:tcPr>
                <w:p w14:paraId="6165AE7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设备或材料名称</w:t>
                  </w:r>
                </w:p>
              </w:tc>
              <w:tc>
                <w:tcPr>
                  <w:tcW w:w="4214" w:type="dxa"/>
                  <w:gridSpan w:val="3"/>
                  <w:tcBorders>
                    <w:tl2br w:val="nil"/>
                    <w:tr2bl w:val="nil"/>
                  </w:tcBorders>
                  <w:vAlign w:val="center"/>
                </w:tcPr>
                <w:p w14:paraId="50CA927A">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规格及技术数据</w:t>
                  </w:r>
                </w:p>
              </w:tc>
              <w:tc>
                <w:tcPr>
                  <w:tcW w:w="758" w:type="dxa"/>
                  <w:tcBorders>
                    <w:tl2br w:val="nil"/>
                    <w:tr2bl w:val="nil"/>
                  </w:tcBorders>
                  <w:vAlign w:val="center"/>
                </w:tcPr>
                <w:p w14:paraId="0B5A75D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单位</w:t>
                  </w:r>
                </w:p>
              </w:tc>
              <w:tc>
                <w:tcPr>
                  <w:tcW w:w="701" w:type="dxa"/>
                  <w:tcBorders>
                    <w:tl2br w:val="nil"/>
                    <w:tr2bl w:val="nil"/>
                  </w:tcBorders>
                  <w:vAlign w:val="center"/>
                </w:tcPr>
                <w:p w14:paraId="222A27B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数量</w:t>
                  </w:r>
                </w:p>
              </w:tc>
            </w:tr>
            <w:tr w14:paraId="7AE761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262" w:type="dxa"/>
                  <w:gridSpan w:val="7"/>
                  <w:tcBorders>
                    <w:tl2br w:val="nil"/>
                    <w:tr2bl w:val="nil"/>
                  </w:tcBorders>
                  <w:vAlign w:val="center"/>
                </w:tcPr>
                <w:p w14:paraId="557F59D9">
                  <w:pPr>
                    <w:pStyle w:val="73"/>
                    <w:kinsoku w:val="0"/>
                    <w:overflowPunct w:val="0"/>
                    <w:jc w:val="center"/>
                    <w:rPr>
                      <w:rFonts w:ascii="Times New Roman" w:hAnsi="Times New Roman" w:cs="Times New Roman"/>
                      <w:bCs/>
                      <w:szCs w:val="21"/>
                      <w:lang w:val="en-US"/>
                    </w:rPr>
                  </w:pPr>
                  <w:r>
                    <w:rPr>
                      <w:rFonts w:ascii="Times New Roman" w:hAnsi="Times New Roman" w:cs="Times New Roman"/>
                      <w:b/>
                      <w:szCs w:val="21"/>
                      <w:lang w:val="en-US"/>
                    </w:rPr>
                    <w:t>风电场部分</w:t>
                  </w:r>
                </w:p>
              </w:tc>
            </w:tr>
            <w:tr w14:paraId="5F2E8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restart"/>
                  <w:tcBorders>
                    <w:tl2br w:val="nil"/>
                    <w:tr2bl w:val="nil"/>
                  </w:tcBorders>
                  <w:vAlign w:val="center"/>
                </w:tcPr>
                <w:p w14:paraId="13D03C01">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vMerge w:val="restart"/>
                  <w:tcBorders>
                    <w:tl2br w:val="nil"/>
                    <w:tr2bl w:val="nil"/>
                  </w:tcBorders>
                  <w:vAlign w:val="center"/>
                </w:tcPr>
                <w:p w14:paraId="4F0C737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风力发电机组</w:t>
                  </w:r>
                </w:p>
              </w:tc>
              <w:tc>
                <w:tcPr>
                  <w:tcW w:w="1400" w:type="dxa"/>
                  <w:tcBorders>
                    <w:tl2br w:val="nil"/>
                    <w:tr2bl w:val="nil"/>
                  </w:tcBorders>
                  <w:vAlign w:val="center"/>
                </w:tcPr>
                <w:p w14:paraId="36083D20">
                  <w:pPr>
                    <w:kinsoku w:val="0"/>
                    <w:overflowPunct w:val="0"/>
                    <w:jc w:val="center"/>
                    <w:rPr>
                      <w:bCs/>
                      <w:szCs w:val="21"/>
                    </w:rPr>
                  </w:pPr>
                  <w:r>
                    <w:rPr>
                      <w:bCs/>
                    </w:rPr>
                    <w:t>型式</w:t>
                  </w:r>
                </w:p>
              </w:tc>
              <w:tc>
                <w:tcPr>
                  <w:tcW w:w="2814" w:type="dxa"/>
                  <w:gridSpan w:val="2"/>
                  <w:tcBorders>
                    <w:tl2br w:val="nil"/>
                    <w:tr2bl w:val="nil"/>
                  </w:tcBorders>
                  <w:vAlign w:val="center"/>
                </w:tcPr>
                <w:p w14:paraId="5AE589B0">
                  <w:pPr>
                    <w:kinsoku w:val="0"/>
                    <w:overflowPunct w:val="0"/>
                    <w:jc w:val="center"/>
                    <w:rPr>
                      <w:bCs/>
                      <w:szCs w:val="21"/>
                    </w:rPr>
                  </w:pPr>
                  <w:r>
                    <w:rPr>
                      <w:bCs/>
                    </w:rPr>
                    <w:t>双馈风力发电机组</w:t>
                  </w:r>
                </w:p>
              </w:tc>
              <w:tc>
                <w:tcPr>
                  <w:tcW w:w="758" w:type="dxa"/>
                  <w:vMerge w:val="restart"/>
                  <w:tcBorders>
                    <w:tl2br w:val="nil"/>
                    <w:tr2bl w:val="nil"/>
                  </w:tcBorders>
                  <w:vAlign w:val="center"/>
                </w:tcPr>
                <w:p w14:paraId="14465EA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台</w:t>
                  </w:r>
                </w:p>
              </w:tc>
              <w:tc>
                <w:tcPr>
                  <w:tcW w:w="701" w:type="dxa"/>
                  <w:vMerge w:val="restart"/>
                  <w:tcBorders>
                    <w:tl2br w:val="nil"/>
                    <w:tr2bl w:val="nil"/>
                  </w:tcBorders>
                  <w:vAlign w:val="center"/>
                </w:tcPr>
                <w:p w14:paraId="41203311">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46</w:t>
                  </w:r>
                </w:p>
              </w:tc>
            </w:tr>
            <w:tr w14:paraId="20FB1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52E654FC">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4F8F8D9E">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719BD8C0">
                  <w:pPr>
                    <w:kinsoku w:val="0"/>
                    <w:overflowPunct w:val="0"/>
                    <w:jc w:val="center"/>
                    <w:rPr>
                      <w:bCs/>
                    </w:rPr>
                  </w:pPr>
                  <w:r>
                    <w:rPr>
                      <w:bCs/>
                    </w:rPr>
                    <w:t>额定功率</w:t>
                  </w:r>
                </w:p>
              </w:tc>
              <w:tc>
                <w:tcPr>
                  <w:tcW w:w="2814" w:type="dxa"/>
                  <w:gridSpan w:val="2"/>
                  <w:tcBorders>
                    <w:tl2br w:val="nil"/>
                    <w:tr2bl w:val="nil"/>
                  </w:tcBorders>
                  <w:vAlign w:val="center"/>
                </w:tcPr>
                <w:p w14:paraId="6C4C18FD">
                  <w:pPr>
                    <w:kinsoku w:val="0"/>
                    <w:overflowPunct w:val="0"/>
                    <w:jc w:val="center"/>
                    <w:rPr>
                      <w:bCs/>
                    </w:rPr>
                  </w:pPr>
                  <w:r>
                    <w:rPr>
                      <w:bCs/>
                    </w:rPr>
                    <w:t>7700kW</w:t>
                  </w:r>
                </w:p>
              </w:tc>
              <w:tc>
                <w:tcPr>
                  <w:tcW w:w="758" w:type="dxa"/>
                  <w:vMerge w:val="continue"/>
                  <w:tcBorders>
                    <w:tl2br w:val="nil"/>
                    <w:tr2bl w:val="nil"/>
                  </w:tcBorders>
                  <w:vAlign w:val="center"/>
                </w:tcPr>
                <w:p w14:paraId="5BD04154">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7A042514">
                  <w:pPr>
                    <w:pStyle w:val="73"/>
                    <w:kinsoku w:val="0"/>
                    <w:overflowPunct w:val="0"/>
                    <w:jc w:val="center"/>
                    <w:rPr>
                      <w:rFonts w:ascii="Times New Roman" w:hAnsi="Times New Roman" w:cs="Times New Roman"/>
                      <w:bCs/>
                    </w:rPr>
                  </w:pPr>
                </w:p>
              </w:tc>
            </w:tr>
            <w:tr w14:paraId="59621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426" w:type="dxa"/>
                  <w:vMerge w:val="continue"/>
                  <w:tcBorders>
                    <w:tl2br w:val="nil"/>
                    <w:tr2bl w:val="nil"/>
                  </w:tcBorders>
                  <w:vAlign w:val="center"/>
                </w:tcPr>
                <w:p w14:paraId="123466A6">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165A5AA1">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3A31CC5C">
                  <w:pPr>
                    <w:kinsoku w:val="0"/>
                    <w:overflowPunct w:val="0"/>
                    <w:jc w:val="center"/>
                    <w:rPr>
                      <w:bCs/>
                    </w:rPr>
                  </w:pPr>
                  <w:r>
                    <w:rPr>
                      <w:bCs/>
                    </w:rPr>
                    <w:t>额定电压</w:t>
                  </w:r>
                </w:p>
              </w:tc>
              <w:tc>
                <w:tcPr>
                  <w:tcW w:w="2814" w:type="dxa"/>
                  <w:gridSpan w:val="2"/>
                  <w:tcBorders>
                    <w:tl2br w:val="nil"/>
                    <w:tr2bl w:val="nil"/>
                  </w:tcBorders>
                  <w:vAlign w:val="center"/>
                </w:tcPr>
                <w:p w14:paraId="5AE4AD1E">
                  <w:pPr>
                    <w:kinsoku w:val="0"/>
                    <w:overflowPunct w:val="0"/>
                    <w:jc w:val="center"/>
                    <w:rPr>
                      <w:bCs/>
                    </w:rPr>
                  </w:pPr>
                  <w:r>
                    <w:rPr>
                      <w:bCs/>
                    </w:rPr>
                    <w:t>1140V</w:t>
                  </w:r>
                </w:p>
              </w:tc>
              <w:tc>
                <w:tcPr>
                  <w:tcW w:w="758" w:type="dxa"/>
                  <w:vMerge w:val="continue"/>
                  <w:tcBorders>
                    <w:tl2br w:val="nil"/>
                    <w:tr2bl w:val="nil"/>
                  </w:tcBorders>
                  <w:vAlign w:val="center"/>
                </w:tcPr>
                <w:p w14:paraId="1BBE781B">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62BB3D00">
                  <w:pPr>
                    <w:pStyle w:val="73"/>
                    <w:kinsoku w:val="0"/>
                    <w:overflowPunct w:val="0"/>
                    <w:jc w:val="center"/>
                    <w:rPr>
                      <w:rFonts w:ascii="Times New Roman" w:hAnsi="Times New Roman" w:cs="Times New Roman"/>
                      <w:bCs/>
                    </w:rPr>
                  </w:pPr>
                </w:p>
              </w:tc>
            </w:tr>
            <w:tr w14:paraId="7FFE6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5A6C8480">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72F66632">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11E10A93">
                  <w:pPr>
                    <w:kinsoku w:val="0"/>
                    <w:overflowPunct w:val="0"/>
                    <w:jc w:val="center"/>
                    <w:rPr>
                      <w:bCs/>
                    </w:rPr>
                  </w:pPr>
                  <w:r>
                    <w:rPr>
                      <w:bCs/>
                    </w:rPr>
                    <w:t>额定频率</w:t>
                  </w:r>
                </w:p>
              </w:tc>
              <w:tc>
                <w:tcPr>
                  <w:tcW w:w="2814" w:type="dxa"/>
                  <w:gridSpan w:val="2"/>
                  <w:tcBorders>
                    <w:tl2br w:val="nil"/>
                    <w:tr2bl w:val="nil"/>
                  </w:tcBorders>
                  <w:vAlign w:val="center"/>
                </w:tcPr>
                <w:p w14:paraId="0ED5C8C1">
                  <w:pPr>
                    <w:kinsoku w:val="0"/>
                    <w:overflowPunct w:val="0"/>
                    <w:jc w:val="center"/>
                    <w:rPr>
                      <w:bCs/>
                    </w:rPr>
                  </w:pPr>
                  <w:r>
                    <w:rPr>
                      <w:bCs/>
                    </w:rPr>
                    <w:t>50Hz</w:t>
                  </w:r>
                </w:p>
              </w:tc>
              <w:tc>
                <w:tcPr>
                  <w:tcW w:w="758" w:type="dxa"/>
                  <w:vMerge w:val="continue"/>
                  <w:tcBorders>
                    <w:tl2br w:val="nil"/>
                    <w:tr2bl w:val="nil"/>
                  </w:tcBorders>
                  <w:vAlign w:val="center"/>
                </w:tcPr>
                <w:p w14:paraId="5E704786">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1F3C8E79">
                  <w:pPr>
                    <w:pStyle w:val="73"/>
                    <w:kinsoku w:val="0"/>
                    <w:overflowPunct w:val="0"/>
                    <w:jc w:val="center"/>
                    <w:rPr>
                      <w:rFonts w:ascii="Times New Roman" w:hAnsi="Times New Roman" w:cs="Times New Roman"/>
                      <w:bCs/>
                    </w:rPr>
                  </w:pPr>
                </w:p>
              </w:tc>
            </w:tr>
            <w:tr w14:paraId="289DF1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2DF79169">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0B8894BF">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1EB1A707">
                  <w:pPr>
                    <w:kinsoku w:val="0"/>
                    <w:overflowPunct w:val="0"/>
                    <w:jc w:val="center"/>
                    <w:rPr>
                      <w:bCs/>
                    </w:rPr>
                  </w:pPr>
                  <w:r>
                    <w:rPr>
                      <w:bCs/>
                    </w:rPr>
                    <w:t>功率因数</w:t>
                  </w:r>
                </w:p>
              </w:tc>
              <w:tc>
                <w:tcPr>
                  <w:tcW w:w="2814" w:type="dxa"/>
                  <w:gridSpan w:val="2"/>
                  <w:tcBorders>
                    <w:tl2br w:val="nil"/>
                    <w:tr2bl w:val="nil"/>
                  </w:tcBorders>
                  <w:vAlign w:val="center"/>
                </w:tcPr>
                <w:p w14:paraId="21F9A121">
                  <w:pPr>
                    <w:kinsoku w:val="0"/>
                    <w:overflowPunct w:val="0"/>
                    <w:jc w:val="center"/>
                    <w:rPr>
                      <w:bCs/>
                    </w:rPr>
                  </w:pPr>
                  <w:r>
                    <w:rPr>
                      <w:bCs/>
                    </w:rPr>
                    <w:t>-0.95~+0.95</w:t>
                  </w:r>
                </w:p>
              </w:tc>
              <w:tc>
                <w:tcPr>
                  <w:tcW w:w="758" w:type="dxa"/>
                  <w:vMerge w:val="continue"/>
                  <w:tcBorders>
                    <w:tl2br w:val="nil"/>
                    <w:tr2bl w:val="nil"/>
                  </w:tcBorders>
                  <w:vAlign w:val="center"/>
                </w:tcPr>
                <w:p w14:paraId="466EAF38">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16E96716">
                  <w:pPr>
                    <w:pStyle w:val="73"/>
                    <w:kinsoku w:val="0"/>
                    <w:overflowPunct w:val="0"/>
                    <w:jc w:val="center"/>
                    <w:rPr>
                      <w:rFonts w:ascii="Times New Roman" w:hAnsi="Times New Roman" w:cs="Times New Roman"/>
                      <w:bCs/>
                    </w:rPr>
                  </w:pPr>
                </w:p>
              </w:tc>
            </w:tr>
            <w:tr w14:paraId="55AA91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39AEB915">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0F9A4634">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6C783888">
                  <w:pPr>
                    <w:kinsoku w:val="0"/>
                    <w:overflowPunct w:val="0"/>
                    <w:jc w:val="center"/>
                    <w:rPr>
                      <w:bCs/>
                    </w:rPr>
                  </w:pPr>
                  <w:r>
                    <w:rPr>
                      <w:bCs/>
                    </w:rPr>
                    <w:t>绝缘等级</w:t>
                  </w:r>
                </w:p>
              </w:tc>
              <w:tc>
                <w:tcPr>
                  <w:tcW w:w="2814" w:type="dxa"/>
                  <w:gridSpan w:val="2"/>
                  <w:tcBorders>
                    <w:tl2br w:val="nil"/>
                    <w:tr2bl w:val="nil"/>
                  </w:tcBorders>
                  <w:vAlign w:val="center"/>
                </w:tcPr>
                <w:p w14:paraId="0FC94051">
                  <w:pPr>
                    <w:kinsoku w:val="0"/>
                    <w:overflowPunct w:val="0"/>
                    <w:jc w:val="center"/>
                    <w:rPr>
                      <w:bCs/>
                    </w:rPr>
                  </w:pPr>
                  <w:r>
                    <w:rPr>
                      <w:bCs/>
                    </w:rPr>
                    <w:t>F级</w:t>
                  </w:r>
                </w:p>
              </w:tc>
              <w:tc>
                <w:tcPr>
                  <w:tcW w:w="758" w:type="dxa"/>
                  <w:vMerge w:val="continue"/>
                  <w:tcBorders>
                    <w:tl2br w:val="nil"/>
                    <w:tr2bl w:val="nil"/>
                  </w:tcBorders>
                  <w:vAlign w:val="center"/>
                </w:tcPr>
                <w:p w14:paraId="5AB0F0B4">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0C2E529C">
                  <w:pPr>
                    <w:pStyle w:val="73"/>
                    <w:kinsoku w:val="0"/>
                    <w:overflowPunct w:val="0"/>
                    <w:jc w:val="center"/>
                    <w:rPr>
                      <w:rFonts w:ascii="Times New Roman" w:hAnsi="Times New Roman" w:cs="Times New Roman"/>
                      <w:bCs/>
                    </w:rPr>
                  </w:pPr>
                </w:p>
              </w:tc>
            </w:tr>
            <w:tr w14:paraId="21C3C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5F69F37A">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28D6BD81">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24C41F35">
                  <w:pPr>
                    <w:kinsoku w:val="0"/>
                    <w:overflowPunct w:val="0"/>
                    <w:jc w:val="center"/>
                    <w:rPr>
                      <w:bCs/>
                    </w:rPr>
                  </w:pPr>
                  <w:r>
                    <w:rPr>
                      <w:bCs/>
                    </w:rPr>
                    <w:t>冷却方式</w:t>
                  </w:r>
                </w:p>
              </w:tc>
              <w:tc>
                <w:tcPr>
                  <w:tcW w:w="2814" w:type="dxa"/>
                  <w:gridSpan w:val="2"/>
                  <w:tcBorders>
                    <w:tl2br w:val="nil"/>
                    <w:tr2bl w:val="nil"/>
                  </w:tcBorders>
                  <w:vAlign w:val="center"/>
                </w:tcPr>
                <w:p w14:paraId="5FDC3D44">
                  <w:pPr>
                    <w:kinsoku w:val="0"/>
                    <w:overflowPunct w:val="0"/>
                    <w:jc w:val="center"/>
                    <w:rPr>
                      <w:bCs/>
                    </w:rPr>
                  </w:pPr>
                  <w:r>
                    <w:rPr>
                      <w:bCs/>
                    </w:rPr>
                    <w:t>空气冷却</w:t>
                  </w:r>
                </w:p>
              </w:tc>
              <w:tc>
                <w:tcPr>
                  <w:tcW w:w="758" w:type="dxa"/>
                  <w:vMerge w:val="continue"/>
                  <w:tcBorders>
                    <w:tl2br w:val="nil"/>
                    <w:tr2bl w:val="nil"/>
                  </w:tcBorders>
                  <w:vAlign w:val="center"/>
                </w:tcPr>
                <w:p w14:paraId="6BD8544F">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5BBAA280">
                  <w:pPr>
                    <w:pStyle w:val="73"/>
                    <w:kinsoku w:val="0"/>
                    <w:overflowPunct w:val="0"/>
                    <w:jc w:val="center"/>
                    <w:rPr>
                      <w:rFonts w:ascii="Times New Roman" w:hAnsi="Times New Roman" w:cs="Times New Roman"/>
                      <w:bCs/>
                    </w:rPr>
                  </w:pPr>
                </w:p>
              </w:tc>
            </w:tr>
            <w:tr w14:paraId="46762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426" w:type="dxa"/>
                  <w:vMerge w:val="continue"/>
                  <w:tcBorders>
                    <w:tl2br w:val="nil"/>
                    <w:tr2bl w:val="nil"/>
                  </w:tcBorders>
                  <w:vAlign w:val="center"/>
                </w:tcPr>
                <w:p w14:paraId="6ABC7395">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66050EEC">
                  <w:pPr>
                    <w:pStyle w:val="73"/>
                    <w:kinsoku w:val="0"/>
                    <w:overflowPunct w:val="0"/>
                    <w:jc w:val="center"/>
                    <w:rPr>
                      <w:rFonts w:ascii="Times New Roman" w:hAnsi="Times New Roman" w:cs="Times New Roman"/>
                      <w:bCs/>
                    </w:rPr>
                  </w:pPr>
                </w:p>
              </w:tc>
              <w:tc>
                <w:tcPr>
                  <w:tcW w:w="1400" w:type="dxa"/>
                  <w:tcBorders>
                    <w:tl2br w:val="nil"/>
                    <w:tr2bl w:val="nil"/>
                  </w:tcBorders>
                  <w:vAlign w:val="center"/>
                </w:tcPr>
                <w:p w14:paraId="290D46CA">
                  <w:pPr>
                    <w:kinsoku w:val="0"/>
                    <w:overflowPunct w:val="0"/>
                    <w:jc w:val="center"/>
                    <w:rPr>
                      <w:bCs/>
                    </w:rPr>
                  </w:pPr>
                  <w:r>
                    <w:rPr>
                      <w:bCs/>
                    </w:rPr>
                    <w:t>防护等级</w:t>
                  </w:r>
                </w:p>
              </w:tc>
              <w:tc>
                <w:tcPr>
                  <w:tcW w:w="2814" w:type="dxa"/>
                  <w:gridSpan w:val="2"/>
                  <w:tcBorders>
                    <w:tl2br w:val="nil"/>
                    <w:tr2bl w:val="nil"/>
                  </w:tcBorders>
                  <w:vAlign w:val="center"/>
                </w:tcPr>
                <w:p w14:paraId="4A81D7C8">
                  <w:pPr>
                    <w:kinsoku w:val="0"/>
                    <w:overflowPunct w:val="0"/>
                    <w:jc w:val="center"/>
                    <w:rPr>
                      <w:bCs/>
                    </w:rPr>
                  </w:pPr>
                  <w:r>
                    <w:rPr>
                      <w:bCs/>
                    </w:rPr>
                    <w:t>IP54</w:t>
                  </w:r>
                </w:p>
              </w:tc>
              <w:tc>
                <w:tcPr>
                  <w:tcW w:w="758" w:type="dxa"/>
                  <w:vMerge w:val="continue"/>
                  <w:tcBorders>
                    <w:tl2br w:val="nil"/>
                    <w:tr2bl w:val="nil"/>
                  </w:tcBorders>
                  <w:vAlign w:val="center"/>
                </w:tcPr>
                <w:p w14:paraId="18E61905">
                  <w:pPr>
                    <w:pStyle w:val="73"/>
                    <w:kinsoku w:val="0"/>
                    <w:overflowPunct w:val="0"/>
                    <w:jc w:val="center"/>
                    <w:rPr>
                      <w:rFonts w:ascii="Times New Roman" w:hAnsi="Times New Roman" w:cs="Times New Roman"/>
                      <w:bCs/>
                    </w:rPr>
                  </w:pPr>
                </w:p>
              </w:tc>
              <w:tc>
                <w:tcPr>
                  <w:tcW w:w="701" w:type="dxa"/>
                  <w:vMerge w:val="continue"/>
                  <w:tcBorders>
                    <w:tl2br w:val="nil"/>
                    <w:tr2bl w:val="nil"/>
                  </w:tcBorders>
                  <w:vAlign w:val="center"/>
                </w:tcPr>
                <w:p w14:paraId="0BD04D1D">
                  <w:pPr>
                    <w:pStyle w:val="73"/>
                    <w:kinsoku w:val="0"/>
                    <w:overflowPunct w:val="0"/>
                    <w:jc w:val="center"/>
                    <w:rPr>
                      <w:rFonts w:ascii="Times New Roman" w:hAnsi="Times New Roman" w:cs="Times New Roman"/>
                      <w:bCs/>
                    </w:rPr>
                  </w:pPr>
                </w:p>
              </w:tc>
            </w:tr>
            <w:tr w14:paraId="19C582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restart"/>
                  <w:tcBorders>
                    <w:tl2br w:val="nil"/>
                    <w:tr2bl w:val="nil"/>
                  </w:tcBorders>
                  <w:vAlign w:val="center"/>
                </w:tcPr>
                <w:p w14:paraId="75C77521">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2</w:t>
                  </w:r>
                </w:p>
              </w:tc>
              <w:tc>
                <w:tcPr>
                  <w:tcW w:w="2163" w:type="dxa"/>
                  <w:vMerge w:val="restart"/>
                  <w:tcBorders>
                    <w:tl2br w:val="nil"/>
                    <w:tr2bl w:val="nil"/>
                  </w:tcBorders>
                  <w:vAlign w:val="center"/>
                </w:tcPr>
                <w:p w14:paraId="5F618FA0">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35kV 箱式变</w:t>
                  </w:r>
                </w:p>
                <w:p w14:paraId="067B5737">
                  <w:pPr>
                    <w:pStyle w:val="73"/>
                    <w:kinsoku w:val="0"/>
                    <w:overflowPunct w:val="0"/>
                    <w:jc w:val="center"/>
                    <w:rPr>
                      <w:rFonts w:ascii="Times New Roman" w:hAnsi="Times New Roman" w:cs="Times New Roman"/>
                      <w:bCs/>
                      <w:lang w:val="en-US"/>
                    </w:rPr>
                  </w:pPr>
                  <w:r>
                    <w:rPr>
                      <w:rFonts w:ascii="Times New Roman" w:hAnsi="Times New Roman" w:cs="Times New Roman"/>
                      <w:bCs/>
                      <w:lang w:val="en-US"/>
                    </w:rPr>
                    <w:t>压器</w:t>
                  </w:r>
                </w:p>
              </w:tc>
              <w:tc>
                <w:tcPr>
                  <w:tcW w:w="1400" w:type="dxa"/>
                  <w:tcBorders>
                    <w:tl2br w:val="nil"/>
                    <w:tr2bl w:val="nil"/>
                  </w:tcBorders>
                  <w:vAlign w:val="center"/>
                </w:tcPr>
                <w:p w14:paraId="39192612">
                  <w:pPr>
                    <w:kinsoku w:val="0"/>
                    <w:overflowPunct w:val="0"/>
                    <w:jc w:val="center"/>
                    <w:rPr>
                      <w:bCs/>
                    </w:rPr>
                  </w:pPr>
                  <w:r>
                    <w:rPr>
                      <w:bCs/>
                    </w:rPr>
                    <w:t>型式</w:t>
                  </w:r>
                </w:p>
              </w:tc>
              <w:tc>
                <w:tcPr>
                  <w:tcW w:w="2814" w:type="dxa"/>
                  <w:gridSpan w:val="2"/>
                  <w:tcBorders>
                    <w:tl2br w:val="nil"/>
                    <w:tr2bl w:val="nil"/>
                  </w:tcBorders>
                  <w:vAlign w:val="center"/>
                </w:tcPr>
                <w:p w14:paraId="6C28EB59">
                  <w:pPr>
                    <w:kinsoku w:val="0"/>
                    <w:overflowPunct w:val="0"/>
                    <w:jc w:val="center"/>
                    <w:rPr>
                      <w:bCs/>
                    </w:rPr>
                  </w:pPr>
                  <w:r>
                    <w:rPr>
                      <w:bCs/>
                    </w:rPr>
                    <w:t>华式箱变</w:t>
                  </w:r>
                </w:p>
              </w:tc>
              <w:tc>
                <w:tcPr>
                  <w:tcW w:w="758" w:type="dxa"/>
                  <w:vMerge w:val="restart"/>
                  <w:tcBorders>
                    <w:tl2br w:val="nil"/>
                    <w:tr2bl w:val="nil"/>
                  </w:tcBorders>
                  <w:vAlign w:val="center"/>
                </w:tcPr>
                <w:p w14:paraId="6EF97717">
                  <w:pPr>
                    <w:pStyle w:val="73"/>
                    <w:kinsoku w:val="0"/>
                    <w:overflowPunct w:val="0"/>
                    <w:jc w:val="center"/>
                    <w:rPr>
                      <w:rFonts w:ascii="Times New Roman" w:hAnsi="Times New Roman" w:cs="Times New Roman"/>
                      <w:bCs/>
                      <w:lang w:val="en-US"/>
                    </w:rPr>
                  </w:pPr>
                  <w:r>
                    <w:rPr>
                      <w:rFonts w:ascii="Times New Roman" w:hAnsi="Times New Roman" w:cs="Times New Roman"/>
                      <w:bCs/>
                      <w:szCs w:val="21"/>
                      <w:lang w:val="en-US"/>
                    </w:rPr>
                    <w:t>台</w:t>
                  </w:r>
                </w:p>
              </w:tc>
              <w:tc>
                <w:tcPr>
                  <w:tcW w:w="701" w:type="dxa"/>
                  <w:vMerge w:val="restart"/>
                  <w:tcBorders>
                    <w:tl2br w:val="nil"/>
                    <w:tr2bl w:val="nil"/>
                  </w:tcBorders>
                  <w:vAlign w:val="center"/>
                </w:tcPr>
                <w:p w14:paraId="5EE5F998">
                  <w:pPr>
                    <w:pStyle w:val="73"/>
                    <w:kinsoku w:val="0"/>
                    <w:overflowPunct w:val="0"/>
                    <w:jc w:val="center"/>
                    <w:rPr>
                      <w:rFonts w:ascii="Times New Roman" w:hAnsi="Times New Roman" w:cs="Times New Roman"/>
                      <w:bCs/>
                    </w:rPr>
                  </w:pPr>
                  <w:r>
                    <w:rPr>
                      <w:rFonts w:ascii="Times New Roman" w:hAnsi="Times New Roman" w:cs="Times New Roman"/>
                      <w:bCs/>
                      <w:szCs w:val="21"/>
                      <w:lang w:val="en-US"/>
                    </w:rPr>
                    <w:t>46</w:t>
                  </w:r>
                </w:p>
              </w:tc>
            </w:tr>
            <w:tr w14:paraId="57A5C7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34469AE5">
                  <w:pPr>
                    <w:kinsoku w:val="0"/>
                    <w:overflowPunct w:val="0"/>
                    <w:jc w:val="center"/>
                    <w:rPr>
                      <w:bCs/>
                    </w:rPr>
                  </w:pPr>
                </w:p>
              </w:tc>
              <w:tc>
                <w:tcPr>
                  <w:tcW w:w="2163" w:type="dxa"/>
                  <w:vMerge w:val="continue"/>
                  <w:tcBorders>
                    <w:tl2br w:val="nil"/>
                    <w:tr2bl w:val="nil"/>
                  </w:tcBorders>
                  <w:vAlign w:val="center"/>
                </w:tcPr>
                <w:p w14:paraId="18042314">
                  <w:pPr>
                    <w:kinsoku w:val="0"/>
                    <w:overflowPunct w:val="0"/>
                    <w:jc w:val="center"/>
                    <w:rPr>
                      <w:bCs/>
                    </w:rPr>
                  </w:pPr>
                </w:p>
              </w:tc>
              <w:tc>
                <w:tcPr>
                  <w:tcW w:w="1400" w:type="dxa"/>
                  <w:tcBorders>
                    <w:tl2br w:val="nil"/>
                    <w:tr2bl w:val="nil"/>
                  </w:tcBorders>
                  <w:vAlign w:val="center"/>
                </w:tcPr>
                <w:p w14:paraId="45060FE7">
                  <w:pPr>
                    <w:kinsoku w:val="0"/>
                    <w:overflowPunct w:val="0"/>
                    <w:jc w:val="center"/>
                    <w:rPr>
                      <w:bCs/>
                    </w:rPr>
                  </w:pPr>
                  <w:r>
                    <w:rPr>
                      <w:bCs/>
                    </w:rPr>
                    <w:t>型号</w:t>
                  </w:r>
                </w:p>
              </w:tc>
              <w:tc>
                <w:tcPr>
                  <w:tcW w:w="2814" w:type="dxa"/>
                  <w:gridSpan w:val="2"/>
                  <w:tcBorders>
                    <w:tl2br w:val="nil"/>
                    <w:tr2bl w:val="nil"/>
                  </w:tcBorders>
                  <w:vAlign w:val="center"/>
                </w:tcPr>
                <w:p w14:paraId="7913846D">
                  <w:pPr>
                    <w:kinsoku w:val="0"/>
                    <w:overflowPunct w:val="0"/>
                    <w:jc w:val="center"/>
                    <w:rPr>
                      <w:bCs/>
                    </w:rPr>
                  </w:pPr>
                  <w:r>
                    <w:rPr>
                      <w:bCs/>
                    </w:rPr>
                    <w:t>S18-8500/35</w:t>
                  </w:r>
                </w:p>
              </w:tc>
              <w:tc>
                <w:tcPr>
                  <w:tcW w:w="758" w:type="dxa"/>
                  <w:vMerge w:val="continue"/>
                  <w:tcBorders>
                    <w:tl2br w:val="nil"/>
                    <w:tr2bl w:val="nil"/>
                  </w:tcBorders>
                  <w:vAlign w:val="center"/>
                </w:tcPr>
                <w:p w14:paraId="418FEFAE">
                  <w:pPr>
                    <w:kinsoku w:val="0"/>
                    <w:overflowPunct w:val="0"/>
                    <w:jc w:val="center"/>
                    <w:rPr>
                      <w:bCs/>
                    </w:rPr>
                  </w:pPr>
                </w:p>
              </w:tc>
              <w:tc>
                <w:tcPr>
                  <w:tcW w:w="701" w:type="dxa"/>
                  <w:vMerge w:val="continue"/>
                  <w:tcBorders>
                    <w:tl2br w:val="nil"/>
                    <w:tr2bl w:val="nil"/>
                  </w:tcBorders>
                  <w:vAlign w:val="center"/>
                </w:tcPr>
                <w:p w14:paraId="03EDCFED">
                  <w:pPr>
                    <w:kinsoku w:val="0"/>
                    <w:overflowPunct w:val="0"/>
                    <w:jc w:val="center"/>
                    <w:rPr>
                      <w:bCs/>
                    </w:rPr>
                  </w:pPr>
                </w:p>
              </w:tc>
            </w:tr>
            <w:tr w14:paraId="207B13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7123E900">
                  <w:pPr>
                    <w:kinsoku w:val="0"/>
                    <w:overflowPunct w:val="0"/>
                    <w:jc w:val="center"/>
                    <w:rPr>
                      <w:bCs/>
                    </w:rPr>
                  </w:pPr>
                </w:p>
              </w:tc>
              <w:tc>
                <w:tcPr>
                  <w:tcW w:w="2163" w:type="dxa"/>
                  <w:vMerge w:val="continue"/>
                  <w:tcBorders>
                    <w:tl2br w:val="nil"/>
                    <w:tr2bl w:val="nil"/>
                  </w:tcBorders>
                  <w:vAlign w:val="center"/>
                </w:tcPr>
                <w:p w14:paraId="27A87E61">
                  <w:pPr>
                    <w:kinsoku w:val="0"/>
                    <w:overflowPunct w:val="0"/>
                    <w:jc w:val="center"/>
                    <w:rPr>
                      <w:bCs/>
                    </w:rPr>
                  </w:pPr>
                </w:p>
              </w:tc>
              <w:tc>
                <w:tcPr>
                  <w:tcW w:w="1400" w:type="dxa"/>
                  <w:tcBorders>
                    <w:tl2br w:val="nil"/>
                    <w:tr2bl w:val="nil"/>
                  </w:tcBorders>
                  <w:vAlign w:val="center"/>
                </w:tcPr>
                <w:p w14:paraId="7238C09F">
                  <w:pPr>
                    <w:kinsoku w:val="0"/>
                    <w:overflowPunct w:val="0"/>
                    <w:jc w:val="center"/>
                    <w:rPr>
                      <w:bCs/>
                    </w:rPr>
                  </w:pPr>
                  <w:r>
                    <w:rPr>
                      <w:bCs/>
                    </w:rPr>
                    <w:t>额定容量</w:t>
                  </w:r>
                </w:p>
              </w:tc>
              <w:tc>
                <w:tcPr>
                  <w:tcW w:w="2814" w:type="dxa"/>
                  <w:gridSpan w:val="2"/>
                  <w:tcBorders>
                    <w:tl2br w:val="nil"/>
                    <w:tr2bl w:val="nil"/>
                  </w:tcBorders>
                  <w:vAlign w:val="center"/>
                </w:tcPr>
                <w:p w14:paraId="049A001D">
                  <w:pPr>
                    <w:kinsoku w:val="0"/>
                    <w:overflowPunct w:val="0"/>
                    <w:jc w:val="center"/>
                    <w:rPr>
                      <w:bCs/>
                    </w:rPr>
                  </w:pPr>
                  <w:r>
                    <w:rPr>
                      <w:bCs/>
                    </w:rPr>
                    <w:t>8500kVA</w:t>
                  </w:r>
                </w:p>
              </w:tc>
              <w:tc>
                <w:tcPr>
                  <w:tcW w:w="758" w:type="dxa"/>
                  <w:vMerge w:val="continue"/>
                  <w:tcBorders>
                    <w:tl2br w:val="nil"/>
                    <w:tr2bl w:val="nil"/>
                  </w:tcBorders>
                  <w:vAlign w:val="center"/>
                </w:tcPr>
                <w:p w14:paraId="127B73E1">
                  <w:pPr>
                    <w:kinsoku w:val="0"/>
                    <w:overflowPunct w:val="0"/>
                    <w:jc w:val="center"/>
                    <w:rPr>
                      <w:bCs/>
                    </w:rPr>
                  </w:pPr>
                </w:p>
              </w:tc>
              <w:tc>
                <w:tcPr>
                  <w:tcW w:w="701" w:type="dxa"/>
                  <w:vMerge w:val="continue"/>
                  <w:tcBorders>
                    <w:tl2br w:val="nil"/>
                    <w:tr2bl w:val="nil"/>
                  </w:tcBorders>
                  <w:vAlign w:val="center"/>
                </w:tcPr>
                <w:p w14:paraId="04693170">
                  <w:pPr>
                    <w:kinsoku w:val="0"/>
                    <w:overflowPunct w:val="0"/>
                    <w:jc w:val="center"/>
                    <w:rPr>
                      <w:bCs/>
                    </w:rPr>
                  </w:pPr>
                </w:p>
              </w:tc>
            </w:tr>
            <w:tr w14:paraId="07CAC4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1D052DF8">
                  <w:pPr>
                    <w:kinsoku w:val="0"/>
                    <w:overflowPunct w:val="0"/>
                    <w:jc w:val="center"/>
                    <w:rPr>
                      <w:bCs/>
                    </w:rPr>
                  </w:pPr>
                </w:p>
              </w:tc>
              <w:tc>
                <w:tcPr>
                  <w:tcW w:w="2163" w:type="dxa"/>
                  <w:vMerge w:val="continue"/>
                  <w:tcBorders>
                    <w:tl2br w:val="nil"/>
                    <w:tr2bl w:val="nil"/>
                  </w:tcBorders>
                  <w:vAlign w:val="center"/>
                </w:tcPr>
                <w:p w14:paraId="7957A459">
                  <w:pPr>
                    <w:kinsoku w:val="0"/>
                    <w:overflowPunct w:val="0"/>
                    <w:jc w:val="center"/>
                    <w:rPr>
                      <w:bCs/>
                    </w:rPr>
                  </w:pPr>
                </w:p>
              </w:tc>
              <w:tc>
                <w:tcPr>
                  <w:tcW w:w="1400" w:type="dxa"/>
                  <w:tcBorders>
                    <w:tl2br w:val="nil"/>
                    <w:tr2bl w:val="nil"/>
                  </w:tcBorders>
                  <w:vAlign w:val="center"/>
                </w:tcPr>
                <w:p w14:paraId="091CE148">
                  <w:pPr>
                    <w:kinsoku w:val="0"/>
                    <w:overflowPunct w:val="0"/>
                    <w:jc w:val="center"/>
                    <w:rPr>
                      <w:bCs/>
                    </w:rPr>
                  </w:pPr>
                  <w:r>
                    <w:rPr>
                      <w:bCs/>
                    </w:rPr>
                    <w:t>额定电压</w:t>
                  </w:r>
                </w:p>
              </w:tc>
              <w:tc>
                <w:tcPr>
                  <w:tcW w:w="2814" w:type="dxa"/>
                  <w:gridSpan w:val="2"/>
                  <w:tcBorders>
                    <w:tl2br w:val="nil"/>
                    <w:tr2bl w:val="nil"/>
                  </w:tcBorders>
                  <w:vAlign w:val="center"/>
                </w:tcPr>
                <w:p w14:paraId="1652F83F">
                  <w:pPr>
                    <w:kinsoku w:val="0"/>
                    <w:overflowPunct w:val="0"/>
                    <w:jc w:val="center"/>
                    <w:rPr>
                      <w:bCs/>
                    </w:rPr>
                  </w:pPr>
                  <w:r>
                    <w:rPr>
                      <w:bCs/>
                    </w:rPr>
                    <w:t>1140V</w:t>
                  </w:r>
                </w:p>
              </w:tc>
              <w:tc>
                <w:tcPr>
                  <w:tcW w:w="758" w:type="dxa"/>
                  <w:vMerge w:val="continue"/>
                  <w:tcBorders>
                    <w:tl2br w:val="nil"/>
                    <w:tr2bl w:val="nil"/>
                  </w:tcBorders>
                  <w:vAlign w:val="center"/>
                </w:tcPr>
                <w:p w14:paraId="72F5F973">
                  <w:pPr>
                    <w:kinsoku w:val="0"/>
                    <w:overflowPunct w:val="0"/>
                    <w:jc w:val="center"/>
                    <w:rPr>
                      <w:bCs/>
                    </w:rPr>
                  </w:pPr>
                </w:p>
              </w:tc>
              <w:tc>
                <w:tcPr>
                  <w:tcW w:w="701" w:type="dxa"/>
                  <w:vMerge w:val="continue"/>
                  <w:tcBorders>
                    <w:tl2br w:val="nil"/>
                    <w:tr2bl w:val="nil"/>
                  </w:tcBorders>
                  <w:vAlign w:val="center"/>
                </w:tcPr>
                <w:p w14:paraId="37E0F089">
                  <w:pPr>
                    <w:kinsoku w:val="0"/>
                    <w:overflowPunct w:val="0"/>
                    <w:jc w:val="center"/>
                    <w:rPr>
                      <w:bCs/>
                    </w:rPr>
                  </w:pPr>
                </w:p>
              </w:tc>
            </w:tr>
            <w:tr w14:paraId="21B969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4BFAA729">
                  <w:pPr>
                    <w:kinsoku w:val="0"/>
                    <w:overflowPunct w:val="0"/>
                    <w:jc w:val="center"/>
                    <w:rPr>
                      <w:bCs/>
                    </w:rPr>
                  </w:pPr>
                </w:p>
              </w:tc>
              <w:tc>
                <w:tcPr>
                  <w:tcW w:w="2163" w:type="dxa"/>
                  <w:vMerge w:val="continue"/>
                  <w:tcBorders>
                    <w:tl2br w:val="nil"/>
                    <w:tr2bl w:val="nil"/>
                  </w:tcBorders>
                  <w:vAlign w:val="center"/>
                </w:tcPr>
                <w:p w14:paraId="307437D5">
                  <w:pPr>
                    <w:kinsoku w:val="0"/>
                    <w:overflowPunct w:val="0"/>
                    <w:jc w:val="center"/>
                    <w:rPr>
                      <w:bCs/>
                    </w:rPr>
                  </w:pPr>
                </w:p>
              </w:tc>
              <w:tc>
                <w:tcPr>
                  <w:tcW w:w="1400" w:type="dxa"/>
                  <w:tcBorders>
                    <w:tl2br w:val="nil"/>
                    <w:tr2bl w:val="nil"/>
                  </w:tcBorders>
                  <w:vAlign w:val="center"/>
                </w:tcPr>
                <w:p w14:paraId="3A11916C">
                  <w:pPr>
                    <w:kinsoku w:val="0"/>
                    <w:overflowPunct w:val="0"/>
                    <w:jc w:val="center"/>
                    <w:rPr>
                      <w:bCs/>
                    </w:rPr>
                  </w:pPr>
                  <w:r>
                    <w:rPr>
                      <w:bCs/>
                    </w:rPr>
                    <w:t>额定电压比</w:t>
                  </w:r>
                </w:p>
              </w:tc>
              <w:tc>
                <w:tcPr>
                  <w:tcW w:w="2814" w:type="dxa"/>
                  <w:gridSpan w:val="2"/>
                  <w:tcBorders>
                    <w:tl2br w:val="nil"/>
                    <w:tr2bl w:val="nil"/>
                  </w:tcBorders>
                  <w:vAlign w:val="center"/>
                </w:tcPr>
                <w:p w14:paraId="43C15F23">
                  <w:pPr>
                    <w:kinsoku w:val="0"/>
                    <w:overflowPunct w:val="0"/>
                    <w:jc w:val="center"/>
                    <w:rPr>
                      <w:bCs/>
                    </w:rPr>
                  </w:pPr>
                  <w:r>
                    <w:rPr>
                      <w:bCs/>
                    </w:rPr>
                    <w:t>37±2×2.5%/1.14kV</w:t>
                  </w:r>
                </w:p>
              </w:tc>
              <w:tc>
                <w:tcPr>
                  <w:tcW w:w="758" w:type="dxa"/>
                  <w:vMerge w:val="continue"/>
                  <w:tcBorders>
                    <w:tl2br w:val="nil"/>
                    <w:tr2bl w:val="nil"/>
                  </w:tcBorders>
                  <w:vAlign w:val="center"/>
                </w:tcPr>
                <w:p w14:paraId="48859F7E">
                  <w:pPr>
                    <w:kinsoku w:val="0"/>
                    <w:overflowPunct w:val="0"/>
                    <w:jc w:val="center"/>
                    <w:rPr>
                      <w:bCs/>
                    </w:rPr>
                  </w:pPr>
                </w:p>
              </w:tc>
              <w:tc>
                <w:tcPr>
                  <w:tcW w:w="701" w:type="dxa"/>
                  <w:vMerge w:val="continue"/>
                  <w:tcBorders>
                    <w:tl2br w:val="nil"/>
                    <w:tr2bl w:val="nil"/>
                  </w:tcBorders>
                  <w:vAlign w:val="center"/>
                </w:tcPr>
                <w:p w14:paraId="209D541F">
                  <w:pPr>
                    <w:kinsoku w:val="0"/>
                    <w:overflowPunct w:val="0"/>
                    <w:jc w:val="center"/>
                    <w:rPr>
                      <w:bCs/>
                    </w:rPr>
                  </w:pPr>
                </w:p>
              </w:tc>
            </w:tr>
            <w:tr w14:paraId="73FB8E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5F8D7CEC">
                  <w:pPr>
                    <w:kinsoku w:val="0"/>
                    <w:overflowPunct w:val="0"/>
                    <w:jc w:val="center"/>
                    <w:rPr>
                      <w:bCs/>
                    </w:rPr>
                  </w:pPr>
                </w:p>
              </w:tc>
              <w:tc>
                <w:tcPr>
                  <w:tcW w:w="2163" w:type="dxa"/>
                  <w:vMerge w:val="continue"/>
                  <w:tcBorders>
                    <w:tl2br w:val="nil"/>
                    <w:tr2bl w:val="nil"/>
                  </w:tcBorders>
                  <w:vAlign w:val="center"/>
                </w:tcPr>
                <w:p w14:paraId="4AF7E7C4">
                  <w:pPr>
                    <w:kinsoku w:val="0"/>
                    <w:overflowPunct w:val="0"/>
                    <w:jc w:val="center"/>
                    <w:rPr>
                      <w:bCs/>
                    </w:rPr>
                  </w:pPr>
                </w:p>
              </w:tc>
              <w:tc>
                <w:tcPr>
                  <w:tcW w:w="1400" w:type="dxa"/>
                  <w:tcBorders>
                    <w:tl2br w:val="nil"/>
                    <w:tr2bl w:val="nil"/>
                  </w:tcBorders>
                  <w:vAlign w:val="center"/>
                </w:tcPr>
                <w:p w14:paraId="15A8BE15">
                  <w:pPr>
                    <w:kinsoku w:val="0"/>
                    <w:overflowPunct w:val="0"/>
                    <w:jc w:val="center"/>
                    <w:rPr>
                      <w:bCs/>
                    </w:rPr>
                  </w:pPr>
                  <w:r>
                    <w:rPr>
                      <w:bCs/>
                    </w:rPr>
                    <w:t>接线组别</w:t>
                  </w:r>
                </w:p>
              </w:tc>
              <w:tc>
                <w:tcPr>
                  <w:tcW w:w="2814" w:type="dxa"/>
                  <w:gridSpan w:val="2"/>
                  <w:tcBorders>
                    <w:tl2br w:val="nil"/>
                    <w:tr2bl w:val="nil"/>
                  </w:tcBorders>
                  <w:vAlign w:val="center"/>
                </w:tcPr>
                <w:p w14:paraId="7558E508">
                  <w:pPr>
                    <w:kinsoku w:val="0"/>
                    <w:overflowPunct w:val="0"/>
                    <w:jc w:val="center"/>
                    <w:rPr>
                      <w:bCs/>
                    </w:rPr>
                  </w:pPr>
                  <w:r>
                    <w:rPr>
                      <w:bCs/>
                    </w:rPr>
                    <w:t>Dyn11</w:t>
                  </w:r>
                </w:p>
              </w:tc>
              <w:tc>
                <w:tcPr>
                  <w:tcW w:w="758" w:type="dxa"/>
                  <w:vMerge w:val="continue"/>
                  <w:tcBorders>
                    <w:tl2br w:val="nil"/>
                    <w:tr2bl w:val="nil"/>
                  </w:tcBorders>
                  <w:vAlign w:val="center"/>
                </w:tcPr>
                <w:p w14:paraId="726685AF">
                  <w:pPr>
                    <w:kinsoku w:val="0"/>
                    <w:overflowPunct w:val="0"/>
                    <w:jc w:val="center"/>
                    <w:rPr>
                      <w:bCs/>
                    </w:rPr>
                  </w:pPr>
                </w:p>
              </w:tc>
              <w:tc>
                <w:tcPr>
                  <w:tcW w:w="701" w:type="dxa"/>
                  <w:vMerge w:val="continue"/>
                  <w:tcBorders>
                    <w:tl2br w:val="nil"/>
                    <w:tr2bl w:val="nil"/>
                  </w:tcBorders>
                  <w:vAlign w:val="center"/>
                </w:tcPr>
                <w:p w14:paraId="0BD4E961">
                  <w:pPr>
                    <w:kinsoku w:val="0"/>
                    <w:overflowPunct w:val="0"/>
                    <w:jc w:val="center"/>
                    <w:rPr>
                      <w:bCs/>
                    </w:rPr>
                  </w:pPr>
                </w:p>
              </w:tc>
            </w:tr>
            <w:tr w14:paraId="29D887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24B7F1F1">
                  <w:pPr>
                    <w:kinsoku w:val="0"/>
                    <w:overflowPunct w:val="0"/>
                    <w:jc w:val="center"/>
                    <w:rPr>
                      <w:bCs/>
                    </w:rPr>
                  </w:pPr>
                </w:p>
              </w:tc>
              <w:tc>
                <w:tcPr>
                  <w:tcW w:w="2163" w:type="dxa"/>
                  <w:vMerge w:val="continue"/>
                  <w:tcBorders>
                    <w:tl2br w:val="nil"/>
                    <w:tr2bl w:val="nil"/>
                  </w:tcBorders>
                  <w:vAlign w:val="center"/>
                </w:tcPr>
                <w:p w14:paraId="300B5FF9">
                  <w:pPr>
                    <w:kinsoku w:val="0"/>
                    <w:overflowPunct w:val="0"/>
                    <w:jc w:val="center"/>
                    <w:rPr>
                      <w:bCs/>
                    </w:rPr>
                  </w:pPr>
                </w:p>
              </w:tc>
              <w:tc>
                <w:tcPr>
                  <w:tcW w:w="1400" w:type="dxa"/>
                  <w:tcBorders>
                    <w:tl2br w:val="nil"/>
                    <w:tr2bl w:val="nil"/>
                  </w:tcBorders>
                  <w:vAlign w:val="center"/>
                </w:tcPr>
                <w:p w14:paraId="28C196FF">
                  <w:pPr>
                    <w:kinsoku w:val="0"/>
                    <w:overflowPunct w:val="0"/>
                    <w:jc w:val="center"/>
                    <w:rPr>
                      <w:bCs/>
                    </w:rPr>
                  </w:pPr>
                  <w:r>
                    <w:rPr>
                      <w:bCs/>
                    </w:rPr>
                    <w:t>调压方式</w:t>
                  </w:r>
                </w:p>
              </w:tc>
              <w:tc>
                <w:tcPr>
                  <w:tcW w:w="2814" w:type="dxa"/>
                  <w:gridSpan w:val="2"/>
                  <w:tcBorders>
                    <w:tl2br w:val="nil"/>
                    <w:tr2bl w:val="nil"/>
                  </w:tcBorders>
                  <w:vAlign w:val="center"/>
                </w:tcPr>
                <w:p w14:paraId="6D2436A9">
                  <w:pPr>
                    <w:kinsoku w:val="0"/>
                    <w:overflowPunct w:val="0"/>
                    <w:jc w:val="center"/>
                    <w:rPr>
                      <w:bCs/>
                    </w:rPr>
                  </w:pPr>
                  <w:r>
                    <w:rPr>
                      <w:bCs/>
                    </w:rPr>
                    <w:t>无载调压</w:t>
                  </w:r>
                </w:p>
              </w:tc>
              <w:tc>
                <w:tcPr>
                  <w:tcW w:w="758" w:type="dxa"/>
                  <w:vMerge w:val="continue"/>
                  <w:tcBorders>
                    <w:tl2br w:val="nil"/>
                    <w:tr2bl w:val="nil"/>
                  </w:tcBorders>
                  <w:vAlign w:val="center"/>
                </w:tcPr>
                <w:p w14:paraId="6FD31BEA">
                  <w:pPr>
                    <w:kinsoku w:val="0"/>
                    <w:overflowPunct w:val="0"/>
                    <w:jc w:val="center"/>
                    <w:rPr>
                      <w:bCs/>
                    </w:rPr>
                  </w:pPr>
                </w:p>
              </w:tc>
              <w:tc>
                <w:tcPr>
                  <w:tcW w:w="701" w:type="dxa"/>
                  <w:vMerge w:val="continue"/>
                  <w:tcBorders>
                    <w:tl2br w:val="nil"/>
                    <w:tr2bl w:val="nil"/>
                  </w:tcBorders>
                  <w:vAlign w:val="center"/>
                </w:tcPr>
                <w:p w14:paraId="4FAD71DB">
                  <w:pPr>
                    <w:kinsoku w:val="0"/>
                    <w:overflowPunct w:val="0"/>
                    <w:jc w:val="center"/>
                    <w:rPr>
                      <w:bCs/>
                    </w:rPr>
                  </w:pPr>
                </w:p>
              </w:tc>
            </w:tr>
            <w:tr w14:paraId="1B196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4F6C0F1A">
                  <w:pPr>
                    <w:kinsoku w:val="0"/>
                    <w:overflowPunct w:val="0"/>
                    <w:jc w:val="center"/>
                    <w:rPr>
                      <w:bCs/>
                    </w:rPr>
                  </w:pPr>
                </w:p>
              </w:tc>
              <w:tc>
                <w:tcPr>
                  <w:tcW w:w="2163" w:type="dxa"/>
                  <w:vMerge w:val="continue"/>
                  <w:tcBorders>
                    <w:tl2br w:val="nil"/>
                    <w:tr2bl w:val="nil"/>
                  </w:tcBorders>
                  <w:vAlign w:val="center"/>
                </w:tcPr>
                <w:p w14:paraId="764B9298">
                  <w:pPr>
                    <w:kinsoku w:val="0"/>
                    <w:overflowPunct w:val="0"/>
                    <w:jc w:val="center"/>
                    <w:rPr>
                      <w:bCs/>
                    </w:rPr>
                  </w:pPr>
                </w:p>
              </w:tc>
              <w:tc>
                <w:tcPr>
                  <w:tcW w:w="1400" w:type="dxa"/>
                  <w:tcBorders>
                    <w:tl2br w:val="nil"/>
                    <w:tr2bl w:val="nil"/>
                  </w:tcBorders>
                  <w:vAlign w:val="center"/>
                </w:tcPr>
                <w:p w14:paraId="0D40B251">
                  <w:pPr>
                    <w:kinsoku w:val="0"/>
                    <w:overflowPunct w:val="0"/>
                    <w:jc w:val="center"/>
                    <w:rPr>
                      <w:bCs/>
                    </w:rPr>
                  </w:pPr>
                  <w:r>
                    <w:rPr>
                      <w:bCs/>
                    </w:rPr>
                    <w:t>阻抗电压</w:t>
                  </w:r>
                </w:p>
              </w:tc>
              <w:tc>
                <w:tcPr>
                  <w:tcW w:w="2814" w:type="dxa"/>
                  <w:gridSpan w:val="2"/>
                  <w:tcBorders>
                    <w:tl2br w:val="nil"/>
                    <w:tr2bl w:val="nil"/>
                  </w:tcBorders>
                  <w:vAlign w:val="center"/>
                </w:tcPr>
                <w:p w14:paraId="3B38708C">
                  <w:pPr>
                    <w:kinsoku w:val="0"/>
                    <w:overflowPunct w:val="0"/>
                    <w:jc w:val="center"/>
                    <w:rPr>
                      <w:bCs/>
                    </w:rPr>
                  </w:pPr>
                  <w:r>
                    <w:rPr>
                      <w:bCs/>
                    </w:rPr>
                    <w:t>6.5%</w:t>
                  </w:r>
                </w:p>
              </w:tc>
              <w:tc>
                <w:tcPr>
                  <w:tcW w:w="758" w:type="dxa"/>
                  <w:vMerge w:val="continue"/>
                  <w:tcBorders>
                    <w:tl2br w:val="nil"/>
                    <w:tr2bl w:val="nil"/>
                  </w:tcBorders>
                  <w:vAlign w:val="center"/>
                </w:tcPr>
                <w:p w14:paraId="308E6BC1">
                  <w:pPr>
                    <w:kinsoku w:val="0"/>
                    <w:overflowPunct w:val="0"/>
                    <w:jc w:val="center"/>
                    <w:rPr>
                      <w:bCs/>
                    </w:rPr>
                  </w:pPr>
                </w:p>
              </w:tc>
              <w:tc>
                <w:tcPr>
                  <w:tcW w:w="701" w:type="dxa"/>
                  <w:vMerge w:val="continue"/>
                  <w:tcBorders>
                    <w:tl2br w:val="nil"/>
                    <w:tr2bl w:val="nil"/>
                  </w:tcBorders>
                  <w:vAlign w:val="center"/>
                </w:tcPr>
                <w:p w14:paraId="79661C07">
                  <w:pPr>
                    <w:kinsoku w:val="0"/>
                    <w:overflowPunct w:val="0"/>
                    <w:jc w:val="center"/>
                    <w:rPr>
                      <w:bCs/>
                    </w:rPr>
                  </w:pPr>
                </w:p>
              </w:tc>
            </w:tr>
            <w:tr w14:paraId="3C20C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784D917A">
                  <w:pPr>
                    <w:kinsoku w:val="0"/>
                    <w:overflowPunct w:val="0"/>
                    <w:jc w:val="center"/>
                    <w:rPr>
                      <w:bCs/>
                    </w:rPr>
                  </w:pPr>
                </w:p>
              </w:tc>
              <w:tc>
                <w:tcPr>
                  <w:tcW w:w="2163" w:type="dxa"/>
                  <w:vMerge w:val="continue"/>
                  <w:tcBorders>
                    <w:tl2br w:val="nil"/>
                    <w:tr2bl w:val="nil"/>
                  </w:tcBorders>
                  <w:vAlign w:val="center"/>
                </w:tcPr>
                <w:p w14:paraId="0CE6EFE7">
                  <w:pPr>
                    <w:kinsoku w:val="0"/>
                    <w:overflowPunct w:val="0"/>
                    <w:jc w:val="center"/>
                    <w:rPr>
                      <w:bCs/>
                    </w:rPr>
                  </w:pPr>
                </w:p>
              </w:tc>
              <w:tc>
                <w:tcPr>
                  <w:tcW w:w="1400" w:type="dxa"/>
                  <w:tcBorders>
                    <w:tl2br w:val="nil"/>
                    <w:tr2bl w:val="nil"/>
                  </w:tcBorders>
                  <w:vAlign w:val="center"/>
                </w:tcPr>
                <w:p w14:paraId="543FF28F">
                  <w:pPr>
                    <w:kinsoku w:val="0"/>
                    <w:overflowPunct w:val="0"/>
                    <w:jc w:val="center"/>
                    <w:rPr>
                      <w:bCs/>
                    </w:rPr>
                  </w:pPr>
                  <w:r>
                    <w:rPr>
                      <w:bCs/>
                    </w:rPr>
                    <w:t>能效等级</w:t>
                  </w:r>
                </w:p>
              </w:tc>
              <w:tc>
                <w:tcPr>
                  <w:tcW w:w="2814" w:type="dxa"/>
                  <w:gridSpan w:val="2"/>
                  <w:tcBorders>
                    <w:tl2br w:val="nil"/>
                    <w:tr2bl w:val="nil"/>
                  </w:tcBorders>
                  <w:vAlign w:val="center"/>
                </w:tcPr>
                <w:p w14:paraId="5D943F37">
                  <w:pPr>
                    <w:kinsoku w:val="0"/>
                    <w:overflowPunct w:val="0"/>
                    <w:jc w:val="center"/>
                    <w:rPr>
                      <w:bCs/>
                    </w:rPr>
                  </w:pPr>
                  <w:r>
                    <w:rPr>
                      <w:bCs/>
                    </w:rPr>
                    <w:t>2级(GB20052-2024)</w:t>
                  </w:r>
                </w:p>
              </w:tc>
              <w:tc>
                <w:tcPr>
                  <w:tcW w:w="758" w:type="dxa"/>
                  <w:vMerge w:val="continue"/>
                  <w:tcBorders>
                    <w:tl2br w:val="nil"/>
                    <w:tr2bl w:val="nil"/>
                  </w:tcBorders>
                  <w:vAlign w:val="center"/>
                </w:tcPr>
                <w:p w14:paraId="6BF3319D">
                  <w:pPr>
                    <w:kinsoku w:val="0"/>
                    <w:overflowPunct w:val="0"/>
                    <w:jc w:val="center"/>
                    <w:rPr>
                      <w:bCs/>
                    </w:rPr>
                  </w:pPr>
                </w:p>
              </w:tc>
              <w:tc>
                <w:tcPr>
                  <w:tcW w:w="701" w:type="dxa"/>
                  <w:vMerge w:val="continue"/>
                  <w:tcBorders>
                    <w:tl2br w:val="nil"/>
                    <w:tr2bl w:val="nil"/>
                  </w:tcBorders>
                  <w:vAlign w:val="center"/>
                </w:tcPr>
                <w:p w14:paraId="793D05FA">
                  <w:pPr>
                    <w:kinsoku w:val="0"/>
                    <w:overflowPunct w:val="0"/>
                    <w:jc w:val="center"/>
                    <w:rPr>
                      <w:bCs/>
                    </w:rPr>
                  </w:pPr>
                </w:p>
              </w:tc>
            </w:tr>
            <w:tr w14:paraId="5C21E7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4FFE01A5">
                  <w:pPr>
                    <w:kinsoku w:val="0"/>
                    <w:overflowPunct w:val="0"/>
                    <w:jc w:val="center"/>
                    <w:rPr>
                      <w:bCs/>
                    </w:rPr>
                  </w:pPr>
                </w:p>
              </w:tc>
              <w:tc>
                <w:tcPr>
                  <w:tcW w:w="2163" w:type="dxa"/>
                  <w:vMerge w:val="continue"/>
                  <w:tcBorders>
                    <w:tl2br w:val="nil"/>
                    <w:tr2bl w:val="nil"/>
                  </w:tcBorders>
                  <w:vAlign w:val="center"/>
                </w:tcPr>
                <w:p w14:paraId="694C14B6">
                  <w:pPr>
                    <w:kinsoku w:val="0"/>
                    <w:overflowPunct w:val="0"/>
                    <w:jc w:val="center"/>
                    <w:rPr>
                      <w:bCs/>
                    </w:rPr>
                  </w:pPr>
                </w:p>
              </w:tc>
              <w:tc>
                <w:tcPr>
                  <w:tcW w:w="1400" w:type="dxa"/>
                  <w:tcBorders>
                    <w:tl2br w:val="nil"/>
                    <w:tr2bl w:val="nil"/>
                  </w:tcBorders>
                  <w:vAlign w:val="center"/>
                </w:tcPr>
                <w:p w14:paraId="11BF274E">
                  <w:pPr>
                    <w:kinsoku w:val="0"/>
                    <w:overflowPunct w:val="0"/>
                    <w:jc w:val="center"/>
                    <w:rPr>
                      <w:bCs/>
                    </w:rPr>
                  </w:pPr>
                  <w:r>
                    <w:rPr>
                      <w:bCs/>
                    </w:rPr>
                    <w:t>防护等级</w:t>
                  </w:r>
                </w:p>
              </w:tc>
              <w:tc>
                <w:tcPr>
                  <w:tcW w:w="2814" w:type="dxa"/>
                  <w:gridSpan w:val="2"/>
                  <w:tcBorders>
                    <w:tl2br w:val="nil"/>
                    <w:tr2bl w:val="nil"/>
                  </w:tcBorders>
                  <w:vAlign w:val="center"/>
                </w:tcPr>
                <w:p w14:paraId="428EFE9C">
                  <w:pPr>
                    <w:kinsoku w:val="0"/>
                    <w:overflowPunct w:val="0"/>
                    <w:jc w:val="center"/>
                    <w:rPr>
                      <w:bCs/>
                    </w:rPr>
                  </w:pPr>
                  <w:r>
                    <w:rPr>
                      <w:bCs/>
                    </w:rPr>
                    <w:t>IP54</w:t>
                  </w:r>
                </w:p>
              </w:tc>
              <w:tc>
                <w:tcPr>
                  <w:tcW w:w="758" w:type="dxa"/>
                  <w:vMerge w:val="continue"/>
                  <w:tcBorders>
                    <w:tl2br w:val="nil"/>
                    <w:tr2bl w:val="nil"/>
                  </w:tcBorders>
                  <w:vAlign w:val="center"/>
                </w:tcPr>
                <w:p w14:paraId="1DD69BCE">
                  <w:pPr>
                    <w:kinsoku w:val="0"/>
                    <w:overflowPunct w:val="0"/>
                    <w:jc w:val="center"/>
                    <w:rPr>
                      <w:bCs/>
                    </w:rPr>
                  </w:pPr>
                </w:p>
              </w:tc>
              <w:tc>
                <w:tcPr>
                  <w:tcW w:w="701" w:type="dxa"/>
                  <w:vMerge w:val="continue"/>
                  <w:tcBorders>
                    <w:tl2br w:val="nil"/>
                    <w:tr2bl w:val="nil"/>
                  </w:tcBorders>
                  <w:vAlign w:val="center"/>
                </w:tcPr>
                <w:p w14:paraId="0622C107">
                  <w:pPr>
                    <w:kinsoku w:val="0"/>
                    <w:overflowPunct w:val="0"/>
                    <w:jc w:val="center"/>
                    <w:rPr>
                      <w:bCs/>
                    </w:rPr>
                  </w:pPr>
                </w:p>
              </w:tc>
            </w:tr>
            <w:tr w14:paraId="79EF1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vMerge w:val="continue"/>
                  <w:tcBorders>
                    <w:tl2br w:val="nil"/>
                    <w:tr2bl w:val="nil"/>
                  </w:tcBorders>
                  <w:vAlign w:val="center"/>
                </w:tcPr>
                <w:p w14:paraId="35CBF619">
                  <w:pPr>
                    <w:kinsoku w:val="0"/>
                    <w:overflowPunct w:val="0"/>
                    <w:jc w:val="center"/>
                    <w:rPr>
                      <w:bCs/>
                    </w:rPr>
                  </w:pPr>
                </w:p>
              </w:tc>
              <w:tc>
                <w:tcPr>
                  <w:tcW w:w="2163" w:type="dxa"/>
                  <w:vMerge w:val="continue"/>
                  <w:tcBorders>
                    <w:tl2br w:val="nil"/>
                    <w:tr2bl w:val="nil"/>
                  </w:tcBorders>
                  <w:vAlign w:val="center"/>
                </w:tcPr>
                <w:p w14:paraId="4F9259DC">
                  <w:pPr>
                    <w:kinsoku w:val="0"/>
                    <w:overflowPunct w:val="0"/>
                    <w:jc w:val="center"/>
                    <w:rPr>
                      <w:bCs/>
                    </w:rPr>
                  </w:pPr>
                </w:p>
              </w:tc>
              <w:tc>
                <w:tcPr>
                  <w:tcW w:w="1400" w:type="dxa"/>
                  <w:tcBorders>
                    <w:tl2br w:val="nil"/>
                    <w:tr2bl w:val="nil"/>
                  </w:tcBorders>
                  <w:vAlign w:val="center"/>
                </w:tcPr>
                <w:p w14:paraId="54B25494">
                  <w:pPr>
                    <w:kinsoku w:val="0"/>
                    <w:overflowPunct w:val="0"/>
                    <w:jc w:val="center"/>
                    <w:rPr>
                      <w:bCs/>
                    </w:rPr>
                  </w:pPr>
                  <w:r>
                    <w:rPr>
                      <w:bCs/>
                    </w:rPr>
                    <w:t>防腐等级</w:t>
                  </w:r>
                </w:p>
              </w:tc>
              <w:tc>
                <w:tcPr>
                  <w:tcW w:w="2814" w:type="dxa"/>
                  <w:gridSpan w:val="2"/>
                  <w:tcBorders>
                    <w:tl2br w:val="nil"/>
                    <w:tr2bl w:val="nil"/>
                  </w:tcBorders>
                  <w:vAlign w:val="center"/>
                </w:tcPr>
                <w:p w14:paraId="5A5792F5">
                  <w:pPr>
                    <w:kinsoku w:val="0"/>
                    <w:overflowPunct w:val="0"/>
                    <w:jc w:val="center"/>
                    <w:rPr>
                      <w:bCs/>
                    </w:rPr>
                  </w:pPr>
                  <w:r>
                    <w:rPr>
                      <w:bCs/>
                    </w:rPr>
                    <w:t>C4</w:t>
                  </w:r>
                </w:p>
              </w:tc>
              <w:tc>
                <w:tcPr>
                  <w:tcW w:w="758" w:type="dxa"/>
                  <w:vMerge w:val="continue"/>
                  <w:tcBorders>
                    <w:tl2br w:val="nil"/>
                    <w:tr2bl w:val="nil"/>
                  </w:tcBorders>
                  <w:vAlign w:val="center"/>
                </w:tcPr>
                <w:p w14:paraId="3306FD39">
                  <w:pPr>
                    <w:kinsoku w:val="0"/>
                    <w:overflowPunct w:val="0"/>
                    <w:jc w:val="center"/>
                    <w:rPr>
                      <w:bCs/>
                    </w:rPr>
                  </w:pPr>
                </w:p>
              </w:tc>
              <w:tc>
                <w:tcPr>
                  <w:tcW w:w="701" w:type="dxa"/>
                  <w:vMerge w:val="continue"/>
                  <w:tcBorders>
                    <w:tl2br w:val="nil"/>
                    <w:tr2bl w:val="nil"/>
                  </w:tcBorders>
                  <w:vAlign w:val="center"/>
                </w:tcPr>
                <w:p w14:paraId="70D9B65C">
                  <w:pPr>
                    <w:kinsoku w:val="0"/>
                    <w:overflowPunct w:val="0"/>
                    <w:jc w:val="center"/>
                    <w:rPr>
                      <w:bCs/>
                    </w:rPr>
                  </w:pPr>
                </w:p>
              </w:tc>
            </w:tr>
            <w:tr w14:paraId="64B68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8262" w:type="dxa"/>
                  <w:gridSpan w:val="7"/>
                  <w:tcBorders>
                    <w:tl2br w:val="nil"/>
                    <w:tr2bl w:val="nil"/>
                  </w:tcBorders>
                  <w:vAlign w:val="center"/>
                </w:tcPr>
                <w:p w14:paraId="64EF2941">
                  <w:pPr>
                    <w:kinsoku w:val="0"/>
                    <w:overflowPunct w:val="0"/>
                    <w:jc w:val="center"/>
                    <w:rPr>
                      <w:bCs/>
                    </w:rPr>
                  </w:pPr>
                  <w:r>
                    <w:rPr>
                      <w:b/>
                    </w:rPr>
                    <w:t>升压站部分</w:t>
                  </w:r>
                </w:p>
              </w:tc>
            </w:tr>
            <w:tr w14:paraId="44F79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 w:hRule="atLeast"/>
                <w:jc w:val="center"/>
              </w:trPr>
              <w:tc>
                <w:tcPr>
                  <w:tcW w:w="426" w:type="dxa"/>
                  <w:tcBorders>
                    <w:tl2br w:val="nil"/>
                    <w:tr2bl w:val="nil"/>
                  </w:tcBorders>
                  <w:vAlign w:val="center"/>
                </w:tcPr>
                <w:p w14:paraId="77E821C4">
                  <w:pPr>
                    <w:kinsoku w:val="0"/>
                    <w:overflowPunct w:val="0"/>
                    <w:jc w:val="center"/>
                    <w:rPr>
                      <w:bCs/>
                    </w:rPr>
                  </w:pPr>
                  <w:r>
                    <w:rPr>
                      <w:bCs/>
                    </w:rPr>
                    <w:t>一</w:t>
                  </w:r>
                </w:p>
              </w:tc>
              <w:tc>
                <w:tcPr>
                  <w:tcW w:w="7836" w:type="dxa"/>
                  <w:gridSpan w:val="6"/>
                  <w:tcBorders>
                    <w:tl2br w:val="nil"/>
                    <w:tr2bl w:val="nil"/>
                  </w:tcBorders>
                  <w:vAlign w:val="center"/>
                </w:tcPr>
                <w:p w14:paraId="18AF2BFF">
                  <w:pPr>
                    <w:kinsoku w:val="0"/>
                    <w:overflowPunct w:val="0"/>
                    <w:jc w:val="center"/>
                    <w:rPr>
                      <w:bCs/>
                    </w:rPr>
                  </w:pPr>
                  <w:r>
                    <w:rPr>
                      <w:bCs/>
                    </w:rPr>
                    <w:t>主变系统</w:t>
                  </w:r>
                </w:p>
              </w:tc>
            </w:tr>
            <w:tr w14:paraId="6D98C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restart"/>
                  <w:tcBorders>
                    <w:tl2br w:val="nil"/>
                    <w:tr2bl w:val="nil"/>
                  </w:tcBorders>
                  <w:vAlign w:val="center"/>
                </w:tcPr>
                <w:p w14:paraId="72FE915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vMerge w:val="restart"/>
                  <w:tcBorders>
                    <w:tl2br w:val="nil"/>
                    <w:tr2bl w:val="nil"/>
                  </w:tcBorders>
                  <w:vAlign w:val="center"/>
                </w:tcPr>
                <w:p w14:paraId="66C3709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主变压器</w:t>
                  </w:r>
                </w:p>
              </w:tc>
              <w:tc>
                <w:tcPr>
                  <w:tcW w:w="2107" w:type="dxa"/>
                  <w:gridSpan w:val="2"/>
                  <w:tcBorders>
                    <w:tl2br w:val="nil"/>
                    <w:tr2bl w:val="nil"/>
                  </w:tcBorders>
                  <w:vAlign w:val="center"/>
                </w:tcPr>
                <w:p w14:paraId="4608A01C">
                  <w:pPr>
                    <w:widowControl/>
                    <w:jc w:val="center"/>
                    <w:rPr>
                      <w:bCs/>
                      <w:szCs w:val="21"/>
                    </w:rPr>
                  </w:pPr>
                  <w:r>
                    <w:rPr>
                      <w:bCs/>
                    </w:rPr>
                    <w:t>型号</w:t>
                  </w:r>
                </w:p>
              </w:tc>
              <w:tc>
                <w:tcPr>
                  <w:tcW w:w="2107" w:type="dxa"/>
                  <w:tcBorders>
                    <w:tl2br w:val="nil"/>
                    <w:tr2bl w:val="nil"/>
                  </w:tcBorders>
                  <w:vAlign w:val="center"/>
                </w:tcPr>
                <w:p w14:paraId="7C1CFB62">
                  <w:pPr>
                    <w:widowControl/>
                    <w:jc w:val="center"/>
                    <w:rPr>
                      <w:bCs/>
                      <w:kern w:val="0"/>
                      <w:szCs w:val="21"/>
                    </w:rPr>
                  </w:pPr>
                  <w:r>
                    <w:rPr>
                      <w:bCs/>
                    </w:rPr>
                    <w:t>SZ20-180000/220</w:t>
                  </w:r>
                </w:p>
              </w:tc>
              <w:tc>
                <w:tcPr>
                  <w:tcW w:w="758" w:type="dxa"/>
                  <w:vMerge w:val="restart"/>
                  <w:tcBorders>
                    <w:tl2br w:val="nil"/>
                    <w:tr2bl w:val="nil"/>
                  </w:tcBorders>
                  <w:vAlign w:val="center"/>
                </w:tcPr>
                <w:p w14:paraId="7773C57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台</w:t>
                  </w:r>
                </w:p>
              </w:tc>
              <w:tc>
                <w:tcPr>
                  <w:tcW w:w="701" w:type="dxa"/>
                  <w:vMerge w:val="restart"/>
                  <w:tcBorders>
                    <w:tl2br w:val="nil"/>
                    <w:tr2bl w:val="nil"/>
                  </w:tcBorders>
                  <w:vAlign w:val="center"/>
                </w:tcPr>
                <w:p w14:paraId="336E204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0B395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4B7FC152">
                  <w:pPr>
                    <w:widowControl/>
                    <w:jc w:val="left"/>
                    <w:rPr>
                      <w:bCs/>
                    </w:rPr>
                  </w:pPr>
                </w:p>
              </w:tc>
              <w:tc>
                <w:tcPr>
                  <w:tcW w:w="2163" w:type="dxa"/>
                  <w:vMerge w:val="continue"/>
                  <w:tcBorders>
                    <w:tl2br w:val="nil"/>
                    <w:tr2bl w:val="nil"/>
                  </w:tcBorders>
                  <w:vAlign w:val="center"/>
                </w:tcPr>
                <w:p w14:paraId="42C1B569">
                  <w:pPr>
                    <w:widowControl/>
                    <w:jc w:val="left"/>
                    <w:rPr>
                      <w:bCs/>
                    </w:rPr>
                  </w:pPr>
                </w:p>
              </w:tc>
              <w:tc>
                <w:tcPr>
                  <w:tcW w:w="2107" w:type="dxa"/>
                  <w:gridSpan w:val="2"/>
                  <w:tcBorders>
                    <w:tl2br w:val="nil"/>
                    <w:tr2bl w:val="nil"/>
                  </w:tcBorders>
                  <w:vAlign w:val="center"/>
                </w:tcPr>
                <w:p w14:paraId="276A71E9">
                  <w:pPr>
                    <w:widowControl/>
                    <w:jc w:val="center"/>
                    <w:rPr>
                      <w:bCs/>
                    </w:rPr>
                  </w:pPr>
                  <w:r>
                    <w:rPr>
                      <w:bCs/>
                    </w:rPr>
                    <w:t>额定容量</w:t>
                  </w:r>
                </w:p>
              </w:tc>
              <w:tc>
                <w:tcPr>
                  <w:tcW w:w="2107" w:type="dxa"/>
                  <w:tcBorders>
                    <w:tl2br w:val="nil"/>
                    <w:tr2bl w:val="nil"/>
                  </w:tcBorders>
                  <w:vAlign w:val="center"/>
                </w:tcPr>
                <w:p w14:paraId="0F4918EE">
                  <w:pPr>
                    <w:widowControl/>
                    <w:jc w:val="center"/>
                    <w:rPr>
                      <w:bCs/>
                    </w:rPr>
                  </w:pPr>
                  <w:r>
                    <w:rPr>
                      <w:bCs/>
                    </w:rPr>
                    <w:t>180MVA</w:t>
                  </w:r>
                </w:p>
              </w:tc>
              <w:tc>
                <w:tcPr>
                  <w:tcW w:w="758" w:type="dxa"/>
                  <w:vMerge w:val="continue"/>
                  <w:tcBorders>
                    <w:tl2br w:val="nil"/>
                    <w:tr2bl w:val="nil"/>
                  </w:tcBorders>
                  <w:vAlign w:val="center"/>
                </w:tcPr>
                <w:p w14:paraId="1EFA4C76">
                  <w:pPr>
                    <w:widowControl/>
                    <w:jc w:val="left"/>
                    <w:rPr>
                      <w:bCs/>
                    </w:rPr>
                  </w:pPr>
                </w:p>
              </w:tc>
              <w:tc>
                <w:tcPr>
                  <w:tcW w:w="701" w:type="dxa"/>
                  <w:vMerge w:val="continue"/>
                  <w:tcBorders>
                    <w:tl2br w:val="nil"/>
                    <w:tr2bl w:val="nil"/>
                  </w:tcBorders>
                  <w:vAlign w:val="center"/>
                </w:tcPr>
                <w:p w14:paraId="3A77B60D">
                  <w:pPr>
                    <w:widowControl/>
                    <w:jc w:val="left"/>
                    <w:rPr>
                      <w:bCs/>
                    </w:rPr>
                  </w:pPr>
                </w:p>
              </w:tc>
            </w:tr>
            <w:tr w14:paraId="1654E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090BD3E4">
                  <w:pPr>
                    <w:widowControl/>
                    <w:jc w:val="left"/>
                    <w:rPr>
                      <w:bCs/>
                    </w:rPr>
                  </w:pPr>
                </w:p>
              </w:tc>
              <w:tc>
                <w:tcPr>
                  <w:tcW w:w="2163" w:type="dxa"/>
                  <w:vMerge w:val="continue"/>
                  <w:tcBorders>
                    <w:tl2br w:val="nil"/>
                    <w:tr2bl w:val="nil"/>
                  </w:tcBorders>
                  <w:vAlign w:val="center"/>
                </w:tcPr>
                <w:p w14:paraId="591CF802">
                  <w:pPr>
                    <w:widowControl/>
                    <w:jc w:val="left"/>
                    <w:rPr>
                      <w:bCs/>
                    </w:rPr>
                  </w:pPr>
                </w:p>
              </w:tc>
              <w:tc>
                <w:tcPr>
                  <w:tcW w:w="2107" w:type="dxa"/>
                  <w:gridSpan w:val="2"/>
                  <w:tcBorders>
                    <w:tl2br w:val="nil"/>
                    <w:tr2bl w:val="nil"/>
                  </w:tcBorders>
                  <w:vAlign w:val="center"/>
                </w:tcPr>
                <w:p w14:paraId="4EBA356D">
                  <w:pPr>
                    <w:widowControl/>
                    <w:jc w:val="center"/>
                    <w:rPr>
                      <w:bCs/>
                    </w:rPr>
                  </w:pPr>
                  <w:r>
                    <w:rPr>
                      <w:bCs/>
                    </w:rPr>
                    <w:t>绕组形式</w:t>
                  </w:r>
                </w:p>
              </w:tc>
              <w:tc>
                <w:tcPr>
                  <w:tcW w:w="2107" w:type="dxa"/>
                  <w:tcBorders>
                    <w:tl2br w:val="nil"/>
                    <w:tr2bl w:val="nil"/>
                  </w:tcBorders>
                  <w:vAlign w:val="center"/>
                </w:tcPr>
                <w:p w14:paraId="23AE133D">
                  <w:pPr>
                    <w:widowControl/>
                    <w:jc w:val="center"/>
                    <w:rPr>
                      <w:bCs/>
                    </w:rPr>
                  </w:pPr>
                  <w:r>
                    <w:rPr>
                      <w:bCs/>
                    </w:rPr>
                    <w:t>双绕组</w:t>
                  </w:r>
                </w:p>
              </w:tc>
              <w:tc>
                <w:tcPr>
                  <w:tcW w:w="758" w:type="dxa"/>
                  <w:vMerge w:val="continue"/>
                  <w:tcBorders>
                    <w:tl2br w:val="nil"/>
                    <w:tr2bl w:val="nil"/>
                  </w:tcBorders>
                  <w:vAlign w:val="center"/>
                </w:tcPr>
                <w:p w14:paraId="31FD4258">
                  <w:pPr>
                    <w:widowControl/>
                    <w:jc w:val="left"/>
                    <w:rPr>
                      <w:bCs/>
                    </w:rPr>
                  </w:pPr>
                </w:p>
              </w:tc>
              <w:tc>
                <w:tcPr>
                  <w:tcW w:w="701" w:type="dxa"/>
                  <w:vMerge w:val="continue"/>
                  <w:tcBorders>
                    <w:tl2br w:val="nil"/>
                    <w:tr2bl w:val="nil"/>
                  </w:tcBorders>
                  <w:vAlign w:val="center"/>
                </w:tcPr>
                <w:p w14:paraId="7CE3DB12">
                  <w:pPr>
                    <w:widowControl/>
                    <w:jc w:val="left"/>
                    <w:rPr>
                      <w:bCs/>
                    </w:rPr>
                  </w:pPr>
                </w:p>
              </w:tc>
            </w:tr>
            <w:tr w14:paraId="4621EC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38945E76">
                  <w:pPr>
                    <w:widowControl/>
                    <w:jc w:val="left"/>
                    <w:rPr>
                      <w:bCs/>
                    </w:rPr>
                  </w:pPr>
                </w:p>
              </w:tc>
              <w:tc>
                <w:tcPr>
                  <w:tcW w:w="2163" w:type="dxa"/>
                  <w:vMerge w:val="continue"/>
                  <w:tcBorders>
                    <w:tl2br w:val="nil"/>
                    <w:tr2bl w:val="nil"/>
                  </w:tcBorders>
                  <w:vAlign w:val="center"/>
                </w:tcPr>
                <w:p w14:paraId="5402EB8A">
                  <w:pPr>
                    <w:widowControl/>
                    <w:jc w:val="left"/>
                    <w:rPr>
                      <w:bCs/>
                    </w:rPr>
                  </w:pPr>
                </w:p>
              </w:tc>
              <w:tc>
                <w:tcPr>
                  <w:tcW w:w="2107" w:type="dxa"/>
                  <w:gridSpan w:val="2"/>
                  <w:tcBorders>
                    <w:tl2br w:val="nil"/>
                    <w:tr2bl w:val="nil"/>
                  </w:tcBorders>
                  <w:vAlign w:val="center"/>
                </w:tcPr>
                <w:p w14:paraId="5EA574DD">
                  <w:pPr>
                    <w:widowControl/>
                    <w:jc w:val="center"/>
                    <w:rPr>
                      <w:bCs/>
                    </w:rPr>
                  </w:pPr>
                  <w:r>
                    <w:rPr>
                      <w:bCs/>
                    </w:rPr>
                    <w:t>额定电压比</w:t>
                  </w:r>
                </w:p>
              </w:tc>
              <w:tc>
                <w:tcPr>
                  <w:tcW w:w="2107" w:type="dxa"/>
                  <w:tcBorders>
                    <w:tl2br w:val="nil"/>
                    <w:tr2bl w:val="nil"/>
                  </w:tcBorders>
                  <w:vAlign w:val="center"/>
                </w:tcPr>
                <w:p w14:paraId="123542F4">
                  <w:pPr>
                    <w:widowControl/>
                    <w:jc w:val="center"/>
                    <w:rPr>
                      <w:bCs/>
                    </w:rPr>
                  </w:pPr>
                  <w:r>
                    <w:rPr>
                      <w:bCs/>
                    </w:rPr>
                    <w:t>230±8×1.25%/137kV</w:t>
                  </w:r>
                </w:p>
              </w:tc>
              <w:tc>
                <w:tcPr>
                  <w:tcW w:w="758" w:type="dxa"/>
                  <w:vMerge w:val="continue"/>
                  <w:tcBorders>
                    <w:tl2br w:val="nil"/>
                    <w:tr2bl w:val="nil"/>
                  </w:tcBorders>
                  <w:vAlign w:val="center"/>
                </w:tcPr>
                <w:p w14:paraId="0640994F">
                  <w:pPr>
                    <w:widowControl/>
                    <w:jc w:val="left"/>
                    <w:rPr>
                      <w:bCs/>
                    </w:rPr>
                  </w:pPr>
                </w:p>
              </w:tc>
              <w:tc>
                <w:tcPr>
                  <w:tcW w:w="701" w:type="dxa"/>
                  <w:vMerge w:val="continue"/>
                  <w:tcBorders>
                    <w:tl2br w:val="nil"/>
                    <w:tr2bl w:val="nil"/>
                  </w:tcBorders>
                  <w:vAlign w:val="center"/>
                </w:tcPr>
                <w:p w14:paraId="759DBD21">
                  <w:pPr>
                    <w:widowControl/>
                    <w:jc w:val="left"/>
                    <w:rPr>
                      <w:bCs/>
                    </w:rPr>
                  </w:pPr>
                </w:p>
              </w:tc>
            </w:tr>
            <w:tr w14:paraId="2A9ED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2D92CA6F">
                  <w:pPr>
                    <w:widowControl/>
                    <w:jc w:val="left"/>
                    <w:rPr>
                      <w:bCs/>
                    </w:rPr>
                  </w:pPr>
                </w:p>
              </w:tc>
              <w:tc>
                <w:tcPr>
                  <w:tcW w:w="2163" w:type="dxa"/>
                  <w:vMerge w:val="continue"/>
                  <w:tcBorders>
                    <w:tl2br w:val="nil"/>
                    <w:tr2bl w:val="nil"/>
                  </w:tcBorders>
                  <w:vAlign w:val="center"/>
                </w:tcPr>
                <w:p w14:paraId="608A164B">
                  <w:pPr>
                    <w:widowControl/>
                    <w:jc w:val="left"/>
                    <w:rPr>
                      <w:bCs/>
                    </w:rPr>
                  </w:pPr>
                </w:p>
              </w:tc>
              <w:tc>
                <w:tcPr>
                  <w:tcW w:w="2107" w:type="dxa"/>
                  <w:gridSpan w:val="2"/>
                  <w:tcBorders>
                    <w:tl2br w:val="nil"/>
                    <w:tr2bl w:val="nil"/>
                  </w:tcBorders>
                  <w:vAlign w:val="center"/>
                </w:tcPr>
                <w:p w14:paraId="7260F7FD">
                  <w:pPr>
                    <w:widowControl/>
                    <w:jc w:val="center"/>
                    <w:rPr>
                      <w:bCs/>
                    </w:rPr>
                  </w:pPr>
                  <w:r>
                    <w:rPr>
                      <w:bCs/>
                    </w:rPr>
                    <w:t>接线组别</w:t>
                  </w:r>
                </w:p>
              </w:tc>
              <w:tc>
                <w:tcPr>
                  <w:tcW w:w="2107" w:type="dxa"/>
                  <w:tcBorders>
                    <w:tl2br w:val="nil"/>
                    <w:tr2bl w:val="nil"/>
                  </w:tcBorders>
                  <w:vAlign w:val="center"/>
                </w:tcPr>
                <w:p w14:paraId="7FF9E5A8">
                  <w:pPr>
                    <w:widowControl/>
                    <w:jc w:val="center"/>
                    <w:rPr>
                      <w:bCs/>
                    </w:rPr>
                  </w:pPr>
                  <w:r>
                    <w:rPr>
                      <w:bCs/>
                    </w:rPr>
                    <w:t>YN，d11</w:t>
                  </w:r>
                </w:p>
              </w:tc>
              <w:tc>
                <w:tcPr>
                  <w:tcW w:w="758" w:type="dxa"/>
                  <w:vMerge w:val="continue"/>
                  <w:tcBorders>
                    <w:tl2br w:val="nil"/>
                    <w:tr2bl w:val="nil"/>
                  </w:tcBorders>
                  <w:vAlign w:val="center"/>
                </w:tcPr>
                <w:p w14:paraId="0AC1050B">
                  <w:pPr>
                    <w:widowControl/>
                    <w:jc w:val="left"/>
                    <w:rPr>
                      <w:bCs/>
                    </w:rPr>
                  </w:pPr>
                </w:p>
              </w:tc>
              <w:tc>
                <w:tcPr>
                  <w:tcW w:w="701" w:type="dxa"/>
                  <w:vMerge w:val="continue"/>
                  <w:tcBorders>
                    <w:tl2br w:val="nil"/>
                    <w:tr2bl w:val="nil"/>
                  </w:tcBorders>
                  <w:vAlign w:val="center"/>
                </w:tcPr>
                <w:p w14:paraId="7EF24179">
                  <w:pPr>
                    <w:widowControl/>
                    <w:jc w:val="left"/>
                    <w:rPr>
                      <w:bCs/>
                    </w:rPr>
                  </w:pPr>
                </w:p>
              </w:tc>
            </w:tr>
            <w:tr w14:paraId="294E7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5DE55410">
                  <w:pPr>
                    <w:widowControl/>
                    <w:jc w:val="left"/>
                    <w:rPr>
                      <w:bCs/>
                    </w:rPr>
                  </w:pPr>
                </w:p>
              </w:tc>
              <w:tc>
                <w:tcPr>
                  <w:tcW w:w="2163" w:type="dxa"/>
                  <w:vMerge w:val="continue"/>
                  <w:tcBorders>
                    <w:tl2br w:val="nil"/>
                    <w:tr2bl w:val="nil"/>
                  </w:tcBorders>
                  <w:vAlign w:val="center"/>
                </w:tcPr>
                <w:p w14:paraId="788E8F20">
                  <w:pPr>
                    <w:widowControl/>
                    <w:jc w:val="left"/>
                    <w:rPr>
                      <w:bCs/>
                    </w:rPr>
                  </w:pPr>
                </w:p>
              </w:tc>
              <w:tc>
                <w:tcPr>
                  <w:tcW w:w="2107" w:type="dxa"/>
                  <w:gridSpan w:val="2"/>
                  <w:tcBorders>
                    <w:tl2br w:val="nil"/>
                    <w:tr2bl w:val="nil"/>
                  </w:tcBorders>
                  <w:vAlign w:val="center"/>
                </w:tcPr>
                <w:p w14:paraId="2A693E0D">
                  <w:pPr>
                    <w:widowControl/>
                    <w:jc w:val="center"/>
                    <w:rPr>
                      <w:bCs/>
                    </w:rPr>
                  </w:pPr>
                  <w:r>
                    <w:rPr>
                      <w:bCs/>
                    </w:rPr>
                    <w:t>调压方式</w:t>
                  </w:r>
                </w:p>
              </w:tc>
              <w:tc>
                <w:tcPr>
                  <w:tcW w:w="2107" w:type="dxa"/>
                  <w:tcBorders>
                    <w:tl2br w:val="nil"/>
                    <w:tr2bl w:val="nil"/>
                  </w:tcBorders>
                  <w:vAlign w:val="center"/>
                </w:tcPr>
                <w:p w14:paraId="415392BF">
                  <w:pPr>
                    <w:widowControl/>
                    <w:jc w:val="center"/>
                    <w:rPr>
                      <w:bCs/>
                    </w:rPr>
                  </w:pPr>
                  <w:r>
                    <w:rPr>
                      <w:bCs/>
                    </w:rPr>
                    <w:t>有载调压</w:t>
                  </w:r>
                </w:p>
              </w:tc>
              <w:tc>
                <w:tcPr>
                  <w:tcW w:w="758" w:type="dxa"/>
                  <w:vMerge w:val="continue"/>
                  <w:tcBorders>
                    <w:tl2br w:val="nil"/>
                    <w:tr2bl w:val="nil"/>
                  </w:tcBorders>
                  <w:vAlign w:val="center"/>
                </w:tcPr>
                <w:p w14:paraId="6AB8EB91">
                  <w:pPr>
                    <w:widowControl/>
                    <w:jc w:val="left"/>
                    <w:rPr>
                      <w:bCs/>
                    </w:rPr>
                  </w:pPr>
                </w:p>
              </w:tc>
              <w:tc>
                <w:tcPr>
                  <w:tcW w:w="701" w:type="dxa"/>
                  <w:vMerge w:val="continue"/>
                  <w:tcBorders>
                    <w:tl2br w:val="nil"/>
                    <w:tr2bl w:val="nil"/>
                  </w:tcBorders>
                  <w:vAlign w:val="center"/>
                </w:tcPr>
                <w:p w14:paraId="76322508">
                  <w:pPr>
                    <w:widowControl/>
                    <w:jc w:val="left"/>
                    <w:rPr>
                      <w:bCs/>
                    </w:rPr>
                  </w:pPr>
                </w:p>
              </w:tc>
            </w:tr>
            <w:tr w14:paraId="210F5F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40B2C6F9">
                  <w:pPr>
                    <w:widowControl/>
                    <w:jc w:val="left"/>
                    <w:rPr>
                      <w:bCs/>
                    </w:rPr>
                  </w:pPr>
                </w:p>
              </w:tc>
              <w:tc>
                <w:tcPr>
                  <w:tcW w:w="2163" w:type="dxa"/>
                  <w:vMerge w:val="continue"/>
                  <w:tcBorders>
                    <w:tl2br w:val="nil"/>
                    <w:tr2bl w:val="nil"/>
                  </w:tcBorders>
                  <w:vAlign w:val="center"/>
                </w:tcPr>
                <w:p w14:paraId="586ED3DC">
                  <w:pPr>
                    <w:widowControl/>
                    <w:jc w:val="left"/>
                    <w:rPr>
                      <w:bCs/>
                    </w:rPr>
                  </w:pPr>
                </w:p>
              </w:tc>
              <w:tc>
                <w:tcPr>
                  <w:tcW w:w="2107" w:type="dxa"/>
                  <w:gridSpan w:val="2"/>
                  <w:tcBorders>
                    <w:tl2br w:val="nil"/>
                    <w:tr2bl w:val="nil"/>
                  </w:tcBorders>
                  <w:vAlign w:val="center"/>
                </w:tcPr>
                <w:p w14:paraId="311EFE8B">
                  <w:pPr>
                    <w:widowControl/>
                    <w:jc w:val="center"/>
                    <w:rPr>
                      <w:bCs/>
                    </w:rPr>
                  </w:pPr>
                  <w:r>
                    <w:rPr>
                      <w:bCs/>
                    </w:rPr>
                    <w:t>阻抗电压</w:t>
                  </w:r>
                </w:p>
              </w:tc>
              <w:tc>
                <w:tcPr>
                  <w:tcW w:w="2107" w:type="dxa"/>
                  <w:tcBorders>
                    <w:tl2br w:val="nil"/>
                    <w:tr2bl w:val="nil"/>
                  </w:tcBorders>
                  <w:vAlign w:val="center"/>
                </w:tcPr>
                <w:p w14:paraId="6DD84699">
                  <w:pPr>
                    <w:widowControl/>
                    <w:jc w:val="center"/>
                    <w:rPr>
                      <w:bCs/>
                    </w:rPr>
                  </w:pPr>
                  <w:r>
                    <w:rPr>
                      <w:bCs/>
                    </w:rPr>
                    <w:t>13%</w:t>
                  </w:r>
                </w:p>
              </w:tc>
              <w:tc>
                <w:tcPr>
                  <w:tcW w:w="758" w:type="dxa"/>
                  <w:vMerge w:val="continue"/>
                  <w:tcBorders>
                    <w:tl2br w:val="nil"/>
                    <w:tr2bl w:val="nil"/>
                  </w:tcBorders>
                  <w:vAlign w:val="center"/>
                </w:tcPr>
                <w:p w14:paraId="6EA47F28">
                  <w:pPr>
                    <w:widowControl/>
                    <w:jc w:val="left"/>
                    <w:rPr>
                      <w:bCs/>
                    </w:rPr>
                  </w:pPr>
                </w:p>
              </w:tc>
              <w:tc>
                <w:tcPr>
                  <w:tcW w:w="701" w:type="dxa"/>
                  <w:vMerge w:val="continue"/>
                  <w:tcBorders>
                    <w:tl2br w:val="nil"/>
                    <w:tr2bl w:val="nil"/>
                  </w:tcBorders>
                  <w:vAlign w:val="center"/>
                </w:tcPr>
                <w:p w14:paraId="3359A926">
                  <w:pPr>
                    <w:widowControl/>
                    <w:jc w:val="left"/>
                    <w:rPr>
                      <w:bCs/>
                    </w:rPr>
                  </w:pPr>
                </w:p>
              </w:tc>
            </w:tr>
            <w:tr w14:paraId="5ECEF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03F68B9F">
                  <w:pPr>
                    <w:widowControl/>
                    <w:jc w:val="left"/>
                    <w:rPr>
                      <w:bCs/>
                    </w:rPr>
                  </w:pPr>
                </w:p>
              </w:tc>
              <w:tc>
                <w:tcPr>
                  <w:tcW w:w="2163" w:type="dxa"/>
                  <w:vMerge w:val="continue"/>
                  <w:tcBorders>
                    <w:tl2br w:val="nil"/>
                    <w:tr2bl w:val="nil"/>
                  </w:tcBorders>
                  <w:vAlign w:val="center"/>
                </w:tcPr>
                <w:p w14:paraId="04C66DA0">
                  <w:pPr>
                    <w:widowControl/>
                    <w:jc w:val="left"/>
                    <w:rPr>
                      <w:bCs/>
                    </w:rPr>
                  </w:pPr>
                </w:p>
              </w:tc>
              <w:tc>
                <w:tcPr>
                  <w:tcW w:w="2107" w:type="dxa"/>
                  <w:gridSpan w:val="2"/>
                  <w:tcBorders>
                    <w:tl2br w:val="nil"/>
                    <w:tr2bl w:val="nil"/>
                  </w:tcBorders>
                  <w:vAlign w:val="center"/>
                </w:tcPr>
                <w:p w14:paraId="280E7EB3">
                  <w:pPr>
                    <w:widowControl/>
                    <w:jc w:val="center"/>
                    <w:rPr>
                      <w:bCs/>
                    </w:rPr>
                  </w:pPr>
                  <w:r>
                    <w:rPr>
                      <w:bCs/>
                    </w:rPr>
                    <w:t>冷却方式</w:t>
                  </w:r>
                </w:p>
              </w:tc>
              <w:tc>
                <w:tcPr>
                  <w:tcW w:w="2107" w:type="dxa"/>
                  <w:tcBorders>
                    <w:tl2br w:val="nil"/>
                    <w:tr2bl w:val="nil"/>
                  </w:tcBorders>
                  <w:vAlign w:val="center"/>
                </w:tcPr>
                <w:p w14:paraId="7E47941A">
                  <w:pPr>
                    <w:widowControl/>
                    <w:jc w:val="center"/>
                    <w:rPr>
                      <w:bCs/>
                    </w:rPr>
                  </w:pPr>
                  <w:r>
                    <w:rPr>
                      <w:bCs/>
                    </w:rPr>
                    <w:t>ONAN</w:t>
                  </w:r>
                </w:p>
              </w:tc>
              <w:tc>
                <w:tcPr>
                  <w:tcW w:w="758" w:type="dxa"/>
                  <w:vMerge w:val="continue"/>
                  <w:tcBorders>
                    <w:tl2br w:val="nil"/>
                    <w:tr2bl w:val="nil"/>
                  </w:tcBorders>
                  <w:vAlign w:val="center"/>
                </w:tcPr>
                <w:p w14:paraId="680C9A42">
                  <w:pPr>
                    <w:widowControl/>
                    <w:jc w:val="left"/>
                    <w:rPr>
                      <w:bCs/>
                    </w:rPr>
                  </w:pPr>
                </w:p>
              </w:tc>
              <w:tc>
                <w:tcPr>
                  <w:tcW w:w="701" w:type="dxa"/>
                  <w:vMerge w:val="continue"/>
                  <w:tcBorders>
                    <w:tl2br w:val="nil"/>
                    <w:tr2bl w:val="nil"/>
                  </w:tcBorders>
                  <w:vAlign w:val="center"/>
                </w:tcPr>
                <w:p w14:paraId="2CAABCE5">
                  <w:pPr>
                    <w:widowControl/>
                    <w:jc w:val="left"/>
                    <w:rPr>
                      <w:bCs/>
                    </w:rPr>
                  </w:pPr>
                </w:p>
              </w:tc>
            </w:tr>
            <w:tr w14:paraId="293FF8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31976652">
                  <w:pPr>
                    <w:widowControl/>
                    <w:jc w:val="left"/>
                    <w:rPr>
                      <w:bCs/>
                    </w:rPr>
                  </w:pPr>
                </w:p>
              </w:tc>
              <w:tc>
                <w:tcPr>
                  <w:tcW w:w="2163" w:type="dxa"/>
                  <w:vMerge w:val="continue"/>
                  <w:tcBorders>
                    <w:tl2br w:val="nil"/>
                    <w:tr2bl w:val="nil"/>
                  </w:tcBorders>
                  <w:vAlign w:val="center"/>
                </w:tcPr>
                <w:p w14:paraId="587E52A7">
                  <w:pPr>
                    <w:widowControl/>
                    <w:jc w:val="left"/>
                    <w:rPr>
                      <w:bCs/>
                    </w:rPr>
                  </w:pPr>
                </w:p>
              </w:tc>
              <w:tc>
                <w:tcPr>
                  <w:tcW w:w="2107" w:type="dxa"/>
                  <w:gridSpan w:val="2"/>
                  <w:tcBorders>
                    <w:tl2br w:val="nil"/>
                    <w:tr2bl w:val="nil"/>
                  </w:tcBorders>
                  <w:vAlign w:val="center"/>
                </w:tcPr>
                <w:p w14:paraId="7315FC47">
                  <w:pPr>
                    <w:widowControl/>
                    <w:jc w:val="center"/>
                    <w:rPr>
                      <w:bCs/>
                    </w:rPr>
                  </w:pPr>
                  <w:r>
                    <w:rPr>
                      <w:bCs/>
                    </w:rPr>
                    <w:t>中性点接地</w:t>
                  </w:r>
                </w:p>
              </w:tc>
              <w:tc>
                <w:tcPr>
                  <w:tcW w:w="2107" w:type="dxa"/>
                  <w:tcBorders>
                    <w:tl2br w:val="nil"/>
                    <w:tr2bl w:val="nil"/>
                  </w:tcBorders>
                  <w:vAlign w:val="center"/>
                </w:tcPr>
                <w:p w14:paraId="5B8A86CF">
                  <w:pPr>
                    <w:widowControl/>
                    <w:jc w:val="center"/>
                    <w:rPr>
                      <w:bCs/>
                    </w:rPr>
                  </w:pPr>
                  <w:r>
                    <w:rPr>
                      <w:bCs/>
                    </w:rPr>
                    <w:t>经隔离开关接地</w:t>
                  </w:r>
                </w:p>
              </w:tc>
              <w:tc>
                <w:tcPr>
                  <w:tcW w:w="758" w:type="dxa"/>
                  <w:vMerge w:val="continue"/>
                  <w:tcBorders>
                    <w:tl2br w:val="nil"/>
                    <w:tr2bl w:val="nil"/>
                  </w:tcBorders>
                  <w:vAlign w:val="center"/>
                </w:tcPr>
                <w:p w14:paraId="2527E82A">
                  <w:pPr>
                    <w:widowControl/>
                    <w:jc w:val="left"/>
                    <w:rPr>
                      <w:bCs/>
                    </w:rPr>
                  </w:pPr>
                </w:p>
              </w:tc>
              <w:tc>
                <w:tcPr>
                  <w:tcW w:w="701" w:type="dxa"/>
                  <w:vMerge w:val="continue"/>
                  <w:tcBorders>
                    <w:tl2br w:val="nil"/>
                    <w:tr2bl w:val="nil"/>
                  </w:tcBorders>
                  <w:vAlign w:val="center"/>
                </w:tcPr>
                <w:p w14:paraId="052EB77A">
                  <w:pPr>
                    <w:widowControl/>
                    <w:jc w:val="left"/>
                    <w:rPr>
                      <w:bCs/>
                    </w:rPr>
                  </w:pPr>
                </w:p>
              </w:tc>
            </w:tr>
            <w:tr w14:paraId="31948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56078B02">
                  <w:pPr>
                    <w:widowControl/>
                    <w:jc w:val="left"/>
                    <w:rPr>
                      <w:bCs/>
                    </w:rPr>
                  </w:pPr>
                </w:p>
              </w:tc>
              <w:tc>
                <w:tcPr>
                  <w:tcW w:w="2163" w:type="dxa"/>
                  <w:vMerge w:val="continue"/>
                  <w:tcBorders>
                    <w:tl2br w:val="nil"/>
                    <w:tr2bl w:val="nil"/>
                  </w:tcBorders>
                  <w:vAlign w:val="center"/>
                </w:tcPr>
                <w:p w14:paraId="06A04032">
                  <w:pPr>
                    <w:widowControl/>
                    <w:jc w:val="left"/>
                    <w:rPr>
                      <w:bCs/>
                    </w:rPr>
                  </w:pPr>
                </w:p>
              </w:tc>
              <w:tc>
                <w:tcPr>
                  <w:tcW w:w="2107" w:type="dxa"/>
                  <w:gridSpan w:val="2"/>
                  <w:tcBorders>
                    <w:tl2br w:val="nil"/>
                    <w:tr2bl w:val="nil"/>
                  </w:tcBorders>
                  <w:vAlign w:val="center"/>
                </w:tcPr>
                <w:p w14:paraId="1F2B7CF0">
                  <w:pPr>
                    <w:widowControl/>
                    <w:jc w:val="center"/>
                    <w:rPr>
                      <w:bCs/>
                    </w:rPr>
                  </w:pPr>
                  <w:r>
                    <w:rPr>
                      <w:bCs/>
                    </w:rPr>
                    <w:t>能效等级</w:t>
                  </w:r>
                </w:p>
              </w:tc>
              <w:tc>
                <w:tcPr>
                  <w:tcW w:w="2107" w:type="dxa"/>
                  <w:tcBorders>
                    <w:tl2br w:val="nil"/>
                    <w:tr2bl w:val="nil"/>
                  </w:tcBorders>
                  <w:vAlign w:val="center"/>
                </w:tcPr>
                <w:p w14:paraId="01849D57">
                  <w:pPr>
                    <w:widowControl/>
                    <w:jc w:val="center"/>
                    <w:rPr>
                      <w:bCs/>
                    </w:rPr>
                  </w:pPr>
                  <w:r>
                    <w:rPr>
                      <w:bCs/>
                    </w:rPr>
                    <w:t>2级(GB20052-2024)</w:t>
                  </w:r>
                </w:p>
              </w:tc>
              <w:tc>
                <w:tcPr>
                  <w:tcW w:w="758" w:type="dxa"/>
                  <w:vMerge w:val="continue"/>
                  <w:tcBorders>
                    <w:tl2br w:val="nil"/>
                    <w:tr2bl w:val="nil"/>
                  </w:tcBorders>
                  <w:vAlign w:val="center"/>
                </w:tcPr>
                <w:p w14:paraId="3E951F13">
                  <w:pPr>
                    <w:widowControl/>
                    <w:jc w:val="left"/>
                    <w:rPr>
                      <w:bCs/>
                    </w:rPr>
                  </w:pPr>
                </w:p>
              </w:tc>
              <w:tc>
                <w:tcPr>
                  <w:tcW w:w="701" w:type="dxa"/>
                  <w:vMerge w:val="continue"/>
                  <w:tcBorders>
                    <w:tl2br w:val="nil"/>
                    <w:tr2bl w:val="nil"/>
                  </w:tcBorders>
                  <w:vAlign w:val="center"/>
                </w:tcPr>
                <w:p w14:paraId="46A25151">
                  <w:pPr>
                    <w:widowControl/>
                    <w:jc w:val="left"/>
                    <w:rPr>
                      <w:bCs/>
                    </w:rPr>
                  </w:pPr>
                </w:p>
              </w:tc>
            </w:tr>
            <w:tr w14:paraId="2A7142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426" w:type="dxa"/>
                  <w:vMerge w:val="continue"/>
                  <w:tcBorders>
                    <w:tl2br w:val="nil"/>
                    <w:tr2bl w:val="nil"/>
                  </w:tcBorders>
                  <w:vAlign w:val="center"/>
                </w:tcPr>
                <w:p w14:paraId="12D7B876">
                  <w:pPr>
                    <w:widowControl/>
                    <w:jc w:val="left"/>
                    <w:rPr>
                      <w:bCs/>
                    </w:rPr>
                  </w:pPr>
                </w:p>
              </w:tc>
              <w:tc>
                <w:tcPr>
                  <w:tcW w:w="2163" w:type="dxa"/>
                  <w:vMerge w:val="continue"/>
                  <w:tcBorders>
                    <w:tl2br w:val="nil"/>
                    <w:tr2bl w:val="nil"/>
                  </w:tcBorders>
                  <w:vAlign w:val="center"/>
                </w:tcPr>
                <w:p w14:paraId="0F4DB8B5">
                  <w:pPr>
                    <w:widowControl/>
                    <w:jc w:val="left"/>
                    <w:rPr>
                      <w:bCs/>
                    </w:rPr>
                  </w:pPr>
                </w:p>
              </w:tc>
              <w:tc>
                <w:tcPr>
                  <w:tcW w:w="2107" w:type="dxa"/>
                  <w:gridSpan w:val="2"/>
                  <w:tcBorders>
                    <w:tl2br w:val="nil"/>
                    <w:tr2bl w:val="nil"/>
                  </w:tcBorders>
                  <w:vAlign w:val="center"/>
                </w:tcPr>
                <w:p w14:paraId="3EB93FCC">
                  <w:pPr>
                    <w:widowControl/>
                    <w:jc w:val="center"/>
                    <w:rPr>
                      <w:bCs/>
                    </w:rPr>
                  </w:pPr>
                  <w:r>
                    <w:rPr>
                      <w:bCs/>
                    </w:rPr>
                    <w:t>防腐等级</w:t>
                  </w:r>
                </w:p>
              </w:tc>
              <w:tc>
                <w:tcPr>
                  <w:tcW w:w="2107" w:type="dxa"/>
                  <w:tcBorders>
                    <w:tl2br w:val="nil"/>
                    <w:tr2bl w:val="nil"/>
                  </w:tcBorders>
                  <w:vAlign w:val="center"/>
                </w:tcPr>
                <w:p w14:paraId="6DBC7FE8">
                  <w:pPr>
                    <w:widowControl/>
                    <w:jc w:val="center"/>
                    <w:rPr>
                      <w:bCs/>
                    </w:rPr>
                  </w:pPr>
                  <w:r>
                    <w:rPr>
                      <w:bCs/>
                    </w:rPr>
                    <w:t>C4</w:t>
                  </w:r>
                </w:p>
              </w:tc>
              <w:tc>
                <w:tcPr>
                  <w:tcW w:w="758" w:type="dxa"/>
                  <w:vMerge w:val="continue"/>
                  <w:tcBorders>
                    <w:tl2br w:val="nil"/>
                    <w:tr2bl w:val="nil"/>
                  </w:tcBorders>
                  <w:vAlign w:val="center"/>
                </w:tcPr>
                <w:p w14:paraId="371C1C10">
                  <w:pPr>
                    <w:widowControl/>
                    <w:jc w:val="left"/>
                    <w:rPr>
                      <w:bCs/>
                    </w:rPr>
                  </w:pPr>
                </w:p>
              </w:tc>
              <w:tc>
                <w:tcPr>
                  <w:tcW w:w="701" w:type="dxa"/>
                  <w:vMerge w:val="continue"/>
                  <w:tcBorders>
                    <w:tl2br w:val="nil"/>
                    <w:tr2bl w:val="nil"/>
                  </w:tcBorders>
                  <w:vAlign w:val="center"/>
                </w:tcPr>
                <w:p w14:paraId="630E1354">
                  <w:pPr>
                    <w:widowControl/>
                    <w:jc w:val="left"/>
                    <w:rPr>
                      <w:bCs/>
                    </w:rPr>
                  </w:pPr>
                </w:p>
              </w:tc>
            </w:tr>
            <w:tr w14:paraId="0D518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426" w:type="dxa"/>
                  <w:vMerge w:val="restart"/>
                  <w:tcBorders>
                    <w:tl2br w:val="nil"/>
                    <w:tr2bl w:val="nil"/>
                  </w:tcBorders>
                  <w:vAlign w:val="center"/>
                </w:tcPr>
                <w:p w14:paraId="285038B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vMerge w:val="restart"/>
                  <w:tcBorders>
                    <w:tl2br w:val="nil"/>
                    <w:tr2bl w:val="nil"/>
                  </w:tcBorders>
                  <w:vAlign w:val="center"/>
                </w:tcPr>
                <w:p w14:paraId="79B62E6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主变压器中性点成套装置</w:t>
                  </w:r>
                </w:p>
              </w:tc>
              <w:tc>
                <w:tcPr>
                  <w:tcW w:w="4214" w:type="dxa"/>
                  <w:gridSpan w:val="3"/>
                  <w:tcBorders>
                    <w:tl2br w:val="nil"/>
                    <w:tr2bl w:val="nil"/>
                  </w:tcBorders>
                  <w:vAlign w:val="center"/>
                </w:tcPr>
                <w:p w14:paraId="0B8DB2B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隔离开关</w:t>
                  </w:r>
                </w:p>
              </w:tc>
              <w:tc>
                <w:tcPr>
                  <w:tcW w:w="758" w:type="dxa"/>
                  <w:tcBorders>
                    <w:tl2br w:val="nil"/>
                    <w:tr2bl w:val="nil"/>
                  </w:tcBorders>
                  <w:vAlign w:val="center"/>
                </w:tcPr>
                <w:p w14:paraId="4AC5B06D">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1307A5C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152C22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426" w:type="dxa"/>
                  <w:vMerge w:val="continue"/>
                  <w:tcBorders>
                    <w:tl2br w:val="nil"/>
                    <w:tr2bl w:val="nil"/>
                  </w:tcBorders>
                  <w:vAlign w:val="center"/>
                </w:tcPr>
                <w:p w14:paraId="1B42686D">
                  <w:pPr>
                    <w:pStyle w:val="73"/>
                    <w:kinsoku w:val="0"/>
                    <w:overflowPunct w:val="0"/>
                    <w:jc w:val="center"/>
                    <w:rPr>
                      <w:rFonts w:ascii="Times New Roman" w:hAnsi="Times New Roman" w:cs="Times New Roman"/>
                      <w:bCs/>
                    </w:rPr>
                  </w:pPr>
                </w:p>
              </w:tc>
              <w:tc>
                <w:tcPr>
                  <w:tcW w:w="2163" w:type="dxa"/>
                  <w:vMerge w:val="continue"/>
                  <w:tcBorders>
                    <w:tl2br w:val="nil"/>
                    <w:tr2bl w:val="nil"/>
                  </w:tcBorders>
                  <w:vAlign w:val="center"/>
                </w:tcPr>
                <w:p w14:paraId="3D10FDA4">
                  <w:pPr>
                    <w:pStyle w:val="73"/>
                    <w:kinsoku w:val="0"/>
                    <w:overflowPunct w:val="0"/>
                    <w:jc w:val="center"/>
                    <w:rPr>
                      <w:rFonts w:ascii="Times New Roman" w:hAnsi="Times New Roman" w:cs="Times New Roman"/>
                      <w:bCs/>
                    </w:rPr>
                  </w:pPr>
                </w:p>
              </w:tc>
              <w:tc>
                <w:tcPr>
                  <w:tcW w:w="4214" w:type="dxa"/>
                  <w:gridSpan w:val="3"/>
                  <w:tcBorders>
                    <w:tl2br w:val="nil"/>
                    <w:tr2bl w:val="nil"/>
                  </w:tcBorders>
                  <w:vAlign w:val="center"/>
                </w:tcPr>
                <w:p w14:paraId="5063FDC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避雷器</w:t>
                  </w:r>
                </w:p>
              </w:tc>
              <w:tc>
                <w:tcPr>
                  <w:tcW w:w="758" w:type="dxa"/>
                  <w:tcBorders>
                    <w:tl2br w:val="nil"/>
                    <w:tr2bl w:val="nil"/>
                  </w:tcBorders>
                  <w:vAlign w:val="center"/>
                </w:tcPr>
                <w:p w14:paraId="4FF19F43">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0A041D7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22A537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426" w:type="dxa"/>
                  <w:vMerge w:val="continue"/>
                  <w:tcBorders>
                    <w:tl2br w:val="nil"/>
                    <w:tr2bl w:val="nil"/>
                  </w:tcBorders>
                  <w:vAlign w:val="center"/>
                </w:tcPr>
                <w:p w14:paraId="14A8D8A1">
                  <w:pPr>
                    <w:pStyle w:val="73"/>
                    <w:kinsoku w:val="0"/>
                    <w:overflowPunct w:val="0"/>
                    <w:jc w:val="center"/>
                    <w:rPr>
                      <w:rFonts w:ascii="Times New Roman" w:hAnsi="Times New Roman" w:cs="Times New Roman"/>
                      <w:bCs/>
                      <w:szCs w:val="21"/>
                    </w:rPr>
                  </w:pPr>
                </w:p>
              </w:tc>
              <w:tc>
                <w:tcPr>
                  <w:tcW w:w="2163" w:type="dxa"/>
                  <w:vMerge w:val="continue"/>
                  <w:tcBorders>
                    <w:tl2br w:val="nil"/>
                    <w:tr2bl w:val="nil"/>
                  </w:tcBorders>
                  <w:vAlign w:val="center"/>
                </w:tcPr>
                <w:p w14:paraId="36B17B53">
                  <w:pPr>
                    <w:pStyle w:val="73"/>
                    <w:kinsoku w:val="0"/>
                    <w:overflowPunct w:val="0"/>
                    <w:jc w:val="center"/>
                    <w:rPr>
                      <w:rFonts w:ascii="Times New Roman" w:hAnsi="Times New Roman" w:cs="Times New Roman"/>
                      <w:bCs/>
                      <w:szCs w:val="21"/>
                    </w:rPr>
                  </w:pPr>
                </w:p>
              </w:tc>
              <w:tc>
                <w:tcPr>
                  <w:tcW w:w="4214" w:type="dxa"/>
                  <w:gridSpan w:val="3"/>
                  <w:tcBorders>
                    <w:tl2br w:val="nil"/>
                    <w:tr2bl w:val="nil"/>
                  </w:tcBorders>
                  <w:vAlign w:val="center"/>
                </w:tcPr>
                <w:p w14:paraId="188052E3">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电流互感器</w:t>
                  </w:r>
                </w:p>
              </w:tc>
              <w:tc>
                <w:tcPr>
                  <w:tcW w:w="758" w:type="dxa"/>
                  <w:tcBorders>
                    <w:tl2br w:val="nil"/>
                    <w:tr2bl w:val="nil"/>
                  </w:tcBorders>
                  <w:vAlign w:val="center"/>
                </w:tcPr>
                <w:p w14:paraId="32FA4BA2">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只</w:t>
                  </w:r>
                </w:p>
              </w:tc>
              <w:tc>
                <w:tcPr>
                  <w:tcW w:w="701" w:type="dxa"/>
                  <w:tcBorders>
                    <w:tl2br w:val="nil"/>
                    <w:tr2bl w:val="nil"/>
                  </w:tcBorders>
                  <w:vAlign w:val="center"/>
                </w:tcPr>
                <w:p w14:paraId="63A56D3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3CA58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26" w:type="dxa"/>
                  <w:tcBorders>
                    <w:tl2br w:val="nil"/>
                    <w:tr2bl w:val="nil"/>
                  </w:tcBorders>
                  <w:vAlign w:val="center"/>
                </w:tcPr>
                <w:p w14:paraId="092CC62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二</w:t>
                  </w:r>
                </w:p>
              </w:tc>
              <w:tc>
                <w:tcPr>
                  <w:tcW w:w="7836" w:type="dxa"/>
                  <w:gridSpan w:val="6"/>
                  <w:tcBorders>
                    <w:tl2br w:val="nil"/>
                    <w:tr2bl w:val="nil"/>
                  </w:tcBorders>
                  <w:vAlign w:val="center"/>
                </w:tcPr>
                <w:p w14:paraId="02F226E3">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高压</w:t>
                  </w:r>
                  <w:r>
                    <w:rPr>
                      <w:rFonts w:ascii="Times New Roman" w:hAnsi="Times New Roman" w:cs="Times New Roman"/>
                      <w:bCs/>
                      <w:szCs w:val="21"/>
                    </w:rPr>
                    <w:t>配电装置</w:t>
                  </w:r>
                </w:p>
              </w:tc>
            </w:tr>
            <w:tr w14:paraId="68EC4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0A544CB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tcBorders>
                    <w:tl2br w:val="nil"/>
                    <w:tr2bl w:val="nil"/>
                  </w:tcBorders>
                  <w:vAlign w:val="center"/>
                </w:tcPr>
                <w:p w14:paraId="47ADD89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GIS 预制舱</w:t>
                  </w:r>
                </w:p>
              </w:tc>
              <w:tc>
                <w:tcPr>
                  <w:tcW w:w="4214" w:type="dxa"/>
                  <w:gridSpan w:val="3"/>
                  <w:tcBorders>
                    <w:tl2br w:val="nil"/>
                    <w:tr2bl w:val="nil"/>
                  </w:tcBorders>
                  <w:vAlign w:val="center"/>
                </w:tcPr>
                <w:p w14:paraId="21AF6D4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11m</w:t>
                  </w:r>
                  <w:r>
                    <w:rPr>
                      <w:rFonts w:ascii="Times New Roman" w:hAnsi="Times New Roman" w:cs="Times New Roman"/>
                      <w:bCs/>
                      <w:szCs w:val="21"/>
                      <w:lang w:val="en-US"/>
                    </w:rPr>
                    <w:t>×</w:t>
                  </w:r>
                  <w:r>
                    <w:rPr>
                      <w:rFonts w:ascii="Times New Roman" w:hAnsi="Times New Roman" w:cs="Times New Roman"/>
                      <w:bCs/>
                      <w:szCs w:val="21"/>
                    </w:rPr>
                    <w:t>24.2m（宽</w:t>
                  </w:r>
                  <w:r>
                    <w:rPr>
                      <w:rFonts w:ascii="Times New Roman" w:hAnsi="Times New Roman" w:cs="Times New Roman"/>
                      <w:bCs/>
                      <w:szCs w:val="21"/>
                      <w:lang w:val="en-US"/>
                    </w:rPr>
                    <w:t>×</w:t>
                  </w:r>
                  <w:r>
                    <w:rPr>
                      <w:rFonts w:ascii="Times New Roman" w:hAnsi="Times New Roman" w:cs="Times New Roman"/>
                      <w:bCs/>
                      <w:szCs w:val="21"/>
                    </w:rPr>
                    <w:t>⻓）</w:t>
                  </w:r>
                </w:p>
              </w:tc>
              <w:tc>
                <w:tcPr>
                  <w:tcW w:w="758" w:type="dxa"/>
                  <w:tcBorders>
                    <w:tl2br w:val="nil"/>
                    <w:tr2bl w:val="nil"/>
                  </w:tcBorders>
                  <w:vAlign w:val="center"/>
                </w:tcPr>
                <w:p w14:paraId="0D8495E3">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套</w:t>
                  </w:r>
                </w:p>
              </w:tc>
              <w:tc>
                <w:tcPr>
                  <w:tcW w:w="701" w:type="dxa"/>
                  <w:tcBorders>
                    <w:tl2br w:val="nil"/>
                    <w:tr2bl w:val="nil"/>
                  </w:tcBorders>
                  <w:vAlign w:val="center"/>
                </w:tcPr>
                <w:p w14:paraId="0563BEAE">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55746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72EB24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tcBorders>
                    <w:tl2br w:val="nil"/>
                    <w:tr2bl w:val="nil"/>
                  </w:tcBorders>
                  <w:vAlign w:val="center"/>
                </w:tcPr>
                <w:p w14:paraId="0B2DDD5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进线间隔（户内型）</w:t>
                  </w:r>
                </w:p>
              </w:tc>
              <w:tc>
                <w:tcPr>
                  <w:tcW w:w="4214" w:type="dxa"/>
                  <w:gridSpan w:val="3"/>
                  <w:tcBorders>
                    <w:tl2br w:val="nil"/>
                    <w:tr2bl w:val="nil"/>
                  </w:tcBorders>
                  <w:vAlign w:val="center"/>
                </w:tcPr>
                <w:p w14:paraId="50DB9EB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252kV，2500A，50kA-4s，125kA</w:t>
                  </w:r>
                </w:p>
              </w:tc>
              <w:tc>
                <w:tcPr>
                  <w:tcW w:w="758" w:type="dxa"/>
                  <w:tcBorders>
                    <w:tl2br w:val="nil"/>
                    <w:tr2bl w:val="nil"/>
                  </w:tcBorders>
                  <w:vAlign w:val="center"/>
                </w:tcPr>
                <w:p w14:paraId="63D41BA9">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63FCB85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r>
            <w:tr w14:paraId="0F821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EE50B6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w:t>
                  </w:r>
                </w:p>
              </w:tc>
              <w:tc>
                <w:tcPr>
                  <w:tcW w:w="2163" w:type="dxa"/>
                  <w:tcBorders>
                    <w:tl2br w:val="nil"/>
                    <w:tr2bl w:val="nil"/>
                  </w:tcBorders>
                  <w:vAlign w:val="center"/>
                </w:tcPr>
                <w:p w14:paraId="6426B1A8">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出线间隔（户内型）</w:t>
                  </w:r>
                </w:p>
              </w:tc>
              <w:tc>
                <w:tcPr>
                  <w:tcW w:w="4214" w:type="dxa"/>
                  <w:gridSpan w:val="3"/>
                  <w:tcBorders>
                    <w:tl2br w:val="nil"/>
                    <w:tr2bl w:val="nil"/>
                  </w:tcBorders>
                  <w:vAlign w:val="center"/>
                </w:tcPr>
                <w:p w14:paraId="6B8037BB">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252kV，2500A，50kA-4s，125kA</w:t>
                  </w:r>
                </w:p>
              </w:tc>
              <w:tc>
                <w:tcPr>
                  <w:tcW w:w="758" w:type="dxa"/>
                  <w:tcBorders>
                    <w:tl2br w:val="nil"/>
                    <w:tr2bl w:val="nil"/>
                  </w:tcBorders>
                  <w:vAlign w:val="center"/>
                </w:tcPr>
                <w:p w14:paraId="21A906C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59CE36EE">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054F4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52C9798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w:t>
                  </w:r>
                </w:p>
              </w:tc>
              <w:tc>
                <w:tcPr>
                  <w:tcW w:w="2163" w:type="dxa"/>
                  <w:tcBorders>
                    <w:tl2br w:val="nil"/>
                    <w:tr2bl w:val="nil"/>
                  </w:tcBorders>
                  <w:vAlign w:val="center"/>
                </w:tcPr>
                <w:p w14:paraId="6090857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PT间隔（户内型）</w:t>
                  </w:r>
                </w:p>
              </w:tc>
              <w:tc>
                <w:tcPr>
                  <w:tcW w:w="4214" w:type="dxa"/>
                  <w:gridSpan w:val="3"/>
                  <w:tcBorders>
                    <w:tl2br w:val="nil"/>
                    <w:tr2bl w:val="nil"/>
                  </w:tcBorders>
                  <w:vAlign w:val="center"/>
                </w:tcPr>
                <w:p w14:paraId="3D16A89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252kV，</w:t>
                  </w:r>
                  <w:r>
                    <w:rPr>
                      <w:rFonts w:ascii="Times New Roman" w:hAnsi="Times New Roman" w:cs="Times New Roman"/>
                      <w:bCs/>
                      <w:szCs w:val="21"/>
                      <w:lang w:val="en-US"/>
                    </w:rPr>
                    <w:t>40</w:t>
                  </w:r>
                  <w:r>
                    <w:rPr>
                      <w:rFonts w:ascii="Times New Roman" w:hAnsi="Times New Roman" w:cs="Times New Roman"/>
                      <w:bCs/>
                      <w:szCs w:val="21"/>
                    </w:rPr>
                    <w:t>00A，50kA-4s，125kA</w:t>
                  </w:r>
                </w:p>
              </w:tc>
              <w:tc>
                <w:tcPr>
                  <w:tcW w:w="758" w:type="dxa"/>
                  <w:tcBorders>
                    <w:tl2br w:val="nil"/>
                    <w:tr2bl w:val="nil"/>
                  </w:tcBorders>
                  <w:vAlign w:val="center"/>
                </w:tcPr>
                <w:p w14:paraId="2B096775">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间隔</w:t>
                  </w:r>
                </w:p>
              </w:tc>
              <w:tc>
                <w:tcPr>
                  <w:tcW w:w="701" w:type="dxa"/>
                  <w:tcBorders>
                    <w:tl2br w:val="nil"/>
                    <w:tr2bl w:val="nil"/>
                  </w:tcBorders>
                  <w:vAlign w:val="center"/>
                </w:tcPr>
                <w:p w14:paraId="6AE53D8C">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740A7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4E27B73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5</w:t>
                  </w:r>
                </w:p>
              </w:tc>
              <w:tc>
                <w:tcPr>
                  <w:tcW w:w="2163" w:type="dxa"/>
                  <w:tcBorders>
                    <w:tl2br w:val="nil"/>
                    <w:tr2bl w:val="nil"/>
                  </w:tcBorders>
                  <w:vAlign w:val="center"/>
                </w:tcPr>
                <w:p w14:paraId="12A7A1D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220kV GIS 进出线套管</w:t>
                  </w:r>
                </w:p>
              </w:tc>
              <w:tc>
                <w:tcPr>
                  <w:tcW w:w="4214" w:type="dxa"/>
                  <w:gridSpan w:val="3"/>
                  <w:tcBorders>
                    <w:tl2br w:val="nil"/>
                    <w:tr2bl w:val="nil"/>
                  </w:tcBorders>
                  <w:vAlign w:val="center"/>
                </w:tcPr>
                <w:p w14:paraId="2CA89D2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rPr>
                    <w:t>252kV，</w:t>
                  </w:r>
                  <w:r>
                    <w:rPr>
                      <w:rFonts w:ascii="Times New Roman" w:hAnsi="Times New Roman" w:cs="Times New Roman"/>
                      <w:bCs/>
                      <w:szCs w:val="21"/>
                      <w:lang w:val="en-US"/>
                    </w:rPr>
                    <w:t>40</w:t>
                  </w:r>
                  <w:r>
                    <w:rPr>
                      <w:rFonts w:ascii="Times New Roman" w:hAnsi="Times New Roman" w:cs="Times New Roman"/>
                      <w:bCs/>
                      <w:szCs w:val="21"/>
                    </w:rPr>
                    <w:t>00A，50kA-4s，125kA，</w:t>
                  </w:r>
                  <w:r>
                    <w:rPr>
                      <w:rFonts w:ascii="Times New Roman" w:hAnsi="Times New Roman" w:cs="Times New Roman"/>
                      <w:bCs/>
                      <w:szCs w:val="21"/>
                      <w:lang w:val="en-US"/>
                    </w:rPr>
                    <w:t>架空套管</w:t>
                  </w:r>
                </w:p>
              </w:tc>
              <w:tc>
                <w:tcPr>
                  <w:tcW w:w="758" w:type="dxa"/>
                  <w:tcBorders>
                    <w:tl2br w:val="nil"/>
                    <w:tr2bl w:val="nil"/>
                  </w:tcBorders>
                  <w:vAlign w:val="center"/>
                </w:tcPr>
                <w:p w14:paraId="247382C9">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组</w:t>
                  </w:r>
                </w:p>
              </w:tc>
              <w:tc>
                <w:tcPr>
                  <w:tcW w:w="701" w:type="dxa"/>
                  <w:tcBorders>
                    <w:tl2br w:val="nil"/>
                    <w:tr2bl w:val="nil"/>
                  </w:tcBorders>
                  <w:vAlign w:val="center"/>
                </w:tcPr>
                <w:p w14:paraId="336E16E9">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w:t>
                  </w:r>
                </w:p>
              </w:tc>
            </w:tr>
            <w:tr w14:paraId="42EFD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43548F4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6</w:t>
                  </w:r>
                </w:p>
              </w:tc>
              <w:tc>
                <w:tcPr>
                  <w:tcW w:w="2163" w:type="dxa"/>
                  <w:tcBorders>
                    <w:tl2br w:val="nil"/>
                    <w:tr2bl w:val="nil"/>
                  </w:tcBorders>
                  <w:vAlign w:val="center"/>
                </w:tcPr>
                <w:p w14:paraId="3B2B9FBD">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户外氧化锌避雷器</w:t>
                  </w:r>
                </w:p>
              </w:tc>
              <w:tc>
                <w:tcPr>
                  <w:tcW w:w="4214" w:type="dxa"/>
                  <w:gridSpan w:val="3"/>
                  <w:tcBorders>
                    <w:tl2br w:val="nil"/>
                    <w:tr2bl w:val="nil"/>
                  </w:tcBorders>
                  <w:vAlign w:val="center"/>
                </w:tcPr>
                <w:p w14:paraId="0B08AD4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204-532 附在线监测仪</w:t>
                  </w:r>
                </w:p>
              </w:tc>
              <w:tc>
                <w:tcPr>
                  <w:tcW w:w="758" w:type="dxa"/>
                  <w:tcBorders>
                    <w:tl2br w:val="nil"/>
                    <w:tr2bl w:val="nil"/>
                  </w:tcBorders>
                  <w:vAlign w:val="center"/>
                </w:tcPr>
                <w:p w14:paraId="550B8563">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台</w:t>
                  </w:r>
                </w:p>
              </w:tc>
              <w:tc>
                <w:tcPr>
                  <w:tcW w:w="701" w:type="dxa"/>
                  <w:tcBorders>
                    <w:tl2br w:val="nil"/>
                    <w:tr2bl w:val="nil"/>
                  </w:tcBorders>
                  <w:vAlign w:val="center"/>
                </w:tcPr>
                <w:p w14:paraId="5DBBD340">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3</w:t>
                  </w:r>
                </w:p>
              </w:tc>
            </w:tr>
            <w:tr w14:paraId="5B10A4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6" w:type="dxa"/>
                  <w:tcBorders>
                    <w:tl2br w:val="nil"/>
                    <w:tr2bl w:val="nil"/>
                  </w:tcBorders>
                  <w:vAlign w:val="center"/>
                </w:tcPr>
                <w:p w14:paraId="65EB73D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7</w:t>
                  </w:r>
                </w:p>
              </w:tc>
              <w:tc>
                <w:tcPr>
                  <w:tcW w:w="2163" w:type="dxa"/>
                  <w:tcBorders>
                    <w:tl2br w:val="nil"/>
                    <w:tr2bl w:val="nil"/>
                  </w:tcBorders>
                  <w:vAlign w:val="center"/>
                </w:tcPr>
                <w:p w14:paraId="400F522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电容式电压互感器</w:t>
                  </w:r>
                </w:p>
              </w:tc>
              <w:tc>
                <w:tcPr>
                  <w:tcW w:w="4214" w:type="dxa"/>
                  <w:gridSpan w:val="3"/>
                  <w:tcBorders>
                    <w:tl2br w:val="nil"/>
                    <w:tr2bl w:val="nil"/>
                  </w:tcBorders>
                  <w:vAlign w:val="center"/>
                </w:tcPr>
                <w:p w14:paraId="29D1D249">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TYD220/√3-0.005W3</w:t>
                  </w:r>
                </w:p>
              </w:tc>
              <w:tc>
                <w:tcPr>
                  <w:tcW w:w="758" w:type="dxa"/>
                  <w:tcBorders>
                    <w:tl2br w:val="nil"/>
                    <w:tr2bl w:val="nil"/>
                  </w:tcBorders>
                  <w:vAlign w:val="center"/>
                </w:tcPr>
                <w:p w14:paraId="596691E5">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台</w:t>
                  </w:r>
                </w:p>
              </w:tc>
              <w:tc>
                <w:tcPr>
                  <w:tcW w:w="701" w:type="dxa"/>
                  <w:tcBorders>
                    <w:tl2br w:val="nil"/>
                    <w:tr2bl w:val="nil"/>
                  </w:tcBorders>
                  <w:vAlign w:val="center"/>
                </w:tcPr>
                <w:p w14:paraId="1CDB3607">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w:t>
                  </w:r>
                </w:p>
              </w:tc>
            </w:tr>
            <w:tr w14:paraId="52524E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2FA4E4F">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三</w:t>
                  </w:r>
                </w:p>
              </w:tc>
              <w:tc>
                <w:tcPr>
                  <w:tcW w:w="7836" w:type="dxa"/>
                  <w:gridSpan w:val="6"/>
                  <w:tcBorders>
                    <w:tl2br w:val="nil"/>
                    <w:tr2bl w:val="nil"/>
                  </w:tcBorders>
                  <w:vAlign w:val="center"/>
                </w:tcPr>
                <w:p w14:paraId="63CDCE1A">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35</w:t>
                  </w:r>
                  <w:r>
                    <w:rPr>
                      <w:rFonts w:ascii="Times New Roman" w:hAnsi="Times New Roman" w:cs="Times New Roman"/>
                      <w:bCs/>
                      <w:szCs w:val="21"/>
                    </w:rPr>
                    <w:t>kV配电装置</w:t>
                  </w:r>
                </w:p>
              </w:tc>
            </w:tr>
            <w:tr w14:paraId="4E5DC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3C2E2C5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1</w:t>
                  </w:r>
                </w:p>
              </w:tc>
              <w:tc>
                <w:tcPr>
                  <w:tcW w:w="2163" w:type="dxa"/>
                  <w:tcBorders>
                    <w:tl2br w:val="nil"/>
                    <w:tr2bl w:val="nil"/>
                  </w:tcBorders>
                  <w:vAlign w:val="center"/>
                </w:tcPr>
                <w:p w14:paraId="126C51BD">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35kV 预制舱</w:t>
                  </w:r>
                </w:p>
              </w:tc>
              <w:tc>
                <w:tcPr>
                  <w:tcW w:w="4214" w:type="dxa"/>
                  <w:gridSpan w:val="3"/>
                  <w:tcBorders>
                    <w:tl2br w:val="nil"/>
                    <w:tr2bl w:val="nil"/>
                  </w:tcBorders>
                  <w:vAlign w:val="center"/>
                </w:tcPr>
                <w:p w14:paraId="6599CCD4">
                  <w:pPr>
                    <w:pStyle w:val="73"/>
                    <w:kinsoku w:val="0"/>
                    <w:overflowPunct w:val="0"/>
                    <w:jc w:val="center"/>
                    <w:rPr>
                      <w:rFonts w:ascii="Times New Roman" w:hAnsi="Times New Roman" w:cs="Times New Roman"/>
                      <w:bCs/>
                      <w:szCs w:val="21"/>
                    </w:rPr>
                  </w:pPr>
                  <w:r>
                    <w:rPr>
                      <w:rFonts w:ascii="Times New Roman" w:hAnsi="Times New Roman" w:cs="Times New Roman"/>
                      <w:bCs/>
                      <w:szCs w:val="21"/>
                      <w:lang w:val="en-US"/>
                    </w:rPr>
                    <w:t>10.5</w:t>
                  </w:r>
                  <w:r>
                    <w:rPr>
                      <w:rFonts w:ascii="Times New Roman" w:hAnsi="Times New Roman" w:cs="Times New Roman"/>
                      <w:bCs/>
                      <w:szCs w:val="21"/>
                    </w:rPr>
                    <w:t>m</w:t>
                  </w:r>
                  <w:r>
                    <w:rPr>
                      <w:rFonts w:ascii="Times New Roman" w:hAnsi="Times New Roman" w:cs="Times New Roman"/>
                      <w:bCs/>
                      <w:szCs w:val="21"/>
                      <w:lang w:val="en-US"/>
                    </w:rPr>
                    <w:t>×</w:t>
                  </w:r>
                  <w:r>
                    <w:rPr>
                      <w:rFonts w:ascii="Times New Roman" w:hAnsi="Times New Roman" w:cs="Times New Roman"/>
                      <w:bCs/>
                      <w:szCs w:val="21"/>
                    </w:rPr>
                    <w:t>2</w:t>
                  </w:r>
                  <w:r>
                    <w:rPr>
                      <w:rFonts w:ascii="Times New Roman" w:hAnsi="Times New Roman" w:cs="Times New Roman"/>
                      <w:bCs/>
                      <w:szCs w:val="21"/>
                      <w:lang w:val="en-US"/>
                    </w:rPr>
                    <w:t>3.6</w:t>
                  </w:r>
                  <w:r>
                    <w:rPr>
                      <w:rFonts w:ascii="Times New Roman" w:hAnsi="Times New Roman" w:cs="Times New Roman"/>
                      <w:bCs/>
                      <w:szCs w:val="21"/>
                    </w:rPr>
                    <w:t>m（宽</w:t>
                  </w:r>
                  <w:r>
                    <w:rPr>
                      <w:rFonts w:ascii="Times New Roman" w:hAnsi="Times New Roman" w:cs="Times New Roman"/>
                      <w:bCs/>
                      <w:szCs w:val="21"/>
                      <w:lang w:val="en-US"/>
                    </w:rPr>
                    <w:t>×</w:t>
                  </w:r>
                  <w:r>
                    <w:rPr>
                      <w:rFonts w:ascii="Times New Roman" w:hAnsi="Times New Roman" w:cs="Times New Roman"/>
                      <w:bCs/>
                      <w:szCs w:val="21"/>
                    </w:rPr>
                    <w:t>⻓）</w:t>
                  </w:r>
                </w:p>
              </w:tc>
              <w:tc>
                <w:tcPr>
                  <w:tcW w:w="758" w:type="dxa"/>
                  <w:tcBorders>
                    <w:tl2br w:val="nil"/>
                    <w:tr2bl w:val="nil"/>
                  </w:tcBorders>
                  <w:vAlign w:val="center"/>
                </w:tcPr>
                <w:p w14:paraId="3518FE4D">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36C5C88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r>
            <w:tr w14:paraId="64F86E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A2969B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2</w:t>
                  </w:r>
                </w:p>
              </w:tc>
              <w:tc>
                <w:tcPr>
                  <w:tcW w:w="2163" w:type="dxa"/>
                  <w:tcBorders>
                    <w:tl2br w:val="nil"/>
                    <w:tr2bl w:val="nil"/>
                  </w:tcBorders>
                  <w:vAlign w:val="center"/>
                </w:tcPr>
                <w:p w14:paraId="1DE48CF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rPr>
                    <w:t>充气式主进开</w:t>
                  </w:r>
                  <w:r>
                    <w:rPr>
                      <w:rFonts w:ascii="Times New Roman" w:hAnsi="Times New Roman" w:cs="Times New Roman"/>
                      <w:bCs/>
                      <w:szCs w:val="21"/>
                      <w:lang w:val="en-US"/>
                    </w:rPr>
                    <w:t>关柜</w:t>
                  </w:r>
                </w:p>
              </w:tc>
              <w:tc>
                <w:tcPr>
                  <w:tcW w:w="4214" w:type="dxa"/>
                  <w:gridSpan w:val="3"/>
                  <w:tcBorders>
                    <w:tl2br w:val="nil"/>
                    <w:tr2bl w:val="nil"/>
                  </w:tcBorders>
                  <w:vAlign w:val="center"/>
                </w:tcPr>
                <w:p w14:paraId="6E99C3D4">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302BFA3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vAlign w:val="center"/>
                </w:tcPr>
                <w:p w14:paraId="75E012A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2899D0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2DC58C7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w:t>
                  </w:r>
                </w:p>
              </w:tc>
              <w:tc>
                <w:tcPr>
                  <w:tcW w:w="2163" w:type="dxa"/>
                  <w:tcBorders>
                    <w:tl2br w:val="nil"/>
                    <w:tr2bl w:val="nil"/>
                  </w:tcBorders>
                  <w:vAlign w:val="center"/>
                </w:tcPr>
                <w:p w14:paraId="6855C5E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充气式汇集线路进线柜</w:t>
                  </w:r>
                </w:p>
              </w:tc>
              <w:tc>
                <w:tcPr>
                  <w:tcW w:w="4214" w:type="dxa"/>
                  <w:gridSpan w:val="3"/>
                  <w:tcBorders>
                    <w:tl2br w:val="nil"/>
                    <w:tr2bl w:val="nil"/>
                  </w:tcBorders>
                  <w:vAlign w:val="center"/>
                </w:tcPr>
                <w:p w14:paraId="3A3379C0">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shd w:val="clear" w:color="auto" w:fill="auto"/>
                  <w:vAlign w:val="center"/>
                </w:tcPr>
                <w:p w14:paraId="531DAC7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shd w:val="clear" w:color="auto" w:fill="auto"/>
                  <w:vAlign w:val="center"/>
                </w:tcPr>
                <w:p w14:paraId="5B968E5D">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8</w:t>
                  </w:r>
                </w:p>
              </w:tc>
            </w:tr>
            <w:tr w14:paraId="260C4E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A8ECAA2">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w:t>
                  </w:r>
                </w:p>
              </w:tc>
              <w:tc>
                <w:tcPr>
                  <w:tcW w:w="2163" w:type="dxa"/>
                  <w:tcBorders>
                    <w:tl2br w:val="nil"/>
                    <w:tr2bl w:val="nil"/>
                  </w:tcBorders>
                  <w:vAlign w:val="center"/>
                </w:tcPr>
                <w:p w14:paraId="0758A057">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充气式动态无功补偿柜</w:t>
                  </w:r>
                </w:p>
              </w:tc>
              <w:tc>
                <w:tcPr>
                  <w:tcW w:w="4214" w:type="dxa"/>
                  <w:gridSpan w:val="3"/>
                  <w:tcBorders>
                    <w:tl2br w:val="nil"/>
                    <w:tr2bl w:val="nil"/>
                  </w:tcBorders>
                  <w:vAlign w:val="center"/>
                </w:tcPr>
                <w:p w14:paraId="07B296D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64EBD50B">
                  <w:pPr>
                    <w:kinsoku w:val="0"/>
                    <w:overflowPunct w:val="0"/>
                    <w:jc w:val="center"/>
                    <w:rPr>
                      <w:bCs/>
                      <w:szCs w:val="21"/>
                    </w:rPr>
                  </w:pPr>
                  <w:r>
                    <w:rPr>
                      <w:bCs/>
                      <w:szCs w:val="21"/>
                    </w:rPr>
                    <w:t>面</w:t>
                  </w:r>
                </w:p>
              </w:tc>
              <w:tc>
                <w:tcPr>
                  <w:tcW w:w="701" w:type="dxa"/>
                  <w:tcBorders>
                    <w:tl2br w:val="nil"/>
                    <w:tr2bl w:val="nil"/>
                  </w:tcBorders>
                  <w:vAlign w:val="center"/>
                </w:tcPr>
                <w:p w14:paraId="1F3C865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468F1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106C21D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5</w:t>
                  </w:r>
                </w:p>
              </w:tc>
              <w:tc>
                <w:tcPr>
                  <w:tcW w:w="2163" w:type="dxa"/>
                  <w:tcBorders>
                    <w:tl2br w:val="nil"/>
                    <w:tr2bl w:val="nil"/>
                  </w:tcBorders>
                  <w:vAlign w:val="center"/>
                </w:tcPr>
                <w:p w14:paraId="595446E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充气式站变、接地变开关柜</w:t>
                  </w:r>
                </w:p>
              </w:tc>
              <w:tc>
                <w:tcPr>
                  <w:tcW w:w="4214" w:type="dxa"/>
                  <w:gridSpan w:val="3"/>
                  <w:tcBorders>
                    <w:tl2br w:val="nil"/>
                    <w:tr2bl w:val="nil"/>
                  </w:tcBorders>
                  <w:vAlign w:val="center"/>
                </w:tcPr>
                <w:p w14:paraId="1CEE94B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 SF6 断路器和 CT</w:t>
                  </w:r>
                </w:p>
              </w:tc>
              <w:tc>
                <w:tcPr>
                  <w:tcW w:w="758" w:type="dxa"/>
                  <w:tcBorders>
                    <w:tl2br w:val="nil"/>
                    <w:tr2bl w:val="nil"/>
                  </w:tcBorders>
                  <w:vAlign w:val="center"/>
                </w:tcPr>
                <w:p w14:paraId="5503F7F0">
                  <w:pPr>
                    <w:kinsoku w:val="0"/>
                    <w:overflowPunct w:val="0"/>
                    <w:jc w:val="center"/>
                    <w:rPr>
                      <w:bCs/>
                      <w:szCs w:val="21"/>
                    </w:rPr>
                  </w:pPr>
                  <w:r>
                    <w:rPr>
                      <w:bCs/>
                      <w:szCs w:val="21"/>
                    </w:rPr>
                    <w:t>面</w:t>
                  </w:r>
                </w:p>
              </w:tc>
              <w:tc>
                <w:tcPr>
                  <w:tcW w:w="701" w:type="dxa"/>
                  <w:tcBorders>
                    <w:tl2br w:val="nil"/>
                    <w:tr2bl w:val="nil"/>
                  </w:tcBorders>
                  <w:vAlign w:val="center"/>
                </w:tcPr>
                <w:p w14:paraId="0CBB9B1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w:t>
                  </w:r>
                </w:p>
              </w:tc>
            </w:tr>
            <w:tr w14:paraId="67112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37D535F5">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6</w:t>
                  </w:r>
                </w:p>
              </w:tc>
              <w:tc>
                <w:tcPr>
                  <w:tcW w:w="2163" w:type="dxa"/>
                  <w:tcBorders>
                    <w:tl2br w:val="nil"/>
                    <w:tr2bl w:val="nil"/>
                  </w:tcBorders>
                  <w:vAlign w:val="center"/>
                </w:tcPr>
                <w:p w14:paraId="592BE643">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充气式 PT 柜</w:t>
                  </w:r>
                </w:p>
              </w:tc>
              <w:tc>
                <w:tcPr>
                  <w:tcW w:w="4214" w:type="dxa"/>
                  <w:gridSpan w:val="3"/>
                  <w:tcBorders>
                    <w:tl2br w:val="nil"/>
                    <w:tr2bl w:val="nil"/>
                  </w:tcBorders>
                  <w:vAlign w:val="center"/>
                </w:tcPr>
                <w:p w14:paraId="6B65AB96">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含隔离手车，电压互感器及避雷器</w:t>
                  </w:r>
                </w:p>
              </w:tc>
              <w:tc>
                <w:tcPr>
                  <w:tcW w:w="758" w:type="dxa"/>
                  <w:tcBorders>
                    <w:tl2br w:val="nil"/>
                    <w:tr2bl w:val="nil"/>
                  </w:tcBorders>
                  <w:vAlign w:val="center"/>
                </w:tcPr>
                <w:p w14:paraId="5D4B7CA2">
                  <w:pPr>
                    <w:kinsoku w:val="0"/>
                    <w:overflowPunct w:val="0"/>
                    <w:jc w:val="center"/>
                    <w:rPr>
                      <w:bCs/>
                      <w:szCs w:val="21"/>
                    </w:rPr>
                  </w:pPr>
                  <w:r>
                    <w:rPr>
                      <w:bCs/>
                      <w:szCs w:val="21"/>
                    </w:rPr>
                    <w:t>面</w:t>
                  </w:r>
                </w:p>
              </w:tc>
              <w:tc>
                <w:tcPr>
                  <w:tcW w:w="701" w:type="dxa"/>
                  <w:tcBorders>
                    <w:tl2br w:val="nil"/>
                    <w:tr2bl w:val="nil"/>
                  </w:tcBorders>
                  <w:vAlign w:val="center"/>
                </w:tcPr>
                <w:p w14:paraId="587CFE74">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76FD30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031BA80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四</w:t>
                  </w:r>
                </w:p>
              </w:tc>
              <w:tc>
                <w:tcPr>
                  <w:tcW w:w="7836" w:type="dxa"/>
                  <w:gridSpan w:val="6"/>
                  <w:tcBorders>
                    <w:tl2br w:val="nil"/>
                    <w:tr2bl w:val="nil"/>
                  </w:tcBorders>
                  <w:vAlign w:val="center"/>
                </w:tcPr>
                <w:p w14:paraId="6D14CFA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中性点成套装置部分</w:t>
                  </w:r>
                </w:p>
              </w:tc>
            </w:tr>
            <w:tr w14:paraId="700F6B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6EFE3E15">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2F385551">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35kV 接地变压器</w:t>
                  </w:r>
                </w:p>
              </w:tc>
              <w:tc>
                <w:tcPr>
                  <w:tcW w:w="4214" w:type="dxa"/>
                  <w:gridSpan w:val="3"/>
                  <w:tcBorders>
                    <w:tl2br w:val="nil"/>
                    <w:tr2bl w:val="nil"/>
                  </w:tcBorders>
                  <w:vAlign w:val="center"/>
                </w:tcPr>
                <w:p w14:paraId="78ED82CC">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DKSC-1250/37ZN</w:t>
                  </w:r>
                </w:p>
              </w:tc>
              <w:tc>
                <w:tcPr>
                  <w:tcW w:w="758" w:type="dxa"/>
                  <w:tcBorders>
                    <w:tl2br w:val="nil"/>
                    <w:tr2bl w:val="nil"/>
                  </w:tcBorders>
                  <w:vAlign w:val="center"/>
                </w:tcPr>
                <w:p w14:paraId="4D6886F0">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55EA845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28D24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180FF7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c>
                <w:tcPr>
                  <w:tcW w:w="2163" w:type="dxa"/>
                  <w:tcBorders>
                    <w:tl2br w:val="nil"/>
                    <w:tr2bl w:val="nil"/>
                  </w:tcBorders>
                  <w:vAlign w:val="center"/>
                </w:tcPr>
                <w:p w14:paraId="017C3C52">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电阻柜</w:t>
                  </w:r>
                </w:p>
              </w:tc>
              <w:tc>
                <w:tcPr>
                  <w:tcW w:w="4214" w:type="dxa"/>
                  <w:gridSpan w:val="3"/>
                  <w:tcBorders>
                    <w:tl2br w:val="nil"/>
                    <w:tr2bl w:val="nil"/>
                  </w:tcBorders>
                  <w:vAlign w:val="center"/>
                </w:tcPr>
                <w:p w14:paraId="61484D5E">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400A/10S/53Ω</w:t>
                  </w:r>
                </w:p>
              </w:tc>
              <w:tc>
                <w:tcPr>
                  <w:tcW w:w="758" w:type="dxa"/>
                  <w:tcBorders>
                    <w:tl2br w:val="nil"/>
                    <w:tr2bl w:val="nil"/>
                  </w:tcBorders>
                  <w:vAlign w:val="center"/>
                </w:tcPr>
                <w:p w14:paraId="19682C88">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面</w:t>
                  </w:r>
                </w:p>
              </w:tc>
              <w:tc>
                <w:tcPr>
                  <w:tcW w:w="701" w:type="dxa"/>
                  <w:tcBorders>
                    <w:tl2br w:val="nil"/>
                    <w:tr2bl w:val="nil"/>
                  </w:tcBorders>
                  <w:vAlign w:val="center"/>
                </w:tcPr>
                <w:p w14:paraId="208F73AB">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12507C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76C04EB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五</w:t>
                  </w:r>
                </w:p>
              </w:tc>
              <w:tc>
                <w:tcPr>
                  <w:tcW w:w="7836" w:type="dxa"/>
                  <w:gridSpan w:val="6"/>
                  <w:tcBorders>
                    <w:tl2br w:val="nil"/>
                    <w:tr2bl w:val="nil"/>
                  </w:tcBorders>
                  <w:vAlign w:val="center"/>
                </w:tcPr>
                <w:p w14:paraId="3545B4D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动态无功补偿装置部分</w:t>
                  </w:r>
                </w:p>
              </w:tc>
            </w:tr>
            <w:tr w14:paraId="66A07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3551455E">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49F579E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35kV 动态无功补偿装置</w:t>
                  </w:r>
                </w:p>
              </w:tc>
              <w:tc>
                <w:tcPr>
                  <w:tcW w:w="4214" w:type="dxa"/>
                  <w:gridSpan w:val="3"/>
                  <w:tcBorders>
                    <w:tl2br w:val="nil"/>
                    <w:tr2bl w:val="nil"/>
                  </w:tcBorders>
                  <w:vAlign w:val="center"/>
                </w:tcPr>
                <w:p w14:paraId="1729C71D">
                  <w:pPr>
                    <w:pStyle w:val="73"/>
                    <w:kinsoku w:val="0"/>
                    <w:overflowPunct w:val="0"/>
                    <w:jc w:val="center"/>
                    <w:rPr>
                      <w:rFonts w:ascii="Times New Roman" w:hAnsi="Times New Roman" w:cs="Times New Roman"/>
                      <w:bCs/>
                      <w:szCs w:val="21"/>
                    </w:rPr>
                  </w:pPr>
                  <w:r>
                    <w:rPr>
                      <w:rFonts w:ascii="Times New Roman" w:hAnsi="Times New Roman" w:cs="Times New Roman"/>
                      <w:bCs/>
                      <w:szCs w:val="21"/>
                    </w:rPr>
                    <w:t>额定电压 35kV ±50Mvar SVG，直挂式，户外集装箱</w:t>
                  </w:r>
                </w:p>
              </w:tc>
              <w:tc>
                <w:tcPr>
                  <w:tcW w:w="758" w:type="dxa"/>
                  <w:tcBorders>
                    <w:tl2br w:val="nil"/>
                    <w:tr2bl w:val="nil"/>
                  </w:tcBorders>
                  <w:vAlign w:val="center"/>
                </w:tcPr>
                <w:p w14:paraId="1F42E76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套</w:t>
                  </w:r>
                </w:p>
              </w:tc>
              <w:tc>
                <w:tcPr>
                  <w:tcW w:w="701" w:type="dxa"/>
                  <w:tcBorders>
                    <w:tl2br w:val="nil"/>
                    <w:tr2bl w:val="nil"/>
                  </w:tcBorders>
                  <w:vAlign w:val="center"/>
                </w:tcPr>
                <w:p w14:paraId="4520FE82">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2</w:t>
                  </w:r>
                </w:p>
              </w:tc>
            </w:tr>
            <w:tr w14:paraId="574FFC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58F8317">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六</w:t>
                  </w:r>
                </w:p>
              </w:tc>
              <w:tc>
                <w:tcPr>
                  <w:tcW w:w="7836" w:type="dxa"/>
                  <w:gridSpan w:val="6"/>
                  <w:tcBorders>
                    <w:tl2br w:val="nil"/>
                    <w:tr2bl w:val="nil"/>
                  </w:tcBorders>
                  <w:vAlign w:val="center"/>
                </w:tcPr>
                <w:p w14:paraId="6BEB41D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380/220V 所用电部分</w:t>
                  </w:r>
                </w:p>
              </w:tc>
            </w:tr>
            <w:tr w14:paraId="77B92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26" w:type="dxa"/>
                  <w:tcBorders>
                    <w:tl2br w:val="nil"/>
                    <w:tr2bl w:val="nil"/>
                  </w:tcBorders>
                  <w:vAlign w:val="center"/>
                </w:tcPr>
                <w:p w14:paraId="5ADA6671">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c>
                <w:tcPr>
                  <w:tcW w:w="2163" w:type="dxa"/>
                  <w:tcBorders>
                    <w:tl2br w:val="nil"/>
                    <w:tr2bl w:val="nil"/>
                  </w:tcBorders>
                  <w:vAlign w:val="center"/>
                </w:tcPr>
                <w:p w14:paraId="74A669FB">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35kV 站变</w:t>
                  </w:r>
                </w:p>
              </w:tc>
              <w:tc>
                <w:tcPr>
                  <w:tcW w:w="4214" w:type="dxa"/>
                  <w:gridSpan w:val="3"/>
                  <w:tcBorders>
                    <w:tl2br w:val="nil"/>
                    <w:tr2bl w:val="nil"/>
                  </w:tcBorders>
                  <w:vAlign w:val="center"/>
                </w:tcPr>
                <w:p w14:paraId="7175ADDA">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SCB13-630/37</w:t>
                  </w:r>
                </w:p>
                <w:p w14:paraId="53B8282B">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37±2x2.5%/0.4kV</w:t>
                  </w:r>
                </w:p>
              </w:tc>
              <w:tc>
                <w:tcPr>
                  <w:tcW w:w="758" w:type="dxa"/>
                  <w:tcBorders>
                    <w:tl2br w:val="nil"/>
                    <w:tr2bl w:val="nil"/>
                  </w:tcBorders>
                  <w:vAlign w:val="center"/>
                </w:tcPr>
                <w:p w14:paraId="21D4DCE6">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台</w:t>
                  </w:r>
                </w:p>
              </w:tc>
              <w:tc>
                <w:tcPr>
                  <w:tcW w:w="701" w:type="dxa"/>
                  <w:tcBorders>
                    <w:tl2br w:val="nil"/>
                    <w:tr2bl w:val="nil"/>
                  </w:tcBorders>
                  <w:vAlign w:val="center"/>
                </w:tcPr>
                <w:p w14:paraId="45BEC1CC">
                  <w:pPr>
                    <w:pStyle w:val="73"/>
                    <w:kinsoku w:val="0"/>
                    <w:overflowPunct w:val="0"/>
                    <w:jc w:val="center"/>
                    <w:rPr>
                      <w:rFonts w:ascii="Times New Roman" w:hAnsi="Times New Roman" w:cs="Times New Roman"/>
                      <w:bCs/>
                      <w:szCs w:val="21"/>
                      <w:lang w:val="en-US"/>
                    </w:rPr>
                  </w:pPr>
                  <w:r>
                    <w:rPr>
                      <w:rFonts w:ascii="Times New Roman" w:hAnsi="Times New Roman" w:cs="Times New Roman"/>
                      <w:bCs/>
                      <w:szCs w:val="21"/>
                      <w:lang w:val="en-US"/>
                    </w:rPr>
                    <w:t>1</w:t>
                  </w:r>
                </w:p>
              </w:tc>
            </w:tr>
          </w:tbl>
          <w:p w14:paraId="06CF703B">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6、主要原辅材料</w:t>
            </w:r>
          </w:p>
          <w:p w14:paraId="6A2EF56B">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项目施工期主要原辅材料消耗具体见下表。</w:t>
            </w:r>
          </w:p>
          <w:p w14:paraId="30ECB5B1">
            <w:pPr>
              <w:spacing w:line="480" w:lineRule="exact"/>
              <w:jc w:val="center"/>
              <w:rPr>
                <w:b/>
                <w:bCs/>
              </w:rPr>
            </w:pPr>
            <w:r>
              <w:rPr>
                <w:b/>
                <w:bCs/>
              </w:rPr>
              <w:t>表2-</w:t>
            </w:r>
            <w:r>
              <w:rPr>
                <w:rFonts w:hint="eastAsia"/>
                <w:b/>
                <w:bCs/>
              </w:rPr>
              <w:t>11</w:t>
            </w:r>
            <w:r>
              <w:rPr>
                <w:b/>
                <w:bCs/>
              </w:rPr>
              <w:t xml:space="preserve">    施工期原辅材料消耗一览表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525"/>
              <w:gridCol w:w="962"/>
              <w:gridCol w:w="1089"/>
              <w:gridCol w:w="3246"/>
            </w:tblGrid>
            <w:tr w14:paraId="73D45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tcBorders>
                    <w:tl2br w:val="nil"/>
                    <w:tr2bl w:val="nil"/>
                  </w:tcBorders>
                  <w:shd w:val="clear" w:color="auto" w:fill="auto"/>
                  <w:vAlign w:val="center"/>
                </w:tcPr>
                <w:p w14:paraId="64A4E7EC">
                  <w:pPr>
                    <w:widowControl/>
                    <w:jc w:val="center"/>
                    <w:rPr>
                      <w:kern w:val="0"/>
                      <w:szCs w:val="21"/>
                    </w:rPr>
                  </w:pPr>
                  <w:r>
                    <w:rPr>
                      <w:kern w:val="0"/>
                      <w:szCs w:val="21"/>
                    </w:rPr>
                    <w:t>类别</w:t>
                  </w:r>
                </w:p>
              </w:tc>
              <w:tc>
                <w:tcPr>
                  <w:tcW w:w="1347" w:type="dxa"/>
                  <w:tcBorders>
                    <w:tl2br w:val="nil"/>
                    <w:tr2bl w:val="nil"/>
                  </w:tcBorders>
                  <w:shd w:val="clear" w:color="auto" w:fill="auto"/>
                  <w:vAlign w:val="center"/>
                </w:tcPr>
                <w:p w14:paraId="1F919E97">
                  <w:pPr>
                    <w:widowControl/>
                    <w:jc w:val="center"/>
                    <w:rPr>
                      <w:kern w:val="0"/>
                      <w:szCs w:val="21"/>
                    </w:rPr>
                  </w:pPr>
                  <w:r>
                    <w:rPr>
                      <w:kern w:val="0"/>
                      <w:szCs w:val="21"/>
                    </w:rPr>
                    <w:t>材料名称</w:t>
                  </w:r>
                </w:p>
              </w:tc>
              <w:tc>
                <w:tcPr>
                  <w:tcW w:w="850" w:type="dxa"/>
                  <w:tcBorders>
                    <w:tl2br w:val="nil"/>
                    <w:tr2bl w:val="nil"/>
                  </w:tcBorders>
                  <w:shd w:val="clear" w:color="auto" w:fill="auto"/>
                  <w:vAlign w:val="center"/>
                </w:tcPr>
                <w:p w14:paraId="782D8EFC">
                  <w:pPr>
                    <w:widowControl/>
                    <w:jc w:val="center"/>
                    <w:rPr>
                      <w:kern w:val="0"/>
                      <w:szCs w:val="21"/>
                    </w:rPr>
                  </w:pPr>
                  <w:r>
                    <w:rPr>
                      <w:kern w:val="0"/>
                      <w:szCs w:val="21"/>
                    </w:rPr>
                    <w:t>单位</w:t>
                  </w:r>
                </w:p>
              </w:tc>
              <w:tc>
                <w:tcPr>
                  <w:tcW w:w="962" w:type="dxa"/>
                  <w:tcBorders>
                    <w:tl2br w:val="nil"/>
                    <w:tr2bl w:val="nil"/>
                  </w:tcBorders>
                  <w:shd w:val="clear" w:color="auto" w:fill="auto"/>
                  <w:vAlign w:val="center"/>
                </w:tcPr>
                <w:p w14:paraId="6B937D67">
                  <w:pPr>
                    <w:widowControl/>
                    <w:jc w:val="center"/>
                    <w:rPr>
                      <w:kern w:val="0"/>
                      <w:szCs w:val="21"/>
                    </w:rPr>
                  </w:pPr>
                  <w:r>
                    <w:rPr>
                      <w:kern w:val="0"/>
                      <w:szCs w:val="21"/>
                    </w:rPr>
                    <w:t>用量</w:t>
                  </w:r>
                </w:p>
              </w:tc>
              <w:tc>
                <w:tcPr>
                  <w:tcW w:w="2868" w:type="dxa"/>
                  <w:tcBorders>
                    <w:tl2br w:val="nil"/>
                    <w:tr2bl w:val="nil"/>
                  </w:tcBorders>
                  <w:shd w:val="clear" w:color="auto" w:fill="auto"/>
                  <w:vAlign w:val="center"/>
                </w:tcPr>
                <w:p w14:paraId="5E89E128">
                  <w:pPr>
                    <w:widowControl/>
                    <w:jc w:val="center"/>
                    <w:rPr>
                      <w:kern w:val="0"/>
                      <w:szCs w:val="21"/>
                    </w:rPr>
                  </w:pPr>
                  <w:r>
                    <w:rPr>
                      <w:kern w:val="0"/>
                      <w:szCs w:val="21"/>
                    </w:rPr>
                    <w:t>用途说明</w:t>
                  </w:r>
                </w:p>
              </w:tc>
            </w:tr>
            <w:tr w14:paraId="1FE25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3A3B0D6C">
                  <w:pPr>
                    <w:widowControl/>
                    <w:jc w:val="center"/>
                    <w:rPr>
                      <w:kern w:val="0"/>
                      <w:szCs w:val="21"/>
                    </w:rPr>
                  </w:pPr>
                  <w:r>
                    <w:rPr>
                      <w:kern w:val="0"/>
                      <w:szCs w:val="21"/>
                    </w:rPr>
                    <w:t>土建工程</w:t>
                  </w:r>
                </w:p>
              </w:tc>
              <w:tc>
                <w:tcPr>
                  <w:tcW w:w="1347" w:type="dxa"/>
                  <w:tcBorders>
                    <w:tl2br w:val="nil"/>
                    <w:tr2bl w:val="nil"/>
                  </w:tcBorders>
                  <w:shd w:val="clear" w:color="auto" w:fill="auto"/>
                  <w:vAlign w:val="center"/>
                </w:tcPr>
                <w:p w14:paraId="68ABA787">
                  <w:pPr>
                    <w:widowControl/>
                    <w:jc w:val="center"/>
                    <w:rPr>
                      <w:kern w:val="0"/>
                      <w:szCs w:val="21"/>
                    </w:rPr>
                  </w:pPr>
                  <w:r>
                    <w:rPr>
                      <w:kern w:val="0"/>
                      <w:szCs w:val="21"/>
                    </w:rPr>
                    <w:t>钢材</w:t>
                  </w:r>
                </w:p>
              </w:tc>
              <w:tc>
                <w:tcPr>
                  <w:tcW w:w="850" w:type="dxa"/>
                  <w:tcBorders>
                    <w:tl2br w:val="nil"/>
                    <w:tr2bl w:val="nil"/>
                  </w:tcBorders>
                  <w:shd w:val="clear" w:color="auto" w:fill="auto"/>
                  <w:vAlign w:val="center"/>
                </w:tcPr>
                <w:p w14:paraId="7C44C950">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5EAD660B">
                  <w:pPr>
                    <w:widowControl/>
                    <w:jc w:val="center"/>
                    <w:textAlignment w:val="center"/>
                    <w:rPr>
                      <w:kern w:val="0"/>
                      <w:szCs w:val="21"/>
                    </w:rPr>
                  </w:pPr>
                  <w:r>
                    <w:rPr>
                      <w:kern w:val="0"/>
                      <w:szCs w:val="21"/>
                    </w:rPr>
                    <w:t>9500</w:t>
                  </w:r>
                </w:p>
              </w:tc>
              <w:tc>
                <w:tcPr>
                  <w:tcW w:w="2868" w:type="dxa"/>
                  <w:tcBorders>
                    <w:tl2br w:val="nil"/>
                    <w:tr2bl w:val="nil"/>
                  </w:tcBorders>
                  <w:shd w:val="clear" w:color="auto" w:fill="auto"/>
                  <w:vAlign w:val="center"/>
                </w:tcPr>
                <w:p w14:paraId="6E3A32F8">
                  <w:pPr>
                    <w:widowControl/>
                    <w:jc w:val="center"/>
                    <w:rPr>
                      <w:kern w:val="0"/>
                      <w:szCs w:val="21"/>
                    </w:rPr>
                  </w:pPr>
                  <w:r>
                    <w:rPr>
                      <w:kern w:val="0"/>
                      <w:szCs w:val="21"/>
                    </w:rPr>
                    <w:t>基础结构、升压站、道路建设</w:t>
                  </w:r>
                </w:p>
              </w:tc>
            </w:tr>
            <w:tr w14:paraId="3AD4F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FD08BC6">
                  <w:pPr>
                    <w:widowControl/>
                    <w:jc w:val="center"/>
                    <w:rPr>
                      <w:kern w:val="0"/>
                      <w:szCs w:val="21"/>
                    </w:rPr>
                  </w:pPr>
                </w:p>
              </w:tc>
              <w:tc>
                <w:tcPr>
                  <w:tcW w:w="1347" w:type="dxa"/>
                  <w:tcBorders>
                    <w:tl2br w:val="nil"/>
                    <w:tr2bl w:val="nil"/>
                  </w:tcBorders>
                  <w:shd w:val="clear" w:color="auto" w:fill="auto"/>
                  <w:vAlign w:val="center"/>
                </w:tcPr>
                <w:p w14:paraId="37124B12">
                  <w:pPr>
                    <w:widowControl/>
                    <w:jc w:val="center"/>
                    <w:rPr>
                      <w:kern w:val="0"/>
                      <w:szCs w:val="21"/>
                    </w:rPr>
                  </w:pPr>
                  <w:r>
                    <w:rPr>
                      <w:kern w:val="0"/>
                      <w:szCs w:val="21"/>
                    </w:rPr>
                    <w:t>水泥</w:t>
                  </w:r>
                </w:p>
              </w:tc>
              <w:tc>
                <w:tcPr>
                  <w:tcW w:w="850" w:type="dxa"/>
                  <w:tcBorders>
                    <w:tl2br w:val="nil"/>
                    <w:tr2bl w:val="nil"/>
                  </w:tcBorders>
                  <w:shd w:val="clear" w:color="auto" w:fill="auto"/>
                  <w:vAlign w:val="center"/>
                </w:tcPr>
                <w:p w14:paraId="519A3670">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2F3EE87C">
                  <w:pPr>
                    <w:widowControl/>
                    <w:jc w:val="center"/>
                    <w:textAlignment w:val="center"/>
                    <w:rPr>
                      <w:kern w:val="0"/>
                      <w:szCs w:val="21"/>
                    </w:rPr>
                  </w:pPr>
                  <w:r>
                    <w:rPr>
                      <w:kern w:val="0"/>
                      <w:szCs w:val="21"/>
                    </w:rPr>
                    <w:t>2790</w:t>
                  </w:r>
                </w:p>
              </w:tc>
              <w:tc>
                <w:tcPr>
                  <w:tcW w:w="2868" w:type="dxa"/>
                  <w:tcBorders>
                    <w:tl2br w:val="nil"/>
                    <w:tr2bl w:val="nil"/>
                  </w:tcBorders>
                  <w:shd w:val="clear" w:color="auto" w:fill="auto"/>
                  <w:vAlign w:val="center"/>
                </w:tcPr>
                <w:p w14:paraId="66C86121">
                  <w:pPr>
                    <w:widowControl/>
                    <w:jc w:val="center"/>
                    <w:rPr>
                      <w:kern w:val="0"/>
                      <w:szCs w:val="21"/>
                    </w:rPr>
                  </w:pPr>
                  <w:r>
                    <w:rPr>
                      <w:kern w:val="0"/>
                      <w:szCs w:val="21"/>
                    </w:rPr>
                    <w:t>混凝土浇筑（基础、道路、建筑）</w:t>
                  </w:r>
                </w:p>
              </w:tc>
            </w:tr>
            <w:tr w14:paraId="02121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02CBCB44">
                  <w:pPr>
                    <w:widowControl/>
                    <w:jc w:val="center"/>
                    <w:rPr>
                      <w:kern w:val="0"/>
                      <w:szCs w:val="21"/>
                    </w:rPr>
                  </w:pPr>
                </w:p>
              </w:tc>
              <w:tc>
                <w:tcPr>
                  <w:tcW w:w="1347" w:type="dxa"/>
                  <w:tcBorders>
                    <w:tl2br w:val="nil"/>
                    <w:tr2bl w:val="nil"/>
                  </w:tcBorders>
                  <w:shd w:val="clear" w:color="auto" w:fill="auto"/>
                  <w:vAlign w:val="center"/>
                </w:tcPr>
                <w:p w14:paraId="05C3565E">
                  <w:pPr>
                    <w:widowControl/>
                    <w:jc w:val="center"/>
                    <w:rPr>
                      <w:kern w:val="0"/>
                      <w:szCs w:val="21"/>
                    </w:rPr>
                  </w:pPr>
                  <w:r>
                    <w:rPr>
                      <w:kern w:val="0"/>
                      <w:szCs w:val="21"/>
                    </w:rPr>
                    <w:t>砂石骨料</w:t>
                  </w:r>
                </w:p>
              </w:tc>
              <w:tc>
                <w:tcPr>
                  <w:tcW w:w="850" w:type="dxa"/>
                  <w:tcBorders>
                    <w:tl2br w:val="nil"/>
                    <w:tr2bl w:val="nil"/>
                  </w:tcBorders>
                  <w:shd w:val="clear" w:color="auto" w:fill="auto"/>
                  <w:vAlign w:val="center"/>
                </w:tcPr>
                <w:p w14:paraId="52726317">
                  <w:pPr>
                    <w:widowControl/>
                    <w:jc w:val="center"/>
                    <w:rPr>
                      <w:kern w:val="0"/>
                      <w:szCs w:val="21"/>
                    </w:rPr>
                  </w:pPr>
                  <w:r>
                    <w:rPr>
                      <w:kern w:val="0"/>
                      <w:szCs w:val="21"/>
                    </w:rPr>
                    <w:t>立方米</w:t>
                  </w:r>
                </w:p>
              </w:tc>
              <w:tc>
                <w:tcPr>
                  <w:tcW w:w="962" w:type="dxa"/>
                  <w:tcBorders>
                    <w:tl2br w:val="nil"/>
                    <w:tr2bl w:val="nil"/>
                  </w:tcBorders>
                  <w:shd w:val="clear" w:color="auto" w:fill="auto"/>
                  <w:vAlign w:val="center"/>
                </w:tcPr>
                <w:p w14:paraId="58B2583A">
                  <w:pPr>
                    <w:widowControl/>
                    <w:jc w:val="center"/>
                    <w:textAlignment w:val="center"/>
                    <w:rPr>
                      <w:kern w:val="0"/>
                      <w:szCs w:val="21"/>
                    </w:rPr>
                  </w:pPr>
                  <w:r>
                    <w:rPr>
                      <w:kern w:val="0"/>
                      <w:szCs w:val="21"/>
                    </w:rPr>
                    <w:t>4230</w:t>
                  </w:r>
                </w:p>
              </w:tc>
              <w:tc>
                <w:tcPr>
                  <w:tcW w:w="2868" w:type="dxa"/>
                  <w:tcBorders>
                    <w:tl2br w:val="nil"/>
                    <w:tr2bl w:val="nil"/>
                  </w:tcBorders>
                  <w:shd w:val="clear" w:color="auto" w:fill="auto"/>
                  <w:vAlign w:val="center"/>
                </w:tcPr>
                <w:p w14:paraId="431C86B8">
                  <w:pPr>
                    <w:widowControl/>
                    <w:jc w:val="center"/>
                    <w:rPr>
                      <w:kern w:val="0"/>
                      <w:szCs w:val="21"/>
                    </w:rPr>
                  </w:pPr>
                  <w:r>
                    <w:rPr>
                      <w:rFonts w:hint="eastAsia"/>
                      <w:kern w:val="0"/>
                      <w:szCs w:val="21"/>
                    </w:rPr>
                    <w:t>道路垫层</w:t>
                  </w:r>
                </w:p>
              </w:tc>
            </w:tr>
            <w:tr w14:paraId="3DB96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1670AAAB">
                  <w:pPr>
                    <w:widowControl/>
                    <w:jc w:val="center"/>
                    <w:rPr>
                      <w:kern w:val="0"/>
                      <w:szCs w:val="21"/>
                    </w:rPr>
                  </w:pPr>
                </w:p>
              </w:tc>
              <w:tc>
                <w:tcPr>
                  <w:tcW w:w="1347" w:type="dxa"/>
                  <w:tcBorders>
                    <w:tl2br w:val="nil"/>
                    <w:tr2bl w:val="nil"/>
                  </w:tcBorders>
                  <w:shd w:val="clear" w:color="auto" w:fill="auto"/>
                  <w:vAlign w:val="center"/>
                </w:tcPr>
                <w:p w14:paraId="07151262">
                  <w:pPr>
                    <w:widowControl/>
                    <w:jc w:val="center"/>
                    <w:rPr>
                      <w:kern w:val="0"/>
                      <w:szCs w:val="21"/>
                    </w:rPr>
                  </w:pPr>
                  <w:r>
                    <w:rPr>
                      <w:rFonts w:hint="eastAsia"/>
                      <w:kern w:val="0"/>
                      <w:szCs w:val="21"/>
                    </w:rPr>
                    <w:t>商品混凝土</w:t>
                  </w:r>
                </w:p>
              </w:tc>
              <w:tc>
                <w:tcPr>
                  <w:tcW w:w="850" w:type="dxa"/>
                  <w:tcBorders>
                    <w:tl2br w:val="nil"/>
                    <w:tr2bl w:val="nil"/>
                  </w:tcBorders>
                  <w:shd w:val="clear" w:color="auto" w:fill="auto"/>
                  <w:vAlign w:val="center"/>
                </w:tcPr>
                <w:p w14:paraId="6CA2E23A">
                  <w:pPr>
                    <w:widowControl/>
                    <w:jc w:val="center"/>
                    <w:rPr>
                      <w:kern w:val="0"/>
                      <w:szCs w:val="21"/>
                    </w:rPr>
                  </w:pPr>
                  <w:r>
                    <w:rPr>
                      <w:kern w:val="0"/>
                      <w:szCs w:val="21"/>
                    </w:rPr>
                    <w:t>立方米</w:t>
                  </w:r>
                </w:p>
              </w:tc>
              <w:tc>
                <w:tcPr>
                  <w:tcW w:w="962" w:type="dxa"/>
                  <w:tcBorders>
                    <w:tl2br w:val="nil"/>
                    <w:tr2bl w:val="nil"/>
                  </w:tcBorders>
                  <w:shd w:val="clear" w:color="auto" w:fill="auto"/>
                  <w:vAlign w:val="center"/>
                </w:tcPr>
                <w:p w14:paraId="3BAFE745">
                  <w:pPr>
                    <w:widowControl/>
                    <w:jc w:val="center"/>
                    <w:textAlignment w:val="center"/>
                    <w:rPr>
                      <w:kern w:val="0"/>
                      <w:szCs w:val="21"/>
                    </w:rPr>
                  </w:pPr>
                  <w:r>
                    <w:rPr>
                      <w:kern w:val="0"/>
                      <w:szCs w:val="21"/>
                    </w:rPr>
                    <w:t>6550</w:t>
                  </w:r>
                </w:p>
              </w:tc>
              <w:tc>
                <w:tcPr>
                  <w:tcW w:w="2868" w:type="dxa"/>
                  <w:tcBorders>
                    <w:tl2br w:val="nil"/>
                    <w:tr2bl w:val="nil"/>
                  </w:tcBorders>
                  <w:shd w:val="clear" w:color="auto" w:fill="auto"/>
                  <w:vAlign w:val="center"/>
                </w:tcPr>
                <w:p w14:paraId="2A5BF716">
                  <w:pPr>
                    <w:widowControl/>
                    <w:jc w:val="center"/>
                    <w:rPr>
                      <w:kern w:val="0"/>
                      <w:szCs w:val="21"/>
                    </w:rPr>
                  </w:pPr>
                  <w:r>
                    <w:rPr>
                      <w:kern w:val="0"/>
                      <w:szCs w:val="21"/>
                    </w:rPr>
                    <w:t>基础结构、升压站、道路建设</w:t>
                  </w:r>
                </w:p>
              </w:tc>
            </w:tr>
            <w:tr w14:paraId="50F08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42F3E4F0">
                  <w:pPr>
                    <w:widowControl/>
                    <w:jc w:val="center"/>
                    <w:rPr>
                      <w:kern w:val="0"/>
                      <w:szCs w:val="21"/>
                    </w:rPr>
                  </w:pPr>
                  <w:r>
                    <w:rPr>
                      <w:kern w:val="0"/>
                      <w:szCs w:val="21"/>
                    </w:rPr>
                    <w:t>施工辅助材料</w:t>
                  </w:r>
                </w:p>
              </w:tc>
              <w:tc>
                <w:tcPr>
                  <w:tcW w:w="1347" w:type="dxa"/>
                  <w:tcBorders>
                    <w:tl2br w:val="nil"/>
                    <w:tr2bl w:val="nil"/>
                  </w:tcBorders>
                  <w:shd w:val="clear" w:color="auto" w:fill="auto"/>
                  <w:vAlign w:val="center"/>
                </w:tcPr>
                <w:p w14:paraId="6BA79D81">
                  <w:pPr>
                    <w:widowControl/>
                    <w:jc w:val="center"/>
                    <w:rPr>
                      <w:kern w:val="0"/>
                      <w:szCs w:val="21"/>
                    </w:rPr>
                  </w:pPr>
                  <w:r>
                    <w:rPr>
                      <w:kern w:val="0"/>
                      <w:szCs w:val="21"/>
                    </w:rPr>
                    <w:t>柴油</w:t>
                  </w:r>
                </w:p>
              </w:tc>
              <w:tc>
                <w:tcPr>
                  <w:tcW w:w="850" w:type="dxa"/>
                  <w:tcBorders>
                    <w:tl2br w:val="nil"/>
                    <w:tr2bl w:val="nil"/>
                  </w:tcBorders>
                  <w:shd w:val="clear" w:color="auto" w:fill="auto"/>
                  <w:vAlign w:val="center"/>
                </w:tcPr>
                <w:p w14:paraId="64B7B003">
                  <w:pPr>
                    <w:widowControl/>
                    <w:jc w:val="center"/>
                    <w:rPr>
                      <w:kern w:val="0"/>
                      <w:szCs w:val="21"/>
                    </w:rPr>
                  </w:pPr>
                  <w:r>
                    <w:rPr>
                      <w:kern w:val="0"/>
                      <w:szCs w:val="21"/>
                    </w:rPr>
                    <w:t>升</w:t>
                  </w:r>
                </w:p>
              </w:tc>
              <w:tc>
                <w:tcPr>
                  <w:tcW w:w="962" w:type="dxa"/>
                  <w:tcBorders>
                    <w:tl2br w:val="nil"/>
                    <w:tr2bl w:val="nil"/>
                  </w:tcBorders>
                  <w:shd w:val="clear" w:color="auto" w:fill="auto"/>
                  <w:vAlign w:val="center"/>
                </w:tcPr>
                <w:p w14:paraId="4ECF5862">
                  <w:pPr>
                    <w:widowControl/>
                    <w:jc w:val="center"/>
                    <w:textAlignment w:val="center"/>
                    <w:rPr>
                      <w:kern w:val="0"/>
                      <w:szCs w:val="21"/>
                    </w:rPr>
                  </w:pPr>
                  <w:r>
                    <w:rPr>
                      <w:kern w:val="0"/>
                      <w:szCs w:val="21"/>
                    </w:rPr>
                    <w:t>6502</w:t>
                  </w:r>
                </w:p>
              </w:tc>
              <w:tc>
                <w:tcPr>
                  <w:tcW w:w="2868" w:type="dxa"/>
                  <w:tcBorders>
                    <w:tl2br w:val="nil"/>
                    <w:tr2bl w:val="nil"/>
                  </w:tcBorders>
                  <w:shd w:val="clear" w:color="auto" w:fill="auto"/>
                  <w:vAlign w:val="center"/>
                </w:tcPr>
                <w:p w14:paraId="7426A673">
                  <w:pPr>
                    <w:widowControl/>
                    <w:jc w:val="center"/>
                    <w:rPr>
                      <w:kern w:val="0"/>
                      <w:szCs w:val="21"/>
                    </w:rPr>
                  </w:pPr>
                  <w:r>
                    <w:rPr>
                      <w:kern w:val="0"/>
                      <w:szCs w:val="21"/>
                    </w:rPr>
                    <w:t>挖掘机、起重机、运输车辆燃料</w:t>
                  </w:r>
                </w:p>
              </w:tc>
            </w:tr>
            <w:tr w14:paraId="4D3DB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312783DE">
                  <w:pPr>
                    <w:widowControl/>
                    <w:jc w:val="center"/>
                    <w:rPr>
                      <w:kern w:val="0"/>
                      <w:szCs w:val="21"/>
                    </w:rPr>
                  </w:pPr>
                </w:p>
              </w:tc>
              <w:tc>
                <w:tcPr>
                  <w:tcW w:w="1347" w:type="dxa"/>
                  <w:tcBorders>
                    <w:tl2br w:val="nil"/>
                    <w:tr2bl w:val="nil"/>
                  </w:tcBorders>
                  <w:shd w:val="clear" w:color="auto" w:fill="auto"/>
                  <w:vAlign w:val="center"/>
                </w:tcPr>
                <w:p w14:paraId="1AC8C418">
                  <w:pPr>
                    <w:widowControl/>
                    <w:jc w:val="center"/>
                    <w:rPr>
                      <w:kern w:val="0"/>
                      <w:szCs w:val="21"/>
                    </w:rPr>
                  </w:pPr>
                  <w:r>
                    <w:rPr>
                      <w:kern w:val="0"/>
                      <w:szCs w:val="21"/>
                    </w:rPr>
                    <w:t>焊接材料</w:t>
                  </w:r>
                </w:p>
              </w:tc>
              <w:tc>
                <w:tcPr>
                  <w:tcW w:w="850" w:type="dxa"/>
                  <w:tcBorders>
                    <w:tl2br w:val="nil"/>
                    <w:tr2bl w:val="nil"/>
                  </w:tcBorders>
                  <w:shd w:val="clear" w:color="auto" w:fill="auto"/>
                  <w:vAlign w:val="center"/>
                </w:tcPr>
                <w:p w14:paraId="63B3343F">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09FD2FAF">
                  <w:pPr>
                    <w:widowControl/>
                    <w:jc w:val="center"/>
                    <w:textAlignment w:val="center"/>
                    <w:rPr>
                      <w:kern w:val="0"/>
                      <w:szCs w:val="21"/>
                    </w:rPr>
                  </w:pPr>
                  <w:r>
                    <w:rPr>
                      <w:kern w:val="0"/>
                      <w:szCs w:val="21"/>
                    </w:rPr>
                    <w:t>42</w:t>
                  </w:r>
                </w:p>
              </w:tc>
              <w:tc>
                <w:tcPr>
                  <w:tcW w:w="2868" w:type="dxa"/>
                  <w:tcBorders>
                    <w:tl2br w:val="nil"/>
                    <w:tr2bl w:val="nil"/>
                  </w:tcBorders>
                  <w:shd w:val="clear" w:color="auto" w:fill="auto"/>
                  <w:vAlign w:val="center"/>
                </w:tcPr>
                <w:p w14:paraId="0C2C371D">
                  <w:pPr>
                    <w:widowControl/>
                    <w:jc w:val="center"/>
                    <w:rPr>
                      <w:kern w:val="0"/>
                      <w:szCs w:val="21"/>
                    </w:rPr>
                  </w:pPr>
                  <w:r>
                    <w:rPr>
                      <w:kern w:val="0"/>
                      <w:szCs w:val="21"/>
                    </w:rPr>
                    <w:t>塔筒、支架焊接</w:t>
                  </w:r>
                </w:p>
              </w:tc>
            </w:tr>
            <w:tr w14:paraId="35AD6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34D52A16">
                  <w:pPr>
                    <w:widowControl/>
                    <w:jc w:val="center"/>
                    <w:rPr>
                      <w:kern w:val="0"/>
                      <w:szCs w:val="21"/>
                    </w:rPr>
                  </w:pPr>
                </w:p>
              </w:tc>
              <w:tc>
                <w:tcPr>
                  <w:tcW w:w="1347" w:type="dxa"/>
                  <w:tcBorders>
                    <w:tl2br w:val="nil"/>
                    <w:tr2bl w:val="nil"/>
                  </w:tcBorders>
                  <w:shd w:val="clear" w:color="auto" w:fill="auto"/>
                  <w:vAlign w:val="center"/>
                </w:tcPr>
                <w:p w14:paraId="33FEECDB">
                  <w:pPr>
                    <w:widowControl/>
                    <w:jc w:val="center"/>
                    <w:rPr>
                      <w:kern w:val="0"/>
                      <w:szCs w:val="21"/>
                    </w:rPr>
                  </w:pPr>
                  <w:r>
                    <w:rPr>
                      <w:kern w:val="0"/>
                      <w:szCs w:val="21"/>
                    </w:rPr>
                    <w:t>防腐涂料</w:t>
                  </w:r>
                </w:p>
              </w:tc>
              <w:tc>
                <w:tcPr>
                  <w:tcW w:w="850" w:type="dxa"/>
                  <w:tcBorders>
                    <w:tl2br w:val="nil"/>
                    <w:tr2bl w:val="nil"/>
                  </w:tcBorders>
                  <w:shd w:val="clear" w:color="auto" w:fill="auto"/>
                  <w:vAlign w:val="center"/>
                </w:tcPr>
                <w:p w14:paraId="0F056F36">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589DBA5C">
                  <w:pPr>
                    <w:widowControl/>
                    <w:jc w:val="center"/>
                    <w:textAlignment w:val="center"/>
                    <w:rPr>
                      <w:kern w:val="0"/>
                      <w:szCs w:val="21"/>
                    </w:rPr>
                  </w:pPr>
                  <w:r>
                    <w:rPr>
                      <w:kern w:val="0"/>
                      <w:szCs w:val="21"/>
                    </w:rPr>
                    <w:t>49</w:t>
                  </w:r>
                </w:p>
              </w:tc>
              <w:tc>
                <w:tcPr>
                  <w:tcW w:w="2868" w:type="dxa"/>
                  <w:tcBorders>
                    <w:tl2br w:val="nil"/>
                    <w:tr2bl w:val="nil"/>
                  </w:tcBorders>
                  <w:shd w:val="clear" w:color="auto" w:fill="auto"/>
                  <w:vAlign w:val="center"/>
                </w:tcPr>
                <w:p w14:paraId="492AF56D">
                  <w:pPr>
                    <w:widowControl/>
                    <w:jc w:val="center"/>
                    <w:rPr>
                      <w:kern w:val="0"/>
                      <w:szCs w:val="21"/>
                    </w:rPr>
                  </w:pPr>
                  <w:r>
                    <w:rPr>
                      <w:kern w:val="0"/>
                      <w:szCs w:val="21"/>
                    </w:rPr>
                    <w:t>塔筒、设备防腐处理</w:t>
                  </w:r>
                </w:p>
              </w:tc>
            </w:tr>
            <w:tr w14:paraId="3D061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restart"/>
                  <w:tcBorders>
                    <w:tl2br w:val="nil"/>
                    <w:tr2bl w:val="nil"/>
                  </w:tcBorders>
                  <w:shd w:val="clear" w:color="auto" w:fill="auto"/>
                  <w:vAlign w:val="center"/>
                </w:tcPr>
                <w:p w14:paraId="4857E821">
                  <w:pPr>
                    <w:widowControl/>
                    <w:jc w:val="center"/>
                    <w:rPr>
                      <w:kern w:val="0"/>
                      <w:szCs w:val="21"/>
                    </w:rPr>
                  </w:pPr>
                  <w:r>
                    <w:rPr>
                      <w:kern w:val="0"/>
                      <w:szCs w:val="21"/>
                    </w:rPr>
                    <w:t>临时设施</w:t>
                  </w:r>
                </w:p>
              </w:tc>
              <w:tc>
                <w:tcPr>
                  <w:tcW w:w="1347" w:type="dxa"/>
                  <w:tcBorders>
                    <w:tl2br w:val="nil"/>
                    <w:tr2bl w:val="nil"/>
                  </w:tcBorders>
                  <w:shd w:val="clear" w:color="auto" w:fill="auto"/>
                  <w:vAlign w:val="center"/>
                </w:tcPr>
                <w:p w14:paraId="4C39F5A1">
                  <w:pPr>
                    <w:widowControl/>
                    <w:jc w:val="center"/>
                    <w:rPr>
                      <w:kern w:val="0"/>
                      <w:szCs w:val="21"/>
                    </w:rPr>
                  </w:pPr>
                  <w:r>
                    <w:rPr>
                      <w:kern w:val="0"/>
                      <w:szCs w:val="21"/>
                    </w:rPr>
                    <w:t>彩钢板</w:t>
                  </w:r>
                </w:p>
              </w:tc>
              <w:tc>
                <w:tcPr>
                  <w:tcW w:w="850" w:type="dxa"/>
                  <w:tcBorders>
                    <w:tl2br w:val="nil"/>
                    <w:tr2bl w:val="nil"/>
                  </w:tcBorders>
                  <w:shd w:val="clear" w:color="auto" w:fill="auto"/>
                  <w:vAlign w:val="center"/>
                </w:tcPr>
                <w:p w14:paraId="7FB5FB9A">
                  <w:pPr>
                    <w:widowControl/>
                    <w:jc w:val="center"/>
                    <w:rPr>
                      <w:kern w:val="0"/>
                      <w:szCs w:val="21"/>
                    </w:rPr>
                  </w:pPr>
                  <w:r>
                    <w:rPr>
                      <w:kern w:val="0"/>
                      <w:szCs w:val="21"/>
                    </w:rPr>
                    <w:t>平方米</w:t>
                  </w:r>
                </w:p>
              </w:tc>
              <w:tc>
                <w:tcPr>
                  <w:tcW w:w="962" w:type="dxa"/>
                  <w:tcBorders>
                    <w:tl2br w:val="nil"/>
                    <w:tr2bl w:val="nil"/>
                  </w:tcBorders>
                  <w:shd w:val="clear" w:color="auto" w:fill="auto"/>
                  <w:vAlign w:val="center"/>
                </w:tcPr>
                <w:p w14:paraId="16966A4B">
                  <w:pPr>
                    <w:widowControl/>
                    <w:jc w:val="center"/>
                    <w:textAlignment w:val="center"/>
                    <w:rPr>
                      <w:kern w:val="0"/>
                      <w:szCs w:val="21"/>
                    </w:rPr>
                  </w:pPr>
                  <w:r>
                    <w:rPr>
                      <w:kern w:val="0"/>
                      <w:szCs w:val="21"/>
                    </w:rPr>
                    <w:t>3950</w:t>
                  </w:r>
                </w:p>
              </w:tc>
              <w:tc>
                <w:tcPr>
                  <w:tcW w:w="2868" w:type="dxa"/>
                  <w:tcBorders>
                    <w:tl2br w:val="nil"/>
                    <w:tr2bl w:val="nil"/>
                  </w:tcBorders>
                  <w:shd w:val="clear" w:color="auto" w:fill="auto"/>
                  <w:vAlign w:val="center"/>
                </w:tcPr>
                <w:p w14:paraId="03C8F0B4">
                  <w:pPr>
                    <w:widowControl/>
                    <w:jc w:val="center"/>
                    <w:rPr>
                      <w:kern w:val="0"/>
                      <w:szCs w:val="21"/>
                    </w:rPr>
                  </w:pPr>
                  <w:r>
                    <w:rPr>
                      <w:kern w:val="0"/>
                      <w:szCs w:val="21"/>
                    </w:rPr>
                    <w:t>临时工棚、仓库搭建</w:t>
                  </w:r>
                </w:p>
              </w:tc>
            </w:tr>
            <w:tr w14:paraId="69895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5" w:type="dxa"/>
                  <w:vMerge w:val="continue"/>
                  <w:tcBorders>
                    <w:tl2br w:val="nil"/>
                    <w:tr2bl w:val="nil"/>
                  </w:tcBorders>
                  <w:shd w:val="clear" w:color="auto" w:fill="auto"/>
                  <w:vAlign w:val="center"/>
                </w:tcPr>
                <w:p w14:paraId="64424DE2">
                  <w:pPr>
                    <w:widowControl/>
                    <w:jc w:val="center"/>
                    <w:rPr>
                      <w:kern w:val="0"/>
                      <w:szCs w:val="21"/>
                    </w:rPr>
                  </w:pPr>
                </w:p>
              </w:tc>
              <w:tc>
                <w:tcPr>
                  <w:tcW w:w="1347" w:type="dxa"/>
                  <w:tcBorders>
                    <w:tl2br w:val="nil"/>
                    <w:tr2bl w:val="nil"/>
                  </w:tcBorders>
                  <w:shd w:val="clear" w:color="auto" w:fill="auto"/>
                  <w:vAlign w:val="center"/>
                </w:tcPr>
                <w:p w14:paraId="6A0F08DA">
                  <w:pPr>
                    <w:widowControl/>
                    <w:jc w:val="center"/>
                    <w:rPr>
                      <w:kern w:val="0"/>
                      <w:szCs w:val="21"/>
                    </w:rPr>
                  </w:pPr>
                  <w:r>
                    <w:rPr>
                      <w:kern w:val="0"/>
                      <w:szCs w:val="21"/>
                    </w:rPr>
                    <w:t>脚手架</w:t>
                  </w:r>
                </w:p>
              </w:tc>
              <w:tc>
                <w:tcPr>
                  <w:tcW w:w="850" w:type="dxa"/>
                  <w:tcBorders>
                    <w:tl2br w:val="nil"/>
                    <w:tr2bl w:val="nil"/>
                  </w:tcBorders>
                  <w:shd w:val="clear" w:color="auto" w:fill="auto"/>
                  <w:vAlign w:val="center"/>
                </w:tcPr>
                <w:p w14:paraId="1FE44EDE">
                  <w:pPr>
                    <w:widowControl/>
                    <w:jc w:val="center"/>
                    <w:rPr>
                      <w:kern w:val="0"/>
                      <w:szCs w:val="21"/>
                    </w:rPr>
                  </w:pPr>
                  <w:r>
                    <w:rPr>
                      <w:kern w:val="0"/>
                      <w:szCs w:val="21"/>
                    </w:rPr>
                    <w:t>吨</w:t>
                  </w:r>
                </w:p>
              </w:tc>
              <w:tc>
                <w:tcPr>
                  <w:tcW w:w="962" w:type="dxa"/>
                  <w:tcBorders>
                    <w:tl2br w:val="nil"/>
                    <w:tr2bl w:val="nil"/>
                  </w:tcBorders>
                  <w:shd w:val="clear" w:color="auto" w:fill="auto"/>
                  <w:vAlign w:val="center"/>
                </w:tcPr>
                <w:p w14:paraId="190314C3">
                  <w:pPr>
                    <w:widowControl/>
                    <w:jc w:val="center"/>
                    <w:textAlignment w:val="center"/>
                    <w:rPr>
                      <w:kern w:val="0"/>
                      <w:szCs w:val="21"/>
                    </w:rPr>
                  </w:pPr>
                  <w:r>
                    <w:rPr>
                      <w:kern w:val="0"/>
                      <w:szCs w:val="21"/>
                    </w:rPr>
                    <w:t>90</w:t>
                  </w:r>
                </w:p>
              </w:tc>
              <w:tc>
                <w:tcPr>
                  <w:tcW w:w="2868" w:type="dxa"/>
                  <w:tcBorders>
                    <w:tl2br w:val="nil"/>
                    <w:tr2bl w:val="nil"/>
                  </w:tcBorders>
                  <w:shd w:val="clear" w:color="auto" w:fill="auto"/>
                  <w:vAlign w:val="center"/>
                </w:tcPr>
                <w:p w14:paraId="712EAE48">
                  <w:pPr>
                    <w:widowControl/>
                    <w:jc w:val="center"/>
                    <w:rPr>
                      <w:kern w:val="0"/>
                      <w:szCs w:val="21"/>
                    </w:rPr>
                  </w:pPr>
                  <w:r>
                    <w:rPr>
                      <w:kern w:val="0"/>
                      <w:szCs w:val="21"/>
                    </w:rPr>
                    <w:t>高空作业支撑</w:t>
                  </w:r>
                </w:p>
              </w:tc>
            </w:tr>
          </w:tbl>
          <w:p w14:paraId="70C0B274">
            <w:pPr>
              <w:pStyle w:val="7"/>
              <w:spacing w:before="0" w:beforeAutospacing="0" w:after="0" w:afterAutospacing="0" w:line="480" w:lineRule="exact"/>
              <w:ind w:firstLine="480" w:firstLineChars="200"/>
              <w:rPr>
                <w:rFonts w:ascii="Times New Roman" w:hAnsi="Times New Roman"/>
              </w:rPr>
            </w:pPr>
            <w:r>
              <w:rPr>
                <w:rFonts w:ascii="Times New Roman" w:hAnsi="Times New Roman"/>
              </w:rPr>
              <w:t>项目运营期主要原辅材料消耗具体见下表。</w:t>
            </w:r>
          </w:p>
          <w:p w14:paraId="59C40091">
            <w:pPr>
              <w:pStyle w:val="7"/>
              <w:spacing w:before="0" w:beforeAutospacing="0" w:after="0" w:afterAutospacing="0" w:line="480" w:lineRule="exact"/>
              <w:jc w:val="center"/>
              <w:rPr>
                <w:rFonts w:ascii="Times New Roman" w:hAnsi="Times New Roman"/>
              </w:rPr>
            </w:pPr>
            <w:r>
              <w:rPr>
                <w:rFonts w:ascii="Times New Roman" w:hAnsi="Times New Roman"/>
                <w:b/>
                <w:bCs/>
                <w:sz w:val="21"/>
                <w:szCs w:val="21"/>
              </w:rPr>
              <w:t>表2-1</w:t>
            </w:r>
            <w:r>
              <w:rPr>
                <w:rFonts w:hint="eastAsia" w:ascii="Times New Roman" w:hAnsi="Times New Roman"/>
                <w:b/>
                <w:bCs/>
                <w:sz w:val="21"/>
                <w:szCs w:val="21"/>
              </w:rPr>
              <w:t>2</w:t>
            </w:r>
            <w:r>
              <w:rPr>
                <w:rFonts w:ascii="Times New Roman" w:hAnsi="Times New Roman"/>
                <w:b/>
                <w:bCs/>
                <w:sz w:val="21"/>
                <w:szCs w:val="21"/>
              </w:rPr>
              <w:t xml:space="preserve">    运营期原辅材料消耗一览表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58"/>
              <w:gridCol w:w="1171"/>
              <w:gridCol w:w="803"/>
              <w:gridCol w:w="874"/>
              <w:gridCol w:w="4531"/>
            </w:tblGrid>
            <w:tr w14:paraId="75BCD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9" w:hRule="atLeast"/>
                <w:jc w:val="center"/>
              </w:trPr>
              <w:tc>
                <w:tcPr>
                  <w:tcW w:w="558" w:type="dxa"/>
                  <w:vAlign w:val="center"/>
                </w:tcPr>
                <w:p w14:paraId="4BD01D24">
                  <w:pPr>
                    <w:pStyle w:val="105"/>
                    <w:spacing w:line="320" w:lineRule="exact"/>
                    <w:ind w:left="0" w:firstLine="0"/>
                    <w:jc w:val="center"/>
                    <w:rPr>
                      <w:rFonts w:ascii="Times New Roman" w:cs="Times New Roman"/>
                      <w:sz w:val="21"/>
                      <w:szCs w:val="21"/>
                    </w:rPr>
                  </w:pPr>
                  <w:r>
                    <w:rPr>
                      <w:rFonts w:ascii="Times New Roman" w:cs="Times New Roman"/>
                      <w:sz w:val="21"/>
                      <w:szCs w:val="21"/>
                    </w:rPr>
                    <w:t>序号</w:t>
                  </w:r>
                </w:p>
              </w:tc>
              <w:tc>
                <w:tcPr>
                  <w:tcW w:w="1171" w:type="dxa"/>
                  <w:vAlign w:val="center"/>
                </w:tcPr>
                <w:p w14:paraId="44BAF88E">
                  <w:pPr>
                    <w:pStyle w:val="105"/>
                    <w:spacing w:line="320" w:lineRule="exact"/>
                    <w:ind w:left="0" w:firstLine="0"/>
                    <w:jc w:val="center"/>
                    <w:rPr>
                      <w:rFonts w:ascii="Times New Roman" w:cs="Times New Roman"/>
                      <w:sz w:val="21"/>
                      <w:szCs w:val="21"/>
                    </w:rPr>
                  </w:pPr>
                  <w:r>
                    <w:rPr>
                      <w:rFonts w:ascii="Times New Roman" w:cs="Times New Roman"/>
                      <w:sz w:val="21"/>
                      <w:szCs w:val="21"/>
                    </w:rPr>
                    <w:t>名称</w:t>
                  </w:r>
                </w:p>
              </w:tc>
              <w:tc>
                <w:tcPr>
                  <w:tcW w:w="803" w:type="dxa"/>
                  <w:vAlign w:val="center"/>
                </w:tcPr>
                <w:p w14:paraId="42BCD4DB">
                  <w:pPr>
                    <w:pStyle w:val="105"/>
                    <w:spacing w:line="320" w:lineRule="exact"/>
                    <w:ind w:left="0" w:firstLine="0"/>
                    <w:jc w:val="center"/>
                    <w:rPr>
                      <w:rFonts w:ascii="Times New Roman" w:cs="Times New Roman"/>
                      <w:sz w:val="21"/>
                      <w:szCs w:val="21"/>
                    </w:rPr>
                  </w:pPr>
                  <w:r>
                    <w:rPr>
                      <w:rFonts w:ascii="Times New Roman" w:cs="Times New Roman"/>
                      <w:sz w:val="21"/>
                      <w:szCs w:val="21"/>
                    </w:rPr>
                    <w:t>单位</w:t>
                  </w:r>
                </w:p>
              </w:tc>
              <w:tc>
                <w:tcPr>
                  <w:tcW w:w="874" w:type="dxa"/>
                  <w:vAlign w:val="center"/>
                </w:tcPr>
                <w:p w14:paraId="35446497">
                  <w:pPr>
                    <w:pStyle w:val="105"/>
                    <w:spacing w:line="320" w:lineRule="exact"/>
                    <w:ind w:left="0" w:firstLine="0"/>
                    <w:jc w:val="center"/>
                    <w:rPr>
                      <w:rFonts w:ascii="Times New Roman" w:cs="Times New Roman"/>
                      <w:sz w:val="21"/>
                      <w:szCs w:val="21"/>
                    </w:rPr>
                  </w:pPr>
                  <w:r>
                    <w:rPr>
                      <w:rFonts w:ascii="Times New Roman" w:cs="Times New Roman"/>
                      <w:sz w:val="21"/>
                      <w:szCs w:val="21"/>
                    </w:rPr>
                    <w:t>数量</w:t>
                  </w:r>
                </w:p>
              </w:tc>
              <w:tc>
                <w:tcPr>
                  <w:tcW w:w="4531" w:type="dxa"/>
                  <w:vAlign w:val="center"/>
                </w:tcPr>
                <w:p w14:paraId="357CFE3C">
                  <w:pPr>
                    <w:pStyle w:val="105"/>
                    <w:spacing w:line="320" w:lineRule="exact"/>
                    <w:ind w:left="0" w:firstLine="0"/>
                    <w:jc w:val="center"/>
                    <w:rPr>
                      <w:rFonts w:ascii="Times New Roman" w:cs="Times New Roman"/>
                      <w:sz w:val="21"/>
                      <w:szCs w:val="21"/>
                    </w:rPr>
                  </w:pPr>
                  <w:r>
                    <w:rPr>
                      <w:rFonts w:ascii="Times New Roman" w:cs="Times New Roman"/>
                      <w:sz w:val="21"/>
                      <w:szCs w:val="21"/>
                    </w:rPr>
                    <w:t>备注</w:t>
                  </w:r>
                </w:p>
              </w:tc>
            </w:tr>
            <w:tr w14:paraId="26EF9B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258AAE61">
                  <w:pPr>
                    <w:pStyle w:val="105"/>
                    <w:spacing w:line="320" w:lineRule="exact"/>
                    <w:ind w:left="0" w:firstLine="0"/>
                    <w:jc w:val="center"/>
                    <w:rPr>
                      <w:rFonts w:ascii="Times New Roman" w:cs="Times New Roman"/>
                      <w:sz w:val="21"/>
                      <w:szCs w:val="21"/>
                    </w:rPr>
                  </w:pPr>
                  <w:r>
                    <w:rPr>
                      <w:rFonts w:ascii="Times New Roman" w:cs="Times New Roman"/>
                      <w:sz w:val="21"/>
                      <w:szCs w:val="21"/>
                    </w:rPr>
                    <w:t>1</w:t>
                  </w:r>
                </w:p>
              </w:tc>
              <w:tc>
                <w:tcPr>
                  <w:tcW w:w="1171" w:type="dxa"/>
                  <w:shd w:val="clear" w:color="auto" w:fill="auto"/>
                  <w:vAlign w:val="center"/>
                </w:tcPr>
                <w:p w14:paraId="46EE19DB">
                  <w:pPr>
                    <w:pStyle w:val="105"/>
                    <w:spacing w:line="320" w:lineRule="exact"/>
                    <w:ind w:left="0" w:firstLine="0"/>
                    <w:jc w:val="center"/>
                    <w:rPr>
                      <w:rFonts w:ascii="Times New Roman" w:cs="Times New Roman"/>
                      <w:sz w:val="21"/>
                      <w:szCs w:val="21"/>
                    </w:rPr>
                  </w:pPr>
                  <w:r>
                    <w:rPr>
                      <w:rFonts w:ascii="Times New Roman" w:cs="Times New Roman"/>
                      <w:sz w:val="21"/>
                      <w:szCs w:val="21"/>
                    </w:rPr>
                    <w:t>变压器油</w:t>
                  </w:r>
                </w:p>
              </w:tc>
              <w:tc>
                <w:tcPr>
                  <w:tcW w:w="803" w:type="dxa"/>
                  <w:shd w:val="clear" w:color="auto" w:fill="auto"/>
                  <w:vAlign w:val="center"/>
                </w:tcPr>
                <w:p w14:paraId="0FA095DF">
                  <w:pPr>
                    <w:pStyle w:val="105"/>
                    <w:spacing w:line="320" w:lineRule="exact"/>
                    <w:ind w:left="0" w:firstLine="0"/>
                    <w:jc w:val="center"/>
                    <w:rPr>
                      <w:rFonts w:ascii="Times New Roman" w:cs="Times New Roman"/>
                      <w:sz w:val="21"/>
                      <w:szCs w:val="21"/>
                    </w:rPr>
                  </w:pPr>
                  <w:r>
                    <w:rPr>
                      <w:rFonts w:ascii="Times New Roman" w:cs="Times New Roman"/>
                      <w:sz w:val="21"/>
                      <w:szCs w:val="21"/>
                    </w:rPr>
                    <w:t>t/a</w:t>
                  </w:r>
                </w:p>
              </w:tc>
              <w:tc>
                <w:tcPr>
                  <w:tcW w:w="874" w:type="dxa"/>
                  <w:shd w:val="clear" w:color="auto" w:fill="auto"/>
                  <w:vAlign w:val="center"/>
                </w:tcPr>
                <w:p w14:paraId="4BF882A4">
                  <w:pPr>
                    <w:pStyle w:val="105"/>
                    <w:spacing w:line="320" w:lineRule="exact"/>
                    <w:ind w:left="0" w:firstLine="0"/>
                    <w:jc w:val="center"/>
                    <w:rPr>
                      <w:rFonts w:ascii="Times New Roman" w:cs="Times New Roman"/>
                      <w:sz w:val="21"/>
                      <w:szCs w:val="21"/>
                    </w:rPr>
                  </w:pPr>
                  <w:r>
                    <w:rPr>
                      <w:rFonts w:ascii="Times New Roman" w:cs="Times New Roman"/>
                      <w:sz w:val="21"/>
                      <w:szCs w:val="21"/>
                    </w:rPr>
                    <w:t>29.4</w:t>
                  </w:r>
                </w:p>
              </w:tc>
              <w:tc>
                <w:tcPr>
                  <w:tcW w:w="4531" w:type="dxa"/>
                  <w:shd w:val="clear" w:color="auto" w:fill="auto"/>
                  <w:vAlign w:val="center"/>
                </w:tcPr>
                <w:p w14:paraId="1B38CED4">
                  <w:pPr>
                    <w:pStyle w:val="105"/>
                    <w:spacing w:line="320" w:lineRule="exact"/>
                    <w:ind w:left="0" w:firstLine="0"/>
                    <w:jc w:val="center"/>
                    <w:rPr>
                      <w:rFonts w:ascii="Times New Roman" w:cs="Times New Roman"/>
                      <w:sz w:val="21"/>
                      <w:szCs w:val="21"/>
                    </w:rPr>
                  </w:pPr>
                  <w:r>
                    <w:rPr>
                      <w:rFonts w:ascii="Times New Roman" w:cs="Times New Roman"/>
                      <w:sz w:val="21"/>
                      <w:szCs w:val="21"/>
                    </w:rPr>
                    <w:t>外购，桶装，储存于材料库</w:t>
                  </w:r>
                </w:p>
              </w:tc>
            </w:tr>
            <w:tr w14:paraId="4641A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4EAEE739">
                  <w:pPr>
                    <w:pStyle w:val="105"/>
                    <w:spacing w:line="320" w:lineRule="exact"/>
                    <w:ind w:left="0" w:firstLine="0"/>
                    <w:jc w:val="center"/>
                    <w:rPr>
                      <w:rFonts w:ascii="Times New Roman" w:cs="Times New Roman"/>
                      <w:sz w:val="21"/>
                      <w:szCs w:val="21"/>
                    </w:rPr>
                  </w:pPr>
                  <w:r>
                    <w:rPr>
                      <w:rFonts w:ascii="Times New Roman" w:cs="Times New Roman"/>
                      <w:sz w:val="21"/>
                      <w:szCs w:val="21"/>
                    </w:rPr>
                    <w:t>2</w:t>
                  </w:r>
                </w:p>
              </w:tc>
              <w:tc>
                <w:tcPr>
                  <w:tcW w:w="1171" w:type="dxa"/>
                  <w:shd w:val="clear" w:color="auto" w:fill="auto"/>
                  <w:vAlign w:val="center"/>
                </w:tcPr>
                <w:p w14:paraId="7522F5AC">
                  <w:pPr>
                    <w:pStyle w:val="105"/>
                    <w:spacing w:line="320" w:lineRule="exact"/>
                    <w:ind w:left="0" w:firstLine="0"/>
                    <w:jc w:val="center"/>
                    <w:rPr>
                      <w:rFonts w:ascii="Times New Roman" w:cs="Times New Roman"/>
                      <w:sz w:val="21"/>
                      <w:szCs w:val="21"/>
                    </w:rPr>
                  </w:pPr>
                  <w:r>
                    <w:rPr>
                      <w:rFonts w:ascii="Times New Roman" w:cs="Times New Roman"/>
                      <w:sz w:val="21"/>
                      <w:szCs w:val="21"/>
                    </w:rPr>
                    <w:t>齿轮油</w:t>
                  </w:r>
                </w:p>
              </w:tc>
              <w:tc>
                <w:tcPr>
                  <w:tcW w:w="803" w:type="dxa"/>
                  <w:shd w:val="clear" w:color="auto" w:fill="auto"/>
                  <w:vAlign w:val="center"/>
                </w:tcPr>
                <w:p w14:paraId="0098D003">
                  <w:pPr>
                    <w:pStyle w:val="105"/>
                    <w:spacing w:line="320" w:lineRule="exact"/>
                    <w:ind w:left="0" w:firstLine="0"/>
                    <w:jc w:val="center"/>
                    <w:rPr>
                      <w:rFonts w:ascii="Times New Roman" w:cs="Times New Roman"/>
                      <w:sz w:val="21"/>
                      <w:szCs w:val="21"/>
                    </w:rPr>
                  </w:pPr>
                  <w:r>
                    <w:rPr>
                      <w:rFonts w:ascii="Times New Roman" w:cs="Times New Roman"/>
                      <w:sz w:val="21"/>
                      <w:szCs w:val="21"/>
                    </w:rPr>
                    <w:t>t/a</w:t>
                  </w:r>
                </w:p>
              </w:tc>
              <w:tc>
                <w:tcPr>
                  <w:tcW w:w="874" w:type="dxa"/>
                  <w:shd w:val="clear" w:color="auto" w:fill="auto"/>
                  <w:vAlign w:val="center"/>
                </w:tcPr>
                <w:p w14:paraId="1D88B0D0">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4531" w:type="dxa"/>
                  <w:shd w:val="clear" w:color="auto" w:fill="auto"/>
                  <w:vAlign w:val="center"/>
                </w:tcPr>
                <w:p w14:paraId="0DFF6AD6">
                  <w:pPr>
                    <w:pStyle w:val="105"/>
                    <w:spacing w:line="320" w:lineRule="exact"/>
                    <w:ind w:left="0" w:firstLine="0"/>
                    <w:jc w:val="center"/>
                    <w:rPr>
                      <w:rFonts w:ascii="Times New Roman" w:cs="Times New Roman"/>
                      <w:sz w:val="21"/>
                      <w:szCs w:val="21"/>
                    </w:rPr>
                  </w:pPr>
                  <w:r>
                    <w:rPr>
                      <w:rFonts w:ascii="Times New Roman" w:cs="Times New Roman"/>
                      <w:sz w:val="21"/>
                      <w:szCs w:val="21"/>
                    </w:rPr>
                    <w:t>外购，随用随购，不在站内储存</w:t>
                  </w:r>
                </w:p>
              </w:tc>
            </w:tr>
            <w:tr w14:paraId="6D5DCB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6EF2DC57">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1171" w:type="dxa"/>
                  <w:shd w:val="clear" w:color="auto" w:fill="auto"/>
                  <w:vAlign w:val="center"/>
                </w:tcPr>
                <w:p w14:paraId="7812D09F">
                  <w:pPr>
                    <w:pStyle w:val="105"/>
                    <w:spacing w:line="320" w:lineRule="exact"/>
                    <w:ind w:left="0" w:firstLine="0"/>
                    <w:jc w:val="center"/>
                    <w:rPr>
                      <w:rFonts w:ascii="Times New Roman" w:cs="Times New Roman"/>
                      <w:sz w:val="21"/>
                      <w:szCs w:val="21"/>
                    </w:rPr>
                  </w:pPr>
                  <w:r>
                    <w:rPr>
                      <w:rFonts w:ascii="Times New Roman" w:cs="Times New Roman"/>
                      <w:sz w:val="21"/>
                      <w:szCs w:val="21"/>
                    </w:rPr>
                    <w:t>电</w:t>
                  </w:r>
                </w:p>
              </w:tc>
              <w:tc>
                <w:tcPr>
                  <w:tcW w:w="803" w:type="dxa"/>
                  <w:shd w:val="clear" w:color="auto" w:fill="auto"/>
                  <w:vAlign w:val="center"/>
                </w:tcPr>
                <w:p w14:paraId="56BDEA44">
                  <w:pPr>
                    <w:pStyle w:val="105"/>
                    <w:spacing w:line="320" w:lineRule="exact"/>
                    <w:ind w:left="0" w:firstLine="0"/>
                    <w:jc w:val="center"/>
                    <w:rPr>
                      <w:rFonts w:ascii="Times New Roman" w:cs="Times New Roman"/>
                      <w:sz w:val="21"/>
                      <w:szCs w:val="21"/>
                    </w:rPr>
                  </w:pPr>
                  <w:r>
                    <w:rPr>
                      <w:rFonts w:ascii="Times New Roman" w:cs="Times New Roman"/>
                      <w:sz w:val="21"/>
                      <w:szCs w:val="21"/>
                    </w:rPr>
                    <w:t>万kwh/a</w:t>
                  </w:r>
                </w:p>
              </w:tc>
              <w:tc>
                <w:tcPr>
                  <w:tcW w:w="874" w:type="dxa"/>
                  <w:shd w:val="clear" w:color="auto" w:fill="auto"/>
                  <w:vAlign w:val="center"/>
                </w:tcPr>
                <w:p w14:paraId="26C0A6E1">
                  <w:pPr>
                    <w:pStyle w:val="105"/>
                    <w:spacing w:line="320" w:lineRule="exact"/>
                    <w:ind w:left="0" w:firstLine="0"/>
                    <w:jc w:val="center"/>
                    <w:rPr>
                      <w:rFonts w:ascii="Times New Roman" w:cs="Times New Roman"/>
                      <w:sz w:val="21"/>
                      <w:szCs w:val="21"/>
                    </w:rPr>
                  </w:pPr>
                  <w:r>
                    <w:rPr>
                      <w:rFonts w:ascii="Times New Roman" w:cs="Times New Roman"/>
                      <w:sz w:val="21"/>
                      <w:szCs w:val="21"/>
                    </w:rPr>
                    <w:t>382</w:t>
                  </w:r>
                </w:p>
              </w:tc>
              <w:tc>
                <w:tcPr>
                  <w:tcW w:w="4531" w:type="dxa"/>
                  <w:shd w:val="clear" w:color="auto" w:fill="auto"/>
                  <w:vAlign w:val="center"/>
                </w:tcPr>
                <w:p w14:paraId="24CED237">
                  <w:pPr>
                    <w:pStyle w:val="105"/>
                    <w:spacing w:line="320" w:lineRule="exact"/>
                    <w:ind w:left="0" w:firstLine="0"/>
                    <w:jc w:val="center"/>
                    <w:rPr>
                      <w:rFonts w:ascii="Times New Roman" w:cs="Times New Roman"/>
                      <w:sz w:val="21"/>
                      <w:szCs w:val="21"/>
                    </w:rPr>
                  </w:pPr>
                  <w:r>
                    <w:rPr>
                      <w:rFonts w:ascii="Times New Roman" w:cs="Times New Roman"/>
                      <w:sz w:val="21"/>
                      <w:szCs w:val="21"/>
                    </w:rPr>
                    <w:t>市政电网</w:t>
                  </w:r>
                </w:p>
              </w:tc>
            </w:tr>
            <w:tr w14:paraId="5CCD6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558" w:type="dxa"/>
                  <w:vAlign w:val="center"/>
                </w:tcPr>
                <w:p w14:paraId="1647C380">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1171" w:type="dxa"/>
                  <w:shd w:val="clear" w:color="auto" w:fill="auto"/>
                  <w:vAlign w:val="center"/>
                </w:tcPr>
                <w:p w14:paraId="27A32E40">
                  <w:pPr>
                    <w:pStyle w:val="105"/>
                    <w:spacing w:line="320" w:lineRule="exact"/>
                    <w:ind w:left="0" w:firstLine="0"/>
                    <w:jc w:val="center"/>
                    <w:rPr>
                      <w:rFonts w:ascii="Times New Roman" w:cs="Times New Roman"/>
                      <w:sz w:val="21"/>
                      <w:szCs w:val="21"/>
                    </w:rPr>
                  </w:pPr>
                  <w:r>
                    <w:rPr>
                      <w:rFonts w:ascii="Times New Roman" w:cs="Times New Roman"/>
                      <w:sz w:val="21"/>
                      <w:szCs w:val="21"/>
                    </w:rPr>
                    <w:t>新水</w:t>
                  </w:r>
                </w:p>
              </w:tc>
              <w:tc>
                <w:tcPr>
                  <w:tcW w:w="803" w:type="dxa"/>
                  <w:shd w:val="clear" w:color="auto" w:fill="auto"/>
                  <w:vAlign w:val="center"/>
                </w:tcPr>
                <w:p w14:paraId="15453B0C">
                  <w:pPr>
                    <w:pStyle w:val="105"/>
                    <w:spacing w:line="320" w:lineRule="exact"/>
                    <w:ind w:left="0" w:firstLine="0"/>
                    <w:jc w:val="center"/>
                    <w:rPr>
                      <w:rFonts w:ascii="Times New Roman" w:cs="Times New Roman"/>
                      <w:sz w:val="21"/>
                      <w:szCs w:val="21"/>
                    </w:rPr>
                  </w:pPr>
                  <w:r>
                    <w:rPr>
                      <w:rFonts w:ascii="Times New Roman" w:cs="Times New Roman"/>
                      <w:sz w:val="21"/>
                      <w:szCs w:val="21"/>
                    </w:rPr>
                    <w:t>m</w:t>
                  </w:r>
                  <w:r>
                    <w:rPr>
                      <w:rFonts w:ascii="Times New Roman" w:cs="Times New Roman"/>
                      <w:sz w:val="21"/>
                      <w:szCs w:val="21"/>
                      <w:vertAlign w:val="superscript"/>
                    </w:rPr>
                    <w:t>3</w:t>
                  </w:r>
                  <w:r>
                    <w:rPr>
                      <w:rFonts w:ascii="Times New Roman" w:cs="Times New Roman"/>
                      <w:sz w:val="21"/>
                      <w:szCs w:val="21"/>
                    </w:rPr>
                    <w:t>/a</w:t>
                  </w:r>
                </w:p>
              </w:tc>
              <w:tc>
                <w:tcPr>
                  <w:tcW w:w="874" w:type="dxa"/>
                  <w:shd w:val="clear" w:color="auto" w:fill="auto"/>
                  <w:vAlign w:val="center"/>
                </w:tcPr>
                <w:p w14:paraId="503E162D">
                  <w:pPr>
                    <w:pStyle w:val="105"/>
                    <w:spacing w:line="320" w:lineRule="exact"/>
                    <w:ind w:left="0" w:firstLine="0"/>
                    <w:jc w:val="center"/>
                    <w:rPr>
                      <w:rFonts w:ascii="Times New Roman" w:cs="Times New Roman"/>
                      <w:sz w:val="21"/>
                      <w:szCs w:val="21"/>
                    </w:rPr>
                  </w:pPr>
                  <w:r>
                    <w:rPr>
                      <w:rFonts w:ascii="Times New Roman" w:cs="Times New Roman"/>
                      <w:sz w:val="21"/>
                      <w:szCs w:val="21"/>
                    </w:rPr>
                    <w:t>613.2</w:t>
                  </w:r>
                </w:p>
              </w:tc>
              <w:tc>
                <w:tcPr>
                  <w:tcW w:w="4531" w:type="dxa"/>
                  <w:shd w:val="clear" w:color="auto" w:fill="auto"/>
                  <w:vAlign w:val="center"/>
                </w:tcPr>
                <w:p w14:paraId="0E5AEA16">
                  <w:pPr>
                    <w:pStyle w:val="105"/>
                    <w:spacing w:line="320" w:lineRule="exact"/>
                    <w:ind w:left="0" w:firstLine="0"/>
                    <w:jc w:val="center"/>
                    <w:rPr>
                      <w:rFonts w:ascii="Times New Roman" w:cs="Times New Roman"/>
                      <w:sz w:val="21"/>
                      <w:szCs w:val="21"/>
                    </w:rPr>
                  </w:pPr>
                  <w:r>
                    <w:rPr>
                      <w:rFonts w:ascii="Times New Roman" w:cs="Times New Roman"/>
                      <w:sz w:val="21"/>
                      <w:szCs w:val="21"/>
                    </w:rPr>
                    <w:t>外购</w:t>
                  </w:r>
                </w:p>
              </w:tc>
            </w:tr>
          </w:tbl>
          <w:p w14:paraId="1A5CFA33">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7、土石方工程</w:t>
            </w:r>
          </w:p>
          <w:p w14:paraId="6E9125DF">
            <w:pPr>
              <w:widowControl/>
              <w:adjustRightInd w:val="0"/>
              <w:snapToGrid w:val="0"/>
              <w:spacing w:line="480" w:lineRule="exact"/>
              <w:ind w:firstLine="480" w:firstLineChars="200"/>
              <w:rPr>
                <w:sz w:val="24"/>
              </w:rPr>
            </w:pPr>
            <w:r>
              <w:rPr>
                <w:sz w:val="24"/>
              </w:rPr>
              <w:t>本项目施工期土石方开挖总量约212593m</w:t>
            </w:r>
            <w:r>
              <w:rPr>
                <w:sz w:val="24"/>
                <w:vertAlign w:val="superscript"/>
              </w:rPr>
              <w:t>3</w:t>
            </w:r>
            <w:r>
              <w:rPr>
                <w:sz w:val="24"/>
              </w:rPr>
              <w:t>，土石方回填总量约547445m</w:t>
            </w:r>
            <w:r>
              <w:rPr>
                <w:sz w:val="24"/>
                <w:vertAlign w:val="superscript"/>
              </w:rPr>
              <w:t>3</w:t>
            </w:r>
            <w:r>
              <w:rPr>
                <w:sz w:val="24"/>
              </w:rPr>
              <w:t>，土石方平衡后，需外借土石方约379892m</w:t>
            </w:r>
            <w:r>
              <w:rPr>
                <w:sz w:val="24"/>
                <w:vertAlign w:val="superscript"/>
              </w:rPr>
              <w:t>3</w:t>
            </w:r>
            <w:r>
              <w:rPr>
                <w:sz w:val="24"/>
              </w:rPr>
              <w:t>，弃方包括淤泥及废弃泥浆45040m</w:t>
            </w:r>
            <w:r>
              <w:rPr>
                <w:sz w:val="24"/>
                <w:vertAlign w:val="superscript"/>
              </w:rPr>
              <w:t>3</w:t>
            </w:r>
            <w:r>
              <w:rPr>
                <w:sz w:val="24"/>
              </w:rPr>
              <w:t>，委托有资质单位运送至相关管理部门指定地点处理。本项目取土全部来源于商品土，由专业土</w:t>
            </w:r>
            <w:r>
              <w:rPr>
                <w:sz w:val="24"/>
                <w:szCs w:val="32"/>
              </w:rPr>
              <w:t>方</w:t>
            </w:r>
            <w:r>
              <w:rPr>
                <w:sz w:val="24"/>
              </w:rPr>
              <w:t>公司提供，建设单位购买商品土时，必须与具有相关供土资质的单位签订购买合同，同时在合同中明确取土场生态恢复责任。本项目不设置永久弃土场</w:t>
            </w:r>
            <w:r>
              <w:rPr>
                <w:rFonts w:hint="eastAsia"/>
                <w:sz w:val="24"/>
              </w:rPr>
              <w:t>，开挖的土石方全部回填利用，风机施工过程临时堆土暂存于各风机点位配套的吊装场地内，升压站内临时堆土堆存于站内。</w:t>
            </w:r>
            <w:r>
              <w:rPr>
                <w:sz w:val="24"/>
              </w:rPr>
              <w:t>本项目施工期土石方平衡情况如下。</w:t>
            </w:r>
          </w:p>
          <w:p w14:paraId="7D139E5D">
            <w:pPr>
              <w:adjustRightInd w:val="0"/>
              <w:snapToGrid w:val="0"/>
              <w:spacing w:line="480" w:lineRule="exact"/>
              <w:jc w:val="center"/>
              <w:rPr>
                <w:b/>
                <w:bCs/>
                <w:szCs w:val="21"/>
              </w:rPr>
            </w:pPr>
            <w:r>
              <w:rPr>
                <w:b/>
                <w:bCs/>
                <w:szCs w:val="21"/>
              </w:rPr>
              <w:t>表2-1</w:t>
            </w:r>
            <w:r>
              <w:rPr>
                <w:rFonts w:hint="eastAsia"/>
                <w:b/>
                <w:bCs/>
                <w:szCs w:val="21"/>
              </w:rPr>
              <w:t>3</w:t>
            </w:r>
            <w:r>
              <w:rPr>
                <w:b/>
                <w:bCs/>
                <w:szCs w:val="21"/>
              </w:rPr>
              <w:t xml:space="preserve">  本项目主体土石方平衡表   单位：m³</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418"/>
              <w:gridCol w:w="1393"/>
              <w:gridCol w:w="1393"/>
              <w:gridCol w:w="1394"/>
              <w:gridCol w:w="1394"/>
            </w:tblGrid>
            <w:tr w14:paraId="1BA4B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vMerge w:val="restart"/>
                  <w:tcBorders>
                    <w:tl2br w:val="nil"/>
                    <w:tr2bl w:val="nil"/>
                  </w:tcBorders>
                  <w:shd w:val="clear" w:color="auto" w:fill="auto"/>
                  <w:vAlign w:val="center"/>
                </w:tcPr>
                <w:p w14:paraId="11BAA49D">
                  <w:pPr>
                    <w:widowControl/>
                    <w:spacing w:line="320" w:lineRule="exact"/>
                    <w:jc w:val="center"/>
                    <w:rPr>
                      <w:kern w:val="0"/>
                      <w:szCs w:val="21"/>
                    </w:rPr>
                  </w:pPr>
                  <w:r>
                    <w:rPr>
                      <w:kern w:val="0"/>
                      <w:szCs w:val="21"/>
                    </w:rPr>
                    <w:t>序号</w:t>
                  </w:r>
                </w:p>
              </w:tc>
              <w:tc>
                <w:tcPr>
                  <w:tcW w:w="1203" w:type="dxa"/>
                  <w:vMerge w:val="restart"/>
                  <w:tcBorders>
                    <w:tl2br w:val="nil"/>
                    <w:tr2bl w:val="nil"/>
                  </w:tcBorders>
                  <w:shd w:val="clear" w:color="auto" w:fill="auto"/>
                  <w:vAlign w:val="center"/>
                </w:tcPr>
                <w:p w14:paraId="554B7249">
                  <w:pPr>
                    <w:widowControl/>
                    <w:spacing w:line="320" w:lineRule="exact"/>
                    <w:jc w:val="center"/>
                    <w:rPr>
                      <w:kern w:val="0"/>
                      <w:szCs w:val="21"/>
                    </w:rPr>
                  </w:pPr>
                  <w:r>
                    <w:rPr>
                      <w:kern w:val="0"/>
                      <w:szCs w:val="21"/>
                    </w:rPr>
                    <w:t>项目</w:t>
                  </w:r>
                </w:p>
              </w:tc>
              <w:tc>
                <w:tcPr>
                  <w:tcW w:w="4728" w:type="dxa"/>
                  <w:gridSpan w:val="4"/>
                  <w:tcBorders>
                    <w:tl2br w:val="nil"/>
                    <w:tr2bl w:val="nil"/>
                  </w:tcBorders>
                  <w:shd w:val="clear" w:color="auto" w:fill="auto"/>
                  <w:vAlign w:val="center"/>
                </w:tcPr>
                <w:p w14:paraId="09C117FF">
                  <w:pPr>
                    <w:widowControl/>
                    <w:spacing w:line="320" w:lineRule="exact"/>
                    <w:jc w:val="center"/>
                    <w:rPr>
                      <w:kern w:val="0"/>
                      <w:szCs w:val="21"/>
                    </w:rPr>
                  </w:pPr>
                  <w:r>
                    <w:rPr>
                      <w:kern w:val="0"/>
                      <w:szCs w:val="21"/>
                    </w:rPr>
                    <w:t>土石方量（m³）</w:t>
                  </w:r>
                </w:p>
              </w:tc>
            </w:tr>
            <w:tr w14:paraId="191A7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vMerge w:val="continue"/>
                  <w:tcBorders>
                    <w:tl2br w:val="nil"/>
                    <w:tr2bl w:val="nil"/>
                  </w:tcBorders>
                  <w:vAlign w:val="center"/>
                </w:tcPr>
                <w:p w14:paraId="0B805EA8">
                  <w:pPr>
                    <w:widowControl/>
                    <w:spacing w:line="320" w:lineRule="exact"/>
                    <w:jc w:val="left"/>
                    <w:rPr>
                      <w:kern w:val="0"/>
                      <w:szCs w:val="21"/>
                    </w:rPr>
                  </w:pPr>
                </w:p>
              </w:tc>
              <w:tc>
                <w:tcPr>
                  <w:tcW w:w="1203" w:type="dxa"/>
                  <w:vMerge w:val="continue"/>
                  <w:tcBorders>
                    <w:tl2br w:val="nil"/>
                    <w:tr2bl w:val="nil"/>
                  </w:tcBorders>
                  <w:vAlign w:val="center"/>
                </w:tcPr>
                <w:p w14:paraId="1BE04AA4">
                  <w:pPr>
                    <w:widowControl/>
                    <w:spacing w:line="320" w:lineRule="exact"/>
                    <w:jc w:val="left"/>
                    <w:rPr>
                      <w:kern w:val="0"/>
                      <w:szCs w:val="21"/>
                    </w:rPr>
                  </w:pPr>
                </w:p>
              </w:tc>
              <w:tc>
                <w:tcPr>
                  <w:tcW w:w="1182" w:type="dxa"/>
                  <w:tcBorders>
                    <w:tl2br w:val="nil"/>
                    <w:tr2bl w:val="nil"/>
                  </w:tcBorders>
                  <w:shd w:val="clear" w:color="auto" w:fill="auto"/>
                  <w:vAlign w:val="center"/>
                </w:tcPr>
                <w:p w14:paraId="7224C19B">
                  <w:pPr>
                    <w:widowControl/>
                    <w:spacing w:line="320" w:lineRule="exact"/>
                    <w:jc w:val="center"/>
                    <w:rPr>
                      <w:kern w:val="0"/>
                      <w:szCs w:val="21"/>
                    </w:rPr>
                  </w:pPr>
                  <w:r>
                    <w:rPr>
                      <w:kern w:val="0"/>
                      <w:szCs w:val="21"/>
                    </w:rPr>
                    <w:t>开挖</w:t>
                  </w:r>
                </w:p>
              </w:tc>
              <w:tc>
                <w:tcPr>
                  <w:tcW w:w="1182" w:type="dxa"/>
                  <w:tcBorders>
                    <w:tl2br w:val="nil"/>
                    <w:tr2bl w:val="nil"/>
                  </w:tcBorders>
                  <w:shd w:val="clear" w:color="auto" w:fill="auto"/>
                  <w:vAlign w:val="center"/>
                </w:tcPr>
                <w:p w14:paraId="6D72DB4D">
                  <w:pPr>
                    <w:widowControl/>
                    <w:spacing w:line="320" w:lineRule="exact"/>
                    <w:jc w:val="center"/>
                    <w:rPr>
                      <w:kern w:val="0"/>
                      <w:szCs w:val="21"/>
                    </w:rPr>
                  </w:pPr>
                  <w:r>
                    <w:rPr>
                      <w:kern w:val="0"/>
                      <w:szCs w:val="21"/>
                    </w:rPr>
                    <w:t>回填</w:t>
                  </w:r>
                </w:p>
              </w:tc>
              <w:tc>
                <w:tcPr>
                  <w:tcW w:w="1182" w:type="dxa"/>
                  <w:tcBorders>
                    <w:tl2br w:val="nil"/>
                    <w:tr2bl w:val="nil"/>
                  </w:tcBorders>
                  <w:shd w:val="clear" w:color="auto" w:fill="auto"/>
                  <w:vAlign w:val="center"/>
                </w:tcPr>
                <w:p w14:paraId="1FC3B782">
                  <w:pPr>
                    <w:widowControl/>
                    <w:spacing w:line="320" w:lineRule="exact"/>
                    <w:jc w:val="center"/>
                    <w:rPr>
                      <w:kern w:val="0"/>
                      <w:szCs w:val="21"/>
                    </w:rPr>
                  </w:pPr>
                  <w:r>
                    <w:rPr>
                      <w:kern w:val="0"/>
                      <w:szCs w:val="21"/>
                    </w:rPr>
                    <w:t>弃方</w:t>
                  </w:r>
                </w:p>
              </w:tc>
              <w:tc>
                <w:tcPr>
                  <w:tcW w:w="1182" w:type="dxa"/>
                  <w:tcBorders>
                    <w:tl2br w:val="nil"/>
                    <w:tr2bl w:val="nil"/>
                  </w:tcBorders>
                  <w:shd w:val="clear" w:color="auto" w:fill="auto"/>
                  <w:vAlign w:val="center"/>
                </w:tcPr>
                <w:p w14:paraId="402F99AC">
                  <w:pPr>
                    <w:widowControl/>
                    <w:spacing w:line="320" w:lineRule="exact"/>
                    <w:jc w:val="center"/>
                    <w:rPr>
                      <w:kern w:val="0"/>
                      <w:szCs w:val="21"/>
                    </w:rPr>
                  </w:pPr>
                  <w:r>
                    <w:rPr>
                      <w:kern w:val="0"/>
                      <w:szCs w:val="21"/>
                    </w:rPr>
                    <w:t>外借</w:t>
                  </w:r>
                </w:p>
              </w:tc>
            </w:tr>
            <w:tr w14:paraId="1623B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4A5BEDDA">
                  <w:pPr>
                    <w:widowControl/>
                    <w:spacing w:line="320" w:lineRule="exact"/>
                    <w:jc w:val="center"/>
                    <w:rPr>
                      <w:kern w:val="0"/>
                      <w:szCs w:val="21"/>
                    </w:rPr>
                  </w:pPr>
                  <w:r>
                    <w:rPr>
                      <w:kern w:val="0"/>
                      <w:szCs w:val="21"/>
                    </w:rPr>
                    <w:t>1</w:t>
                  </w:r>
                </w:p>
              </w:tc>
              <w:tc>
                <w:tcPr>
                  <w:tcW w:w="1203" w:type="dxa"/>
                  <w:tcBorders>
                    <w:tl2br w:val="nil"/>
                    <w:tr2bl w:val="nil"/>
                  </w:tcBorders>
                  <w:shd w:val="clear" w:color="auto" w:fill="auto"/>
                  <w:vAlign w:val="center"/>
                </w:tcPr>
                <w:p w14:paraId="58599DE4">
                  <w:pPr>
                    <w:widowControl/>
                    <w:spacing w:line="320" w:lineRule="exact"/>
                    <w:jc w:val="center"/>
                    <w:rPr>
                      <w:kern w:val="0"/>
                      <w:szCs w:val="21"/>
                    </w:rPr>
                  </w:pPr>
                  <w:r>
                    <w:rPr>
                      <w:kern w:val="0"/>
                      <w:szCs w:val="21"/>
                    </w:rPr>
                    <w:t>风机基础</w:t>
                  </w:r>
                </w:p>
              </w:tc>
              <w:tc>
                <w:tcPr>
                  <w:tcW w:w="1182" w:type="dxa"/>
                  <w:tcBorders>
                    <w:tl2br w:val="nil"/>
                    <w:tr2bl w:val="nil"/>
                  </w:tcBorders>
                  <w:shd w:val="clear" w:color="auto" w:fill="auto"/>
                  <w:vAlign w:val="center"/>
                </w:tcPr>
                <w:p w14:paraId="21F2681B">
                  <w:pPr>
                    <w:widowControl/>
                    <w:spacing w:line="320" w:lineRule="exact"/>
                    <w:jc w:val="center"/>
                    <w:rPr>
                      <w:kern w:val="0"/>
                      <w:szCs w:val="21"/>
                    </w:rPr>
                  </w:pPr>
                  <w:r>
                    <w:rPr>
                      <w:szCs w:val="21"/>
                    </w:rPr>
                    <w:t>38600</w:t>
                  </w:r>
                </w:p>
              </w:tc>
              <w:tc>
                <w:tcPr>
                  <w:tcW w:w="1182" w:type="dxa"/>
                  <w:tcBorders>
                    <w:tl2br w:val="nil"/>
                    <w:tr2bl w:val="nil"/>
                  </w:tcBorders>
                  <w:shd w:val="clear" w:color="auto" w:fill="auto"/>
                  <w:vAlign w:val="center"/>
                </w:tcPr>
                <w:p w14:paraId="75FA87A8">
                  <w:pPr>
                    <w:widowControl/>
                    <w:spacing w:line="320" w:lineRule="exact"/>
                    <w:jc w:val="center"/>
                    <w:rPr>
                      <w:kern w:val="0"/>
                      <w:szCs w:val="21"/>
                    </w:rPr>
                  </w:pPr>
                  <w:r>
                    <w:rPr>
                      <w:szCs w:val="21"/>
                    </w:rPr>
                    <w:t>23900</w:t>
                  </w:r>
                </w:p>
              </w:tc>
              <w:tc>
                <w:tcPr>
                  <w:tcW w:w="1182" w:type="dxa"/>
                  <w:tcBorders>
                    <w:tl2br w:val="nil"/>
                    <w:tr2bl w:val="nil"/>
                  </w:tcBorders>
                  <w:shd w:val="clear" w:color="auto" w:fill="auto"/>
                  <w:vAlign w:val="center"/>
                </w:tcPr>
                <w:p w14:paraId="2340D55B">
                  <w:pPr>
                    <w:widowControl/>
                    <w:spacing w:line="320" w:lineRule="exact"/>
                    <w:jc w:val="center"/>
                    <w:rPr>
                      <w:kern w:val="0"/>
                      <w:szCs w:val="21"/>
                    </w:rPr>
                  </w:pPr>
                  <w:r>
                    <w:rPr>
                      <w:szCs w:val="21"/>
                    </w:rPr>
                    <w:t>14700</w:t>
                  </w:r>
                </w:p>
              </w:tc>
              <w:tc>
                <w:tcPr>
                  <w:tcW w:w="1182" w:type="dxa"/>
                  <w:tcBorders>
                    <w:tl2br w:val="nil"/>
                    <w:tr2bl w:val="nil"/>
                  </w:tcBorders>
                  <w:shd w:val="clear" w:color="auto" w:fill="auto"/>
                  <w:vAlign w:val="center"/>
                </w:tcPr>
                <w:p w14:paraId="343FA63F">
                  <w:pPr>
                    <w:widowControl/>
                    <w:spacing w:line="320" w:lineRule="exact"/>
                    <w:jc w:val="center"/>
                    <w:rPr>
                      <w:kern w:val="0"/>
                      <w:szCs w:val="21"/>
                    </w:rPr>
                  </w:pPr>
                  <w:r>
                    <w:rPr>
                      <w:szCs w:val="21"/>
                    </w:rPr>
                    <w:t>　</w:t>
                  </w:r>
                </w:p>
              </w:tc>
            </w:tr>
            <w:tr w14:paraId="1DBF1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3323B328">
                  <w:pPr>
                    <w:widowControl/>
                    <w:spacing w:line="320" w:lineRule="exact"/>
                    <w:jc w:val="center"/>
                    <w:rPr>
                      <w:kern w:val="0"/>
                      <w:szCs w:val="21"/>
                    </w:rPr>
                  </w:pPr>
                  <w:r>
                    <w:rPr>
                      <w:kern w:val="0"/>
                      <w:szCs w:val="21"/>
                    </w:rPr>
                    <w:t>2</w:t>
                  </w:r>
                </w:p>
              </w:tc>
              <w:tc>
                <w:tcPr>
                  <w:tcW w:w="1203" w:type="dxa"/>
                  <w:tcBorders>
                    <w:tl2br w:val="nil"/>
                    <w:tr2bl w:val="nil"/>
                  </w:tcBorders>
                  <w:shd w:val="clear" w:color="auto" w:fill="auto"/>
                  <w:vAlign w:val="center"/>
                </w:tcPr>
                <w:p w14:paraId="235CA857">
                  <w:pPr>
                    <w:widowControl/>
                    <w:spacing w:line="320" w:lineRule="exact"/>
                    <w:jc w:val="center"/>
                    <w:rPr>
                      <w:kern w:val="0"/>
                      <w:szCs w:val="21"/>
                    </w:rPr>
                  </w:pPr>
                  <w:r>
                    <w:rPr>
                      <w:kern w:val="0"/>
                      <w:szCs w:val="21"/>
                    </w:rPr>
                    <w:t>箱变基础</w:t>
                  </w:r>
                </w:p>
              </w:tc>
              <w:tc>
                <w:tcPr>
                  <w:tcW w:w="1182" w:type="dxa"/>
                  <w:tcBorders>
                    <w:tl2br w:val="nil"/>
                    <w:tr2bl w:val="nil"/>
                  </w:tcBorders>
                  <w:shd w:val="clear" w:color="auto" w:fill="auto"/>
                  <w:vAlign w:val="center"/>
                </w:tcPr>
                <w:p w14:paraId="56765B45">
                  <w:pPr>
                    <w:widowControl/>
                    <w:spacing w:line="320" w:lineRule="exact"/>
                    <w:jc w:val="center"/>
                    <w:rPr>
                      <w:kern w:val="0"/>
                      <w:szCs w:val="21"/>
                    </w:rPr>
                  </w:pPr>
                  <w:r>
                    <w:rPr>
                      <w:szCs w:val="21"/>
                    </w:rPr>
                    <w:t>2520</w:t>
                  </w:r>
                </w:p>
              </w:tc>
              <w:tc>
                <w:tcPr>
                  <w:tcW w:w="1182" w:type="dxa"/>
                  <w:tcBorders>
                    <w:tl2br w:val="nil"/>
                    <w:tr2bl w:val="nil"/>
                  </w:tcBorders>
                  <w:shd w:val="clear" w:color="auto" w:fill="auto"/>
                  <w:vAlign w:val="center"/>
                </w:tcPr>
                <w:p w14:paraId="40AA2B51">
                  <w:pPr>
                    <w:widowControl/>
                    <w:spacing w:line="320" w:lineRule="exact"/>
                    <w:jc w:val="center"/>
                    <w:rPr>
                      <w:kern w:val="0"/>
                      <w:szCs w:val="21"/>
                    </w:rPr>
                  </w:pPr>
                  <w:r>
                    <w:rPr>
                      <w:szCs w:val="21"/>
                    </w:rPr>
                    <w:t>1980</w:t>
                  </w:r>
                </w:p>
              </w:tc>
              <w:tc>
                <w:tcPr>
                  <w:tcW w:w="1182" w:type="dxa"/>
                  <w:tcBorders>
                    <w:tl2br w:val="nil"/>
                    <w:tr2bl w:val="nil"/>
                  </w:tcBorders>
                  <w:shd w:val="clear" w:color="auto" w:fill="auto"/>
                  <w:vAlign w:val="center"/>
                </w:tcPr>
                <w:p w14:paraId="2A57C961">
                  <w:pPr>
                    <w:widowControl/>
                    <w:spacing w:line="320" w:lineRule="exact"/>
                    <w:jc w:val="center"/>
                    <w:rPr>
                      <w:kern w:val="0"/>
                      <w:szCs w:val="21"/>
                    </w:rPr>
                  </w:pPr>
                  <w:r>
                    <w:rPr>
                      <w:szCs w:val="21"/>
                    </w:rPr>
                    <w:t>540</w:t>
                  </w:r>
                </w:p>
              </w:tc>
              <w:tc>
                <w:tcPr>
                  <w:tcW w:w="1182" w:type="dxa"/>
                  <w:tcBorders>
                    <w:tl2br w:val="nil"/>
                    <w:tr2bl w:val="nil"/>
                  </w:tcBorders>
                  <w:shd w:val="clear" w:color="auto" w:fill="auto"/>
                  <w:vAlign w:val="center"/>
                </w:tcPr>
                <w:p w14:paraId="35A4B1C1">
                  <w:pPr>
                    <w:widowControl/>
                    <w:spacing w:line="320" w:lineRule="exact"/>
                    <w:jc w:val="center"/>
                    <w:rPr>
                      <w:kern w:val="0"/>
                      <w:szCs w:val="21"/>
                    </w:rPr>
                  </w:pPr>
                  <w:r>
                    <w:rPr>
                      <w:szCs w:val="21"/>
                    </w:rPr>
                    <w:t>　</w:t>
                  </w:r>
                </w:p>
              </w:tc>
            </w:tr>
            <w:tr w14:paraId="7A5A2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300D45D2">
                  <w:pPr>
                    <w:widowControl/>
                    <w:spacing w:line="320" w:lineRule="exact"/>
                    <w:jc w:val="center"/>
                    <w:rPr>
                      <w:kern w:val="0"/>
                      <w:szCs w:val="21"/>
                    </w:rPr>
                  </w:pPr>
                  <w:r>
                    <w:rPr>
                      <w:kern w:val="0"/>
                      <w:szCs w:val="21"/>
                    </w:rPr>
                    <w:t>3</w:t>
                  </w:r>
                </w:p>
              </w:tc>
              <w:tc>
                <w:tcPr>
                  <w:tcW w:w="1203" w:type="dxa"/>
                  <w:tcBorders>
                    <w:tl2br w:val="nil"/>
                    <w:tr2bl w:val="nil"/>
                  </w:tcBorders>
                  <w:shd w:val="clear" w:color="auto" w:fill="auto"/>
                  <w:vAlign w:val="center"/>
                </w:tcPr>
                <w:p w14:paraId="6599480C">
                  <w:pPr>
                    <w:widowControl/>
                    <w:spacing w:line="320" w:lineRule="exact"/>
                    <w:jc w:val="center"/>
                    <w:rPr>
                      <w:kern w:val="0"/>
                      <w:szCs w:val="21"/>
                    </w:rPr>
                  </w:pPr>
                  <w:r>
                    <w:rPr>
                      <w:kern w:val="0"/>
                      <w:szCs w:val="21"/>
                    </w:rPr>
                    <w:t>升压站</w:t>
                  </w:r>
                </w:p>
              </w:tc>
              <w:tc>
                <w:tcPr>
                  <w:tcW w:w="1182" w:type="dxa"/>
                  <w:tcBorders>
                    <w:tl2br w:val="nil"/>
                    <w:tr2bl w:val="nil"/>
                  </w:tcBorders>
                  <w:shd w:val="clear" w:color="auto" w:fill="auto"/>
                  <w:vAlign w:val="center"/>
                </w:tcPr>
                <w:p w14:paraId="7B0EBF43">
                  <w:pPr>
                    <w:widowControl/>
                    <w:spacing w:line="320" w:lineRule="exact"/>
                    <w:jc w:val="center"/>
                    <w:rPr>
                      <w:kern w:val="0"/>
                      <w:szCs w:val="21"/>
                    </w:rPr>
                  </w:pPr>
                  <w:r>
                    <w:rPr>
                      <w:szCs w:val="21"/>
                    </w:rPr>
                    <w:t>39773</w:t>
                  </w:r>
                </w:p>
              </w:tc>
              <w:tc>
                <w:tcPr>
                  <w:tcW w:w="1182" w:type="dxa"/>
                  <w:tcBorders>
                    <w:tl2br w:val="nil"/>
                    <w:tr2bl w:val="nil"/>
                  </w:tcBorders>
                  <w:shd w:val="clear" w:color="auto" w:fill="auto"/>
                  <w:vAlign w:val="center"/>
                </w:tcPr>
                <w:p w14:paraId="595E41EE">
                  <w:pPr>
                    <w:widowControl/>
                    <w:spacing w:line="320" w:lineRule="exact"/>
                    <w:jc w:val="center"/>
                    <w:rPr>
                      <w:kern w:val="0"/>
                      <w:szCs w:val="21"/>
                    </w:rPr>
                  </w:pPr>
                  <w:r>
                    <w:rPr>
                      <w:szCs w:val="21"/>
                    </w:rPr>
                    <w:t>78065</w:t>
                  </w:r>
                </w:p>
              </w:tc>
              <w:tc>
                <w:tcPr>
                  <w:tcW w:w="1182" w:type="dxa"/>
                  <w:tcBorders>
                    <w:tl2br w:val="nil"/>
                    <w:tr2bl w:val="nil"/>
                  </w:tcBorders>
                  <w:shd w:val="clear" w:color="auto" w:fill="auto"/>
                  <w:vAlign w:val="center"/>
                </w:tcPr>
                <w:p w14:paraId="25695676">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18B19F39">
                  <w:pPr>
                    <w:widowControl/>
                    <w:spacing w:line="320" w:lineRule="exact"/>
                    <w:jc w:val="center"/>
                    <w:rPr>
                      <w:kern w:val="0"/>
                      <w:szCs w:val="21"/>
                    </w:rPr>
                  </w:pPr>
                  <w:r>
                    <w:rPr>
                      <w:szCs w:val="21"/>
                    </w:rPr>
                    <w:t>38292</w:t>
                  </w:r>
                </w:p>
              </w:tc>
            </w:tr>
            <w:tr w14:paraId="7CD65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2E787DE5">
                  <w:pPr>
                    <w:widowControl/>
                    <w:spacing w:line="320" w:lineRule="exact"/>
                    <w:jc w:val="center"/>
                    <w:rPr>
                      <w:kern w:val="0"/>
                      <w:szCs w:val="21"/>
                    </w:rPr>
                  </w:pPr>
                  <w:r>
                    <w:rPr>
                      <w:kern w:val="0"/>
                      <w:szCs w:val="21"/>
                    </w:rPr>
                    <w:t>4</w:t>
                  </w:r>
                </w:p>
              </w:tc>
              <w:tc>
                <w:tcPr>
                  <w:tcW w:w="1203" w:type="dxa"/>
                  <w:tcBorders>
                    <w:tl2br w:val="nil"/>
                    <w:tr2bl w:val="nil"/>
                  </w:tcBorders>
                  <w:shd w:val="clear" w:color="auto" w:fill="auto"/>
                  <w:vAlign w:val="center"/>
                </w:tcPr>
                <w:p w14:paraId="4FD89F4E">
                  <w:pPr>
                    <w:widowControl/>
                    <w:spacing w:line="320" w:lineRule="exact"/>
                    <w:jc w:val="center"/>
                    <w:rPr>
                      <w:kern w:val="0"/>
                      <w:szCs w:val="21"/>
                    </w:rPr>
                  </w:pPr>
                  <w:r>
                    <w:rPr>
                      <w:kern w:val="0"/>
                      <w:szCs w:val="21"/>
                    </w:rPr>
                    <w:t>安装平台</w:t>
                  </w:r>
                </w:p>
              </w:tc>
              <w:tc>
                <w:tcPr>
                  <w:tcW w:w="1182" w:type="dxa"/>
                  <w:tcBorders>
                    <w:tl2br w:val="nil"/>
                    <w:tr2bl w:val="nil"/>
                  </w:tcBorders>
                  <w:shd w:val="clear" w:color="auto" w:fill="auto"/>
                  <w:vAlign w:val="center"/>
                </w:tcPr>
                <w:p w14:paraId="087193A1">
                  <w:pPr>
                    <w:widowControl/>
                    <w:spacing w:line="320" w:lineRule="exact"/>
                    <w:jc w:val="center"/>
                    <w:rPr>
                      <w:kern w:val="0"/>
                      <w:szCs w:val="21"/>
                    </w:rPr>
                  </w:pPr>
                  <w:r>
                    <w:rPr>
                      <w:szCs w:val="21"/>
                    </w:rPr>
                    <w:t>6800</w:t>
                  </w:r>
                </w:p>
              </w:tc>
              <w:tc>
                <w:tcPr>
                  <w:tcW w:w="1182" w:type="dxa"/>
                  <w:tcBorders>
                    <w:tl2br w:val="nil"/>
                    <w:tr2bl w:val="nil"/>
                  </w:tcBorders>
                  <w:shd w:val="clear" w:color="auto" w:fill="auto"/>
                  <w:vAlign w:val="center"/>
                </w:tcPr>
                <w:p w14:paraId="07B5D8D5">
                  <w:pPr>
                    <w:widowControl/>
                    <w:spacing w:line="320" w:lineRule="exact"/>
                    <w:jc w:val="center"/>
                    <w:rPr>
                      <w:kern w:val="0"/>
                      <w:szCs w:val="21"/>
                    </w:rPr>
                  </w:pPr>
                  <w:r>
                    <w:rPr>
                      <w:szCs w:val="21"/>
                    </w:rPr>
                    <w:t>348400</w:t>
                  </w:r>
                </w:p>
              </w:tc>
              <w:tc>
                <w:tcPr>
                  <w:tcW w:w="1182" w:type="dxa"/>
                  <w:tcBorders>
                    <w:tl2br w:val="nil"/>
                    <w:tr2bl w:val="nil"/>
                  </w:tcBorders>
                  <w:shd w:val="clear" w:color="auto" w:fill="auto"/>
                  <w:vAlign w:val="center"/>
                </w:tcPr>
                <w:p w14:paraId="68DD91C2">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6D74E247">
                  <w:pPr>
                    <w:widowControl/>
                    <w:spacing w:line="320" w:lineRule="exact"/>
                    <w:jc w:val="center"/>
                    <w:rPr>
                      <w:kern w:val="0"/>
                      <w:szCs w:val="21"/>
                    </w:rPr>
                  </w:pPr>
                  <w:r>
                    <w:rPr>
                      <w:szCs w:val="21"/>
                    </w:rPr>
                    <w:t>341600</w:t>
                  </w:r>
                </w:p>
              </w:tc>
            </w:tr>
            <w:tr w14:paraId="0E270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077FE2CE">
                  <w:pPr>
                    <w:widowControl/>
                    <w:spacing w:line="320" w:lineRule="exact"/>
                    <w:jc w:val="center"/>
                    <w:rPr>
                      <w:kern w:val="0"/>
                      <w:szCs w:val="21"/>
                    </w:rPr>
                  </w:pPr>
                  <w:r>
                    <w:rPr>
                      <w:kern w:val="0"/>
                      <w:szCs w:val="21"/>
                    </w:rPr>
                    <w:t>5</w:t>
                  </w:r>
                </w:p>
              </w:tc>
              <w:tc>
                <w:tcPr>
                  <w:tcW w:w="1203" w:type="dxa"/>
                  <w:tcBorders>
                    <w:tl2br w:val="nil"/>
                    <w:tr2bl w:val="nil"/>
                  </w:tcBorders>
                  <w:shd w:val="clear" w:color="auto" w:fill="auto"/>
                  <w:vAlign w:val="center"/>
                </w:tcPr>
                <w:p w14:paraId="3D8132E0">
                  <w:pPr>
                    <w:widowControl/>
                    <w:spacing w:line="320" w:lineRule="exact"/>
                    <w:jc w:val="center"/>
                    <w:rPr>
                      <w:kern w:val="0"/>
                      <w:szCs w:val="21"/>
                    </w:rPr>
                  </w:pPr>
                  <w:r>
                    <w:rPr>
                      <w:kern w:val="0"/>
                      <w:szCs w:val="21"/>
                    </w:rPr>
                    <w:t>场内道路</w:t>
                  </w:r>
                </w:p>
              </w:tc>
              <w:tc>
                <w:tcPr>
                  <w:tcW w:w="1182" w:type="dxa"/>
                  <w:tcBorders>
                    <w:tl2br w:val="nil"/>
                    <w:tr2bl w:val="nil"/>
                  </w:tcBorders>
                  <w:shd w:val="clear" w:color="auto" w:fill="auto"/>
                  <w:vAlign w:val="center"/>
                </w:tcPr>
                <w:p w14:paraId="7EF7687F">
                  <w:pPr>
                    <w:widowControl/>
                    <w:spacing w:line="320" w:lineRule="exact"/>
                    <w:jc w:val="center"/>
                    <w:rPr>
                      <w:kern w:val="0"/>
                      <w:szCs w:val="21"/>
                    </w:rPr>
                  </w:pPr>
                  <w:r>
                    <w:rPr>
                      <w:szCs w:val="21"/>
                    </w:rPr>
                    <w:t>44100</w:t>
                  </w:r>
                </w:p>
              </w:tc>
              <w:tc>
                <w:tcPr>
                  <w:tcW w:w="1182" w:type="dxa"/>
                  <w:tcBorders>
                    <w:tl2br w:val="nil"/>
                    <w:tr2bl w:val="nil"/>
                  </w:tcBorders>
                  <w:shd w:val="clear" w:color="auto" w:fill="auto"/>
                  <w:vAlign w:val="center"/>
                </w:tcPr>
                <w:p w14:paraId="5FF8A43C">
                  <w:pPr>
                    <w:widowControl/>
                    <w:spacing w:line="320" w:lineRule="exact"/>
                    <w:jc w:val="center"/>
                    <w:rPr>
                      <w:kern w:val="0"/>
                      <w:szCs w:val="21"/>
                    </w:rPr>
                  </w:pPr>
                  <w:r>
                    <w:rPr>
                      <w:szCs w:val="21"/>
                    </w:rPr>
                    <w:t>37400</w:t>
                  </w:r>
                </w:p>
              </w:tc>
              <w:tc>
                <w:tcPr>
                  <w:tcW w:w="1182" w:type="dxa"/>
                  <w:tcBorders>
                    <w:tl2br w:val="nil"/>
                    <w:tr2bl w:val="nil"/>
                  </w:tcBorders>
                  <w:shd w:val="clear" w:color="auto" w:fill="auto"/>
                  <w:vAlign w:val="center"/>
                </w:tcPr>
                <w:p w14:paraId="076A1FC0">
                  <w:pPr>
                    <w:widowControl/>
                    <w:spacing w:line="320" w:lineRule="exact"/>
                    <w:jc w:val="center"/>
                    <w:rPr>
                      <w:kern w:val="0"/>
                      <w:szCs w:val="21"/>
                    </w:rPr>
                  </w:pPr>
                  <w:r>
                    <w:rPr>
                      <w:szCs w:val="21"/>
                    </w:rPr>
                    <w:t>6700</w:t>
                  </w:r>
                </w:p>
              </w:tc>
              <w:tc>
                <w:tcPr>
                  <w:tcW w:w="1182" w:type="dxa"/>
                  <w:tcBorders>
                    <w:tl2br w:val="nil"/>
                    <w:tr2bl w:val="nil"/>
                  </w:tcBorders>
                  <w:shd w:val="clear" w:color="auto" w:fill="auto"/>
                  <w:vAlign w:val="center"/>
                </w:tcPr>
                <w:p w14:paraId="3CD2641E">
                  <w:pPr>
                    <w:widowControl/>
                    <w:spacing w:line="320" w:lineRule="exact"/>
                    <w:jc w:val="center"/>
                    <w:rPr>
                      <w:kern w:val="0"/>
                      <w:szCs w:val="21"/>
                    </w:rPr>
                  </w:pPr>
                  <w:r>
                    <w:rPr>
                      <w:szCs w:val="21"/>
                    </w:rPr>
                    <w:t>　</w:t>
                  </w:r>
                </w:p>
              </w:tc>
            </w:tr>
            <w:tr w14:paraId="3805A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171443FE">
                  <w:pPr>
                    <w:widowControl/>
                    <w:spacing w:line="320" w:lineRule="exact"/>
                    <w:jc w:val="center"/>
                    <w:rPr>
                      <w:kern w:val="0"/>
                      <w:szCs w:val="21"/>
                    </w:rPr>
                  </w:pPr>
                  <w:r>
                    <w:rPr>
                      <w:kern w:val="0"/>
                      <w:szCs w:val="21"/>
                    </w:rPr>
                    <w:t>6</w:t>
                  </w:r>
                </w:p>
              </w:tc>
              <w:tc>
                <w:tcPr>
                  <w:tcW w:w="1203" w:type="dxa"/>
                  <w:tcBorders>
                    <w:tl2br w:val="nil"/>
                    <w:tr2bl w:val="nil"/>
                  </w:tcBorders>
                  <w:shd w:val="clear" w:color="auto" w:fill="auto"/>
                  <w:vAlign w:val="center"/>
                </w:tcPr>
                <w:p w14:paraId="2D174D5B">
                  <w:pPr>
                    <w:widowControl/>
                    <w:spacing w:line="320" w:lineRule="exact"/>
                    <w:jc w:val="center"/>
                    <w:rPr>
                      <w:kern w:val="0"/>
                      <w:szCs w:val="21"/>
                    </w:rPr>
                  </w:pPr>
                  <w:r>
                    <w:rPr>
                      <w:kern w:val="0"/>
                      <w:szCs w:val="21"/>
                    </w:rPr>
                    <w:t>集电线路</w:t>
                  </w:r>
                </w:p>
              </w:tc>
              <w:tc>
                <w:tcPr>
                  <w:tcW w:w="1182" w:type="dxa"/>
                  <w:tcBorders>
                    <w:tl2br w:val="nil"/>
                    <w:tr2bl w:val="nil"/>
                  </w:tcBorders>
                  <w:shd w:val="clear" w:color="auto" w:fill="auto"/>
                  <w:vAlign w:val="center"/>
                </w:tcPr>
                <w:p w14:paraId="5CEC6264">
                  <w:pPr>
                    <w:widowControl/>
                    <w:spacing w:line="320" w:lineRule="exact"/>
                    <w:jc w:val="center"/>
                    <w:rPr>
                      <w:kern w:val="0"/>
                      <w:szCs w:val="21"/>
                    </w:rPr>
                  </w:pPr>
                  <w:r>
                    <w:rPr>
                      <w:szCs w:val="21"/>
                    </w:rPr>
                    <w:t>55800</w:t>
                  </w:r>
                </w:p>
              </w:tc>
              <w:tc>
                <w:tcPr>
                  <w:tcW w:w="1182" w:type="dxa"/>
                  <w:tcBorders>
                    <w:tl2br w:val="nil"/>
                    <w:tr2bl w:val="nil"/>
                  </w:tcBorders>
                  <w:shd w:val="clear" w:color="auto" w:fill="auto"/>
                  <w:vAlign w:val="center"/>
                </w:tcPr>
                <w:p w14:paraId="2B21063B">
                  <w:pPr>
                    <w:widowControl/>
                    <w:spacing w:line="320" w:lineRule="exact"/>
                    <w:jc w:val="center"/>
                    <w:rPr>
                      <w:kern w:val="0"/>
                      <w:szCs w:val="21"/>
                    </w:rPr>
                  </w:pPr>
                  <w:r>
                    <w:rPr>
                      <w:szCs w:val="21"/>
                    </w:rPr>
                    <w:t>32700</w:t>
                  </w:r>
                </w:p>
              </w:tc>
              <w:tc>
                <w:tcPr>
                  <w:tcW w:w="1182" w:type="dxa"/>
                  <w:tcBorders>
                    <w:tl2br w:val="nil"/>
                    <w:tr2bl w:val="nil"/>
                  </w:tcBorders>
                  <w:shd w:val="clear" w:color="auto" w:fill="auto"/>
                  <w:vAlign w:val="center"/>
                </w:tcPr>
                <w:p w14:paraId="6532F8AB">
                  <w:pPr>
                    <w:widowControl/>
                    <w:spacing w:line="320" w:lineRule="exact"/>
                    <w:jc w:val="center"/>
                    <w:rPr>
                      <w:kern w:val="0"/>
                      <w:szCs w:val="21"/>
                    </w:rPr>
                  </w:pPr>
                  <w:r>
                    <w:rPr>
                      <w:szCs w:val="21"/>
                    </w:rPr>
                    <w:t>23100</w:t>
                  </w:r>
                </w:p>
              </w:tc>
              <w:tc>
                <w:tcPr>
                  <w:tcW w:w="1182" w:type="dxa"/>
                  <w:tcBorders>
                    <w:tl2br w:val="nil"/>
                    <w:tr2bl w:val="nil"/>
                  </w:tcBorders>
                  <w:shd w:val="clear" w:color="auto" w:fill="auto"/>
                  <w:vAlign w:val="center"/>
                </w:tcPr>
                <w:p w14:paraId="12B00C0F">
                  <w:pPr>
                    <w:widowControl/>
                    <w:spacing w:line="320" w:lineRule="exact"/>
                    <w:jc w:val="center"/>
                    <w:rPr>
                      <w:kern w:val="0"/>
                      <w:szCs w:val="21"/>
                    </w:rPr>
                  </w:pPr>
                  <w:r>
                    <w:rPr>
                      <w:szCs w:val="21"/>
                    </w:rPr>
                    <w:t>　</w:t>
                  </w:r>
                </w:p>
              </w:tc>
            </w:tr>
            <w:tr w14:paraId="1B911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142D5ABE">
                  <w:pPr>
                    <w:widowControl/>
                    <w:spacing w:line="320" w:lineRule="exact"/>
                    <w:jc w:val="center"/>
                    <w:rPr>
                      <w:kern w:val="0"/>
                      <w:szCs w:val="21"/>
                    </w:rPr>
                  </w:pPr>
                  <w:r>
                    <w:rPr>
                      <w:kern w:val="0"/>
                      <w:szCs w:val="21"/>
                    </w:rPr>
                    <w:t>7</w:t>
                  </w:r>
                </w:p>
              </w:tc>
              <w:tc>
                <w:tcPr>
                  <w:tcW w:w="1203" w:type="dxa"/>
                  <w:tcBorders>
                    <w:tl2br w:val="nil"/>
                    <w:tr2bl w:val="nil"/>
                  </w:tcBorders>
                  <w:shd w:val="clear" w:color="auto" w:fill="auto"/>
                  <w:vAlign w:val="center"/>
                </w:tcPr>
                <w:p w14:paraId="5057CA7B">
                  <w:pPr>
                    <w:widowControl/>
                    <w:spacing w:line="320" w:lineRule="exact"/>
                    <w:jc w:val="center"/>
                    <w:rPr>
                      <w:kern w:val="0"/>
                      <w:szCs w:val="21"/>
                    </w:rPr>
                  </w:pPr>
                  <w:r>
                    <w:rPr>
                      <w:kern w:val="0"/>
                      <w:szCs w:val="21"/>
                    </w:rPr>
                    <w:t>接地工程</w:t>
                  </w:r>
                </w:p>
              </w:tc>
              <w:tc>
                <w:tcPr>
                  <w:tcW w:w="1182" w:type="dxa"/>
                  <w:tcBorders>
                    <w:tl2br w:val="nil"/>
                    <w:tr2bl w:val="nil"/>
                  </w:tcBorders>
                  <w:shd w:val="clear" w:color="auto" w:fill="auto"/>
                  <w:vAlign w:val="center"/>
                </w:tcPr>
                <w:p w14:paraId="5EDE0923">
                  <w:pPr>
                    <w:widowControl/>
                    <w:spacing w:line="320" w:lineRule="exact"/>
                    <w:jc w:val="center"/>
                    <w:rPr>
                      <w:kern w:val="0"/>
                      <w:szCs w:val="21"/>
                    </w:rPr>
                  </w:pPr>
                  <w:r>
                    <w:rPr>
                      <w:szCs w:val="21"/>
                    </w:rPr>
                    <w:t>25000</w:t>
                  </w:r>
                </w:p>
              </w:tc>
              <w:tc>
                <w:tcPr>
                  <w:tcW w:w="1182" w:type="dxa"/>
                  <w:tcBorders>
                    <w:tl2br w:val="nil"/>
                    <w:tr2bl w:val="nil"/>
                  </w:tcBorders>
                  <w:shd w:val="clear" w:color="auto" w:fill="auto"/>
                  <w:vAlign w:val="center"/>
                </w:tcPr>
                <w:p w14:paraId="33382C1A">
                  <w:pPr>
                    <w:widowControl/>
                    <w:spacing w:line="320" w:lineRule="exact"/>
                    <w:jc w:val="center"/>
                    <w:rPr>
                      <w:kern w:val="0"/>
                      <w:szCs w:val="21"/>
                    </w:rPr>
                  </w:pPr>
                  <w:r>
                    <w:rPr>
                      <w:szCs w:val="21"/>
                    </w:rPr>
                    <w:t>25000</w:t>
                  </w:r>
                </w:p>
              </w:tc>
              <w:tc>
                <w:tcPr>
                  <w:tcW w:w="1182" w:type="dxa"/>
                  <w:tcBorders>
                    <w:tl2br w:val="nil"/>
                    <w:tr2bl w:val="nil"/>
                  </w:tcBorders>
                  <w:shd w:val="clear" w:color="auto" w:fill="auto"/>
                  <w:vAlign w:val="center"/>
                </w:tcPr>
                <w:p w14:paraId="40684A9E">
                  <w:pPr>
                    <w:widowControl/>
                    <w:spacing w:line="320" w:lineRule="exact"/>
                    <w:jc w:val="center"/>
                    <w:rPr>
                      <w:kern w:val="0"/>
                      <w:szCs w:val="21"/>
                    </w:rPr>
                  </w:pPr>
                  <w:r>
                    <w:rPr>
                      <w:szCs w:val="21"/>
                    </w:rPr>
                    <w:t>　</w:t>
                  </w:r>
                </w:p>
              </w:tc>
              <w:tc>
                <w:tcPr>
                  <w:tcW w:w="1182" w:type="dxa"/>
                  <w:tcBorders>
                    <w:tl2br w:val="nil"/>
                    <w:tr2bl w:val="nil"/>
                  </w:tcBorders>
                  <w:shd w:val="clear" w:color="auto" w:fill="auto"/>
                  <w:vAlign w:val="center"/>
                </w:tcPr>
                <w:p w14:paraId="79D81D22">
                  <w:pPr>
                    <w:widowControl/>
                    <w:spacing w:line="320" w:lineRule="exact"/>
                    <w:jc w:val="center"/>
                    <w:rPr>
                      <w:kern w:val="0"/>
                      <w:szCs w:val="21"/>
                    </w:rPr>
                  </w:pPr>
                  <w:r>
                    <w:rPr>
                      <w:szCs w:val="21"/>
                    </w:rPr>
                    <w:t>　</w:t>
                  </w:r>
                </w:p>
              </w:tc>
            </w:tr>
            <w:tr w14:paraId="15C4F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2" w:type="dxa"/>
                  <w:tcBorders>
                    <w:tl2br w:val="nil"/>
                    <w:tr2bl w:val="nil"/>
                  </w:tcBorders>
                  <w:shd w:val="clear" w:color="auto" w:fill="auto"/>
                  <w:vAlign w:val="center"/>
                </w:tcPr>
                <w:p w14:paraId="6EBF091B">
                  <w:pPr>
                    <w:widowControl/>
                    <w:spacing w:line="320" w:lineRule="exact"/>
                    <w:jc w:val="center"/>
                    <w:rPr>
                      <w:kern w:val="0"/>
                      <w:szCs w:val="21"/>
                    </w:rPr>
                  </w:pPr>
                  <w:r>
                    <w:rPr>
                      <w:kern w:val="0"/>
                      <w:szCs w:val="21"/>
                    </w:rPr>
                    <w:t>8</w:t>
                  </w:r>
                </w:p>
              </w:tc>
              <w:tc>
                <w:tcPr>
                  <w:tcW w:w="1203" w:type="dxa"/>
                  <w:tcBorders>
                    <w:tl2br w:val="nil"/>
                    <w:tr2bl w:val="nil"/>
                  </w:tcBorders>
                  <w:shd w:val="clear" w:color="auto" w:fill="auto"/>
                  <w:vAlign w:val="center"/>
                </w:tcPr>
                <w:p w14:paraId="397CFCC2">
                  <w:pPr>
                    <w:widowControl/>
                    <w:spacing w:line="320" w:lineRule="exact"/>
                    <w:jc w:val="center"/>
                    <w:rPr>
                      <w:kern w:val="0"/>
                      <w:szCs w:val="21"/>
                    </w:rPr>
                  </w:pPr>
                  <w:r>
                    <w:rPr>
                      <w:kern w:val="0"/>
                      <w:szCs w:val="21"/>
                    </w:rPr>
                    <w:t>合计</w:t>
                  </w:r>
                </w:p>
              </w:tc>
              <w:tc>
                <w:tcPr>
                  <w:tcW w:w="1182" w:type="dxa"/>
                  <w:tcBorders>
                    <w:tl2br w:val="nil"/>
                    <w:tr2bl w:val="nil"/>
                  </w:tcBorders>
                  <w:shd w:val="clear" w:color="auto" w:fill="auto"/>
                  <w:vAlign w:val="center"/>
                </w:tcPr>
                <w:p w14:paraId="03D29129">
                  <w:pPr>
                    <w:widowControl/>
                    <w:spacing w:line="320" w:lineRule="exact"/>
                    <w:jc w:val="center"/>
                    <w:rPr>
                      <w:kern w:val="0"/>
                      <w:szCs w:val="21"/>
                    </w:rPr>
                  </w:pPr>
                  <w:r>
                    <w:rPr>
                      <w:szCs w:val="21"/>
                    </w:rPr>
                    <w:t>212593</w:t>
                  </w:r>
                </w:p>
              </w:tc>
              <w:tc>
                <w:tcPr>
                  <w:tcW w:w="1182" w:type="dxa"/>
                  <w:tcBorders>
                    <w:tl2br w:val="nil"/>
                    <w:tr2bl w:val="nil"/>
                  </w:tcBorders>
                  <w:shd w:val="clear" w:color="auto" w:fill="auto"/>
                  <w:vAlign w:val="center"/>
                </w:tcPr>
                <w:p w14:paraId="0B9EEDE1">
                  <w:pPr>
                    <w:widowControl/>
                    <w:spacing w:line="320" w:lineRule="exact"/>
                    <w:jc w:val="center"/>
                    <w:rPr>
                      <w:kern w:val="0"/>
                      <w:szCs w:val="21"/>
                    </w:rPr>
                  </w:pPr>
                  <w:r>
                    <w:rPr>
                      <w:szCs w:val="21"/>
                    </w:rPr>
                    <w:t>547445</w:t>
                  </w:r>
                </w:p>
              </w:tc>
              <w:tc>
                <w:tcPr>
                  <w:tcW w:w="1182" w:type="dxa"/>
                  <w:tcBorders>
                    <w:tl2br w:val="nil"/>
                    <w:tr2bl w:val="nil"/>
                  </w:tcBorders>
                  <w:shd w:val="clear" w:color="auto" w:fill="auto"/>
                  <w:vAlign w:val="center"/>
                </w:tcPr>
                <w:p w14:paraId="03F05232">
                  <w:pPr>
                    <w:widowControl/>
                    <w:spacing w:line="320" w:lineRule="exact"/>
                    <w:jc w:val="center"/>
                    <w:rPr>
                      <w:kern w:val="0"/>
                      <w:szCs w:val="21"/>
                    </w:rPr>
                  </w:pPr>
                  <w:r>
                    <w:rPr>
                      <w:szCs w:val="21"/>
                    </w:rPr>
                    <w:t>45040</w:t>
                  </w:r>
                </w:p>
              </w:tc>
              <w:tc>
                <w:tcPr>
                  <w:tcW w:w="1182" w:type="dxa"/>
                  <w:tcBorders>
                    <w:tl2br w:val="nil"/>
                    <w:tr2bl w:val="nil"/>
                  </w:tcBorders>
                  <w:shd w:val="clear" w:color="auto" w:fill="auto"/>
                  <w:vAlign w:val="center"/>
                </w:tcPr>
                <w:p w14:paraId="1567D3AA">
                  <w:pPr>
                    <w:widowControl/>
                    <w:spacing w:line="320" w:lineRule="exact"/>
                    <w:jc w:val="center"/>
                    <w:rPr>
                      <w:kern w:val="0"/>
                      <w:szCs w:val="21"/>
                    </w:rPr>
                  </w:pPr>
                  <w:r>
                    <w:rPr>
                      <w:szCs w:val="21"/>
                    </w:rPr>
                    <w:t>379892</w:t>
                  </w:r>
                </w:p>
              </w:tc>
            </w:tr>
          </w:tbl>
          <w:p w14:paraId="5F2D5D1B">
            <w:pPr>
              <w:pStyle w:val="4"/>
              <w:adjustRightInd w:val="0"/>
              <w:snapToGrid w:val="0"/>
              <w:spacing w:beforeLines="0" w:line="480" w:lineRule="exact"/>
              <w:ind w:firstLine="0" w:firstLineChars="0"/>
              <w:rPr>
                <w:rFonts w:ascii="Times New Roman" w:hAnsi="Times New Roman" w:eastAsia="宋体"/>
                <w:b/>
                <w:bCs/>
              </w:rPr>
            </w:pPr>
            <w:r>
              <w:rPr>
                <w:rFonts w:ascii="Times New Roman" w:hAnsi="Times New Roman" w:eastAsia="宋体"/>
                <w:b/>
                <w:bCs/>
              </w:rPr>
              <w:t>8、公用工程</w:t>
            </w:r>
          </w:p>
          <w:p w14:paraId="2C3B69AF">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（1）给排水</w:t>
            </w:r>
          </w:p>
          <w:p w14:paraId="097C2E45">
            <w:pPr>
              <w:widowControl/>
              <w:adjustRightInd w:val="0"/>
              <w:snapToGrid w:val="0"/>
              <w:spacing w:line="480" w:lineRule="exact"/>
              <w:ind w:firstLine="480" w:firstLineChars="200"/>
              <w:rPr>
                <w:sz w:val="24"/>
              </w:rPr>
            </w:pPr>
            <w:r>
              <w:rPr>
                <w:sz w:val="24"/>
              </w:rPr>
              <w:t>本项目施工期、运营期用水均为外购。</w:t>
            </w:r>
          </w:p>
          <w:p w14:paraId="0EDD3A27">
            <w:pPr>
              <w:widowControl/>
              <w:spacing w:line="480" w:lineRule="exact"/>
              <w:ind w:firstLine="480" w:firstLineChars="200"/>
              <w:jc w:val="left"/>
              <w:rPr>
                <w:sz w:val="24"/>
              </w:rPr>
            </w:pPr>
            <w:r>
              <w:rPr>
                <w:kern w:val="0"/>
                <w:sz w:val="24"/>
              </w:rPr>
              <w:t xml:space="preserve">①施工期 </w:t>
            </w:r>
          </w:p>
          <w:p w14:paraId="1CB92A61">
            <w:pPr>
              <w:widowControl/>
              <w:spacing w:line="480" w:lineRule="exact"/>
              <w:ind w:firstLine="480" w:firstLineChars="200"/>
              <w:jc w:val="left"/>
              <w:rPr>
                <w:sz w:val="24"/>
              </w:rPr>
            </w:pPr>
            <w:r>
              <w:rPr>
                <w:kern w:val="0"/>
                <w:sz w:val="24"/>
              </w:rPr>
              <w:t>风电场内各风机机位用水主要为风机基础及箱式变压器基础混凝土养护用水，采用水罐车运输，提供各施工点用水。混凝土养护</w:t>
            </w:r>
            <w:r>
              <w:rPr>
                <w:rFonts w:hint="eastAsia"/>
                <w:kern w:val="0"/>
                <w:sz w:val="24"/>
              </w:rPr>
              <w:t>废水全部蒸发，无废水外排。</w:t>
            </w:r>
          </w:p>
          <w:p w14:paraId="113F786C">
            <w:pPr>
              <w:widowControl/>
              <w:spacing w:line="480" w:lineRule="exact"/>
              <w:ind w:firstLine="480" w:firstLineChars="200"/>
              <w:jc w:val="left"/>
              <w:rPr>
                <w:sz w:val="24"/>
              </w:rPr>
            </w:pPr>
            <w:r>
              <w:rPr>
                <w:kern w:val="0"/>
                <w:sz w:val="24"/>
              </w:rPr>
              <w:t>本项目</w:t>
            </w:r>
            <w:r>
              <w:rPr>
                <w:rFonts w:hint="eastAsia"/>
                <w:kern w:val="0"/>
                <w:sz w:val="24"/>
              </w:rPr>
              <w:t>施工期</w:t>
            </w:r>
            <w:r>
              <w:rPr>
                <w:kern w:val="0"/>
                <w:sz w:val="24"/>
              </w:rPr>
              <w:t>常驻施工人员为180人，施工期用水量参照《生活与服务业用水定额 第1部分：居民生活》（DB13/T5450.1-2021）表1居民生活用水定额（农村居民） 18.5~22m</w:t>
            </w:r>
            <w:r>
              <w:rPr>
                <w:kern w:val="0"/>
                <w:sz w:val="24"/>
                <w:vertAlign w:val="superscript"/>
              </w:rPr>
              <w:t>3</w:t>
            </w:r>
            <w:r>
              <w:rPr>
                <w:kern w:val="0"/>
                <w:sz w:val="24"/>
              </w:rPr>
              <w:t xml:space="preserve"> /年·人，本项目按用水量为0.06m</w:t>
            </w:r>
            <w:r>
              <w:rPr>
                <w:kern w:val="0"/>
                <w:sz w:val="24"/>
                <w:vertAlign w:val="superscript"/>
              </w:rPr>
              <w:t>3</w:t>
            </w:r>
            <w:r>
              <w:rPr>
                <w:kern w:val="0"/>
                <w:sz w:val="24"/>
              </w:rPr>
              <w:t>/d·人，按照施工时长为11个月，330天计算，施工期用水量为3564m</w:t>
            </w:r>
            <w:r>
              <w:rPr>
                <w:kern w:val="0"/>
                <w:sz w:val="24"/>
                <w:vertAlign w:val="superscript"/>
              </w:rPr>
              <w:t>3</w:t>
            </w:r>
            <w:r>
              <w:rPr>
                <w:rFonts w:hint="eastAsia"/>
                <w:kern w:val="0"/>
                <w:sz w:val="24"/>
              </w:rPr>
              <w:t>，全部外购。</w:t>
            </w:r>
            <w:r>
              <w:rPr>
                <w:kern w:val="0"/>
                <w:sz w:val="24"/>
              </w:rPr>
              <w:t>生活污水排入临时环保型厕所，定期</w:t>
            </w:r>
            <w:r>
              <w:rPr>
                <w:rFonts w:hint="eastAsia"/>
                <w:kern w:val="0"/>
                <w:sz w:val="24"/>
              </w:rPr>
              <w:t>清运</w:t>
            </w:r>
            <w:r>
              <w:rPr>
                <w:kern w:val="0"/>
                <w:sz w:val="24"/>
              </w:rPr>
              <w:t>，无废水外排。</w:t>
            </w:r>
          </w:p>
          <w:p w14:paraId="4EC30AE2">
            <w:pPr>
              <w:widowControl/>
              <w:spacing w:line="480" w:lineRule="exact"/>
              <w:ind w:firstLine="480" w:firstLineChars="200"/>
              <w:rPr>
                <w:kern w:val="0"/>
                <w:sz w:val="24"/>
              </w:rPr>
            </w:pPr>
            <w:r>
              <w:rPr>
                <w:kern w:val="0"/>
                <w:sz w:val="24"/>
              </w:rPr>
              <w:t>②运营期</w:t>
            </w:r>
          </w:p>
          <w:p w14:paraId="598C4AFF">
            <w:pPr>
              <w:widowControl/>
              <w:spacing w:line="480" w:lineRule="exact"/>
              <w:ind w:firstLine="480" w:firstLineChars="200"/>
              <w:rPr>
                <w:sz w:val="24"/>
              </w:rPr>
            </w:pPr>
            <w:r>
              <w:rPr>
                <w:kern w:val="0"/>
                <w:sz w:val="24"/>
              </w:rPr>
              <w:t>项目运营期升压站常驻人员为14人，升压站内设置食堂、洗浴、水厕等</w:t>
            </w:r>
            <w:r>
              <w:rPr>
                <w:rFonts w:hint="eastAsia"/>
                <w:kern w:val="0"/>
                <w:sz w:val="24"/>
              </w:rPr>
              <w:t>设施</w:t>
            </w:r>
            <w:r>
              <w:rPr>
                <w:kern w:val="0"/>
                <w:sz w:val="24"/>
              </w:rPr>
              <w:t>，运营期用水量参照 《生活与服务业用水定额 第1部分：居民生活》（DB13/T5450.1-2021）中“城镇居民生活用水定额30~48m</w:t>
            </w:r>
            <w:r>
              <w:rPr>
                <w:kern w:val="0"/>
                <w:sz w:val="24"/>
                <w:vertAlign w:val="superscript"/>
              </w:rPr>
              <w:t>3</w:t>
            </w:r>
            <w:r>
              <w:rPr>
                <w:kern w:val="0"/>
                <w:sz w:val="24"/>
              </w:rPr>
              <w:t>/（人·a），本项目按用水量为0.12m</w:t>
            </w:r>
            <w:r>
              <w:rPr>
                <w:kern w:val="0"/>
                <w:sz w:val="24"/>
                <w:vertAlign w:val="superscript"/>
              </w:rPr>
              <w:t>3</w:t>
            </w:r>
            <w:r>
              <w:rPr>
                <w:kern w:val="0"/>
                <w:sz w:val="24"/>
              </w:rPr>
              <w:t>/d·人，按照365天计算，运行期用水量为1.68m</w:t>
            </w:r>
            <w:r>
              <w:rPr>
                <w:kern w:val="0"/>
                <w:sz w:val="24"/>
                <w:vertAlign w:val="superscript"/>
              </w:rPr>
              <w:t>3</w:t>
            </w:r>
            <w:r>
              <w:rPr>
                <w:kern w:val="0"/>
                <w:sz w:val="24"/>
              </w:rPr>
              <w:t>/d（613.2m</w:t>
            </w:r>
            <w:r>
              <w:rPr>
                <w:kern w:val="0"/>
                <w:sz w:val="24"/>
                <w:vertAlign w:val="superscript"/>
              </w:rPr>
              <w:t>3</w:t>
            </w:r>
            <w:r>
              <w:rPr>
                <w:kern w:val="0"/>
                <w:sz w:val="24"/>
              </w:rPr>
              <w:t xml:space="preserve">/a）。 </w:t>
            </w:r>
          </w:p>
          <w:p w14:paraId="107A948D">
            <w:pPr>
              <w:widowControl/>
              <w:spacing w:line="480" w:lineRule="exact"/>
              <w:ind w:firstLine="480" w:firstLineChars="200"/>
              <w:jc w:val="left"/>
              <w:rPr>
                <w:kern w:val="0"/>
                <w:sz w:val="24"/>
              </w:rPr>
            </w:pPr>
            <w:r>
              <w:rPr>
                <w:kern w:val="0"/>
                <w:sz w:val="24"/>
              </w:rPr>
              <w:t>升压站采取雨污分流，</w:t>
            </w:r>
            <w:r>
              <w:rPr>
                <w:sz w:val="24"/>
              </w:rPr>
              <w:t>站区场地雨水通过站区周边过水洞散排至站外。</w:t>
            </w:r>
            <w:r>
              <w:rPr>
                <w:kern w:val="0"/>
                <w:sz w:val="24"/>
              </w:rPr>
              <w:t>生活污水产生量按用水量的80%计，生活污水产生量为1.344m</w:t>
            </w:r>
            <w:r>
              <w:rPr>
                <w:kern w:val="0"/>
                <w:sz w:val="24"/>
                <w:vertAlign w:val="superscript"/>
              </w:rPr>
              <w:t>3</w:t>
            </w:r>
            <w:r>
              <w:rPr>
                <w:kern w:val="0"/>
                <w:sz w:val="24"/>
              </w:rPr>
              <w:t>/d（490.56m</w:t>
            </w:r>
            <w:r>
              <w:rPr>
                <w:kern w:val="0"/>
                <w:sz w:val="24"/>
                <w:vertAlign w:val="superscript"/>
              </w:rPr>
              <w:t>3</w:t>
            </w:r>
            <w:r>
              <w:rPr>
                <w:kern w:val="0"/>
                <w:sz w:val="24"/>
              </w:rPr>
              <w:t>/a），生活污水排入</w:t>
            </w:r>
            <w:r>
              <w:rPr>
                <w:rFonts w:hint="eastAsia"/>
                <w:kern w:val="0"/>
                <w:sz w:val="24"/>
              </w:rPr>
              <w:t>化粪池</w:t>
            </w:r>
            <w:r>
              <w:rPr>
                <w:kern w:val="0"/>
                <w:sz w:val="24"/>
              </w:rPr>
              <w:t>，定期</w:t>
            </w:r>
            <w:r>
              <w:rPr>
                <w:rFonts w:hint="eastAsia"/>
                <w:kern w:val="0"/>
                <w:sz w:val="24"/>
              </w:rPr>
              <w:t>清运</w:t>
            </w:r>
            <w:r>
              <w:rPr>
                <w:kern w:val="0"/>
                <w:sz w:val="24"/>
              </w:rPr>
              <w:t>，无废水外排。</w:t>
            </w:r>
          </w:p>
          <w:p w14:paraId="18FBD4FD">
            <w:pPr>
              <w:pStyle w:val="4"/>
              <w:adjustRightInd w:val="0"/>
              <w:snapToGrid w:val="0"/>
              <w:spacing w:beforeLines="0" w:line="480" w:lineRule="exact"/>
              <w:ind w:firstLine="482"/>
              <w:rPr>
                <w:rFonts w:ascii="Times New Roman" w:hAnsi="Times New Roman" w:eastAsia="宋体"/>
                <w:b/>
                <w:bCs/>
              </w:rPr>
            </w:pPr>
            <w:r>
              <w:rPr>
                <w:rFonts w:ascii="Times New Roman" w:hAnsi="Times New Roman" w:eastAsia="宋体"/>
                <w:b/>
                <w:bCs/>
              </w:rPr>
              <w:t>（2）供电</w:t>
            </w:r>
          </w:p>
          <w:p w14:paraId="54E914E9">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施工期：供电接附近农网10kv线路，施工临建区设置变压器。</w:t>
            </w:r>
          </w:p>
          <w:p w14:paraId="3D37F19E">
            <w:pPr>
              <w:pStyle w:val="4"/>
              <w:adjustRightInd w:val="0"/>
              <w:snapToGrid w:val="0"/>
              <w:spacing w:beforeLines="0" w:line="480" w:lineRule="exact"/>
              <w:ind w:firstLine="480"/>
              <w:rPr>
                <w:rFonts w:ascii="Times New Roman" w:hAnsi="Times New Roman" w:eastAsia="宋体"/>
              </w:rPr>
            </w:pPr>
            <w:r>
              <w:rPr>
                <w:rFonts w:ascii="Times New Roman" w:hAnsi="Times New Roman" w:eastAsia="宋体"/>
              </w:rPr>
              <w:t>运营期：供电接附近农网10kv线路和风电场所发电力，设置站用变压器。站内有蓄电池室，为备用电源。</w:t>
            </w:r>
          </w:p>
        </w:tc>
      </w:tr>
      <w:tr w14:paraId="2C264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1FA92AC3">
            <w:pPr>
              <w:adjustRightInd w:val="0"/>
              <w:snapToGrid w:val="0"/>
              <w:jc w:val="center"/>
              <w:rPr>
                <w:kern w:val="0"/>
                <w:sz w:val="24"/>
              </w:rPr>
            </w:pPr>
            <w:r>
              <w:rPr>
                <w:kern w:val="0"/>
                <w:sz w:val="24"/>
              </w:rPr>
              <w:t>总平面及现场布置</w:t>
            </w:r>
          </w:p>
        </w:tc>
        <w:tc>
          <w:tcPr>
            <w:tcW w:w="8332" w:type="dxa"/>
            <w:vAlign w:val="center"/>
          </w:tcPr>
          <w:p w14:paraId="17242CC2">
            <w:pPr>
              <w:pStyle w:val="70"/>
              <w:adjustRightInd w:val="0"/>
              <w:snapToGrid w:val="0"/>
              <w:spacing w:line="480" w:lineRule="exact"/>
              <w:ind w:firstLine="0" w:firstLineChars="0"/>
              <w:rPr>
                <w:b/>
                <w:bCs/>
              </w:rPr>
            </w:pPr>
            <w:r>
              <w:rPr>
                <w:b/>
                <w:bCs/>
              </w:rPr>
              <w:t>1、总体布置</w:t>
            </w:r>
          </w:p>
          <w:p w14:paraId="49453ADE">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采用46台单机容量为7.7MW的风力发电机组。每台风电机组就近布置一台35kV箱式升压变压器，风电机组发电经箱式变升压后送往风电场220kV升压站，最终接入电网。本项目各风机点位分布情况、升压站位置详见附图。</w:t>
            </w:r>
          </w:p>
          <w:p w14:paraId="26C2A972">
            <w:pPr>
              <w:adjustRightInd w:val="0"/>
              <w:snapToGrid w:val="0"/>
              <w:spacing w:line="480" w:lineRule="exact"/>
              <w:rPr>
                <w:b/>
                <w:bCs/>
                <w:sz w:val="24"/>
              </w:rPr>
            </w:pPr>
            <w:r>
              <w:rPr>
                <w:b/>
                <w:bCs/>
                <w:sz w:val="24"/>
              </w:rPr>
              <w:t>（1）风电场布置</w:t>
            </w:r>
          </w:p>
          <w:p w14:paraId="1ADE5F68">
            <w:pPr>
              <w:adjustRightInd w:val="0"/>
              <w:snapToGrid w:val="0"/>
              <w:spacing w:line="480" w:lineRule="exact"/>
              <w:ind w:firstLine="480" w:firstLineChars="200"/>
              <w:rPr>
                <w:rStyle w:val="63"/>
                <w:rFonts w:hint="default" w:ascii="Times New Roman" w:hAnsi="Times New Roman" w:cs="Times New Roman"/>
                <w:color w:val="auto"/>
              </w:rPr>
            </w:pPr>
            <w:bookmarkStart w:id="12" w:name="_Toc48424176"/>
            <w:r>
              <w:rPr>
                <w:rStyle w:val="63"/>
                <w:rFonts w:hint="default" w:ascii="Times New Roman" w:hAnsi="Times New Roman" w:cs="Times New Roman"/>
                <w:color w:val="auto"/>
              </w:rPr>
              <w:t>本风电场位于河北省</w:t>
            </w:r>
            <w:r>
              <w:rPr>
                <w:sz w:val="24"/>
              </w:rPr>
              <w:t>唐山市曹妃甸区孙塘庄镇、双井镇、柳赞镇和唐海镇</w:t>
            </w:r>
            <w:r>
              <w:rPr>
                <w:rStyle w:val="63"/>
                <w:rFonts w:hint="default" w:ascii="Times New Roman" w:hAnsi="Times New Roman" w:cs="Times New Roman"/>
                <w:color w:val="auto"/>
              </w:rPr>
              <w:t>境内，位于曹妃甸区北侧和南侧。场址区域为海积平原，地势开阔，风电场范围整体呈不规则多边形，南北长约33km，东西宽约28km。地形简单，地势开阔，场地目前沟渠纵横，坑塘遍布，主要为人工养虾的塘池，单个塘池长约500m，宽约110m，水深一般在1.50~1.80m之间，海拔高度在1.25m～3m之间。</w:t>
            </w:r>
          </w:p>
          <w:p w14:paraId="68B2614E">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本风电场拟建设46台单机容量为7.7 MW的风电机组，共计350MW，本期一次建成。</w:t>
            </w:r>
          </w:p>
          <w:p w14:paraId="37AEF414">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本项目运营期风电场内检修道路总长132.1km，其中利用场内现有道路70.6km，利用原有道路改建38.9km，新建道路为22.6km；场内新建及改建道路路基宽6 m，路面宽5 m，两侧各设置500mm宽的土路肩，路面采用250mm厚泥结碎石路面。</w:t>
            </w:r>
          </w:p>
          <w:p w14:paraId="5F0A7791">
            <w:pPr>
              <w:adjustRightInd w:val="0"/>
              <w:snapToGrid w:val="0"/>
              <w:spacing w:line="480" w:lineRule="exact"/>
              <w:rPr>
                <w:b/>
                <w:bCs/>
                <w:sz w:val="24"/>
              </w:rPr>
            </w:pPr>
            <w:r>
              <w:rPr>
                <w:b/>
                <w:bCs/>
                <w:sz w:val="24"/>
              </w:rPr>
              <w:t>（2）升压站布置</w:t>
            </w:r>
          </w:p>
          <w:p w14:paraId="1E89E28D">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本项目配套新建一座220kV升压站，升压站位于风场中部区域，位于十农场东南，J21机位西侧约450m处。本期集电线路接入风场新建的220kV升压站，升压站拟以1回220kV线路接入系统站。</w:t>
            </w:r>
          </w:p>
          <w:p w14:paraId="64B87543">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升压站总平面布置整体分为生活区和生产区两部分，生活区包含综合楼、综合泵房、库房和危废贮存库等设施；生产区包含主变压器、35kV配电舱、无功补偿装置、220kV GIS配电舱及架构、预留滤波区域和设备位置等。升压站平面图见附图</w:t>
            </w:r>
            <w:r>
              <w:rPr>
                <w:rStyle w:val="63"/>
                <w:rFonts w:cs="Times New Roman"/>
                <w:color w:val="auto"/>
              </w:rPr>
              <w:t>5</w:t>
            </w:r>
            <w:r>
              <w:rPr>
                <w:rStyle w:val="63"/>
                <w:rFonts w:hint="default" w:ascii="Times New Roman" w:hAnsi="Times New Roman" w:cs="Times New Roman"/>
                <w:color w:val="auto"/>
              </w:rPr>
              <w:t>。</w:t>
            </w:r>
          </w:p>
          <w:p w14:paraId="51E27448">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整个站区分为三个地块，生活区布置在站区的中部西侧，综合楼临近进站道路布置，综合泵房和库房布置在综合楼的北侧，污水处理装置布置在综合楼的西北角。生产区布置在站区的东侧，生产区自南向北依次布置SVG装置、35kV配电舱、主变压器及220KV GIS室及架构、站用变和接地变，整体出线向北，事故油池布置在GIS室东侧。升压站东侧及生活区北侧为预留滤波区域和设备位置。生活区和生产区之间采用1.8m高的简易铁丝网围栏相互隔离。站区周围设置2.5m高的砖围墙，进站大门采用15m宽电动推拉大门。</w:t>
            </w:r>
          </w:p>
          <w:p w14:paraId="56B4E91B">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为便于设备运输、安装、检修车辆的通行及消防要求，整个站区在建筑、设备、设施周围均设有环形道路，采用水泥混凝土道路，宽度为4.5m。升压站进站道路由南侧公路引接，引接长度约50m，路面宽5m，采用水泥混凝土路面。</w:t>
            </w:r>
          </w:p>
          <w:p w14:paraId="3144E002">
            <w:pPr>
              <w:adjustRightInd w:val="0"/>
              <w:snapToGrid w:val="0"/>
              <w:spacing w:line="480" w:lineRule="exact"/>
              <w:rPr>
                <w:b/>
                <w:bCs/>
                <w:sz w:val="24"/>
              </w:rPr>
            </w:pPr>
            <w:r>
              <w:rPr>
                <w:b/>
                <w:bCs/>
                <w:sz w:val="24"/>
              </w:rPr>
              <w:t>2、施工布置</w:t>
            </w:r>
          </w:p>
          <w:p w14:paraId="4C71C864">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1）施工临建区：为便于施工及生产管理，施工期间在升压站西南侧7700m和升压站东南侧7270m分别设置一个施工临建区，两个施工临建区布置相同，均设置原材料堆场、综合加工厂、综合仓库、机械停放场、维修车间、设备仓库、临时生活办公区等施工临建设施。单个施工临建场地用地面积为5000m</w:t>
            </w:r>
            <w:r>
              <w:rPr>
                <w:rStyle w:val="63"/>
                <w:rFonts w:hint="default" w:ascii="Times New Roman" w:hAnsi="Times New Roman" w:cs="Times New Roman"/>
                <w:color w:val="auto"/>
                <w:vertAlign w:val="superscript"/>
              </w:rPr>
              <w:t>2</w:t>
            </w:r>
            <w:r>
              <w:rPr>
                <w:rStyle w:val="63"/>
                <w:rFonts w:hint="default" w:ascii="Times New Roman" w:hAnsi="Times New Roman" w:cs="Times New Roman"/>
                <w:color w:val="auto"/>
              </w:rPr>
              <w:t>。</w:t>
            </w:r>
          </w:p>
          <w:p w14:paraId="728462A4">
            <w:pPr>
              <w:pStyle w:val="40"/>
              <w:spacing w:line="480" w:lineRule="exact"/>
              <w:jc w:val="center"/>
              <w:rPr>
                <w:rFonts w:ascii="Times New Roman" w:cs="Times New Roman"/>
                <w:b/>
                <w:color w:val="auto"/>
                <w:sz w:val="21"/>
                <w:szCs w:val="21"/>
              </w:rPr>
            </w:pPr>
            <w:r>
              <w:rPr>
                <w:rFonts w:ascii="Times New Roman" w:cs="Times New Roman"/>
                <w:b/>
                <w:color w:val="auto"/>
                <w:sz w:val="21"/>
                <w:szCs w:val="21"/>
              </w:rPr>
              <w:t>表2-1</w:t>
            </w:r>
            <w:r>
              <w:rPr>
                <w:rFonts w:hint="eastAsia" w:ascii="Times New Roman" w:cs="Times New Roman"/>
                <w:b/>
                <w:color w:val="auto"/>
                <w:sz w:val="21"/>
                <w:szCs w:val="21"/>
              </w:rPr>
              <w:t>4</w:t>
            </w:r>
            <w:r>
              <w:rPr>
                <w:rFonts w:ascii="Times New Roman" w:cs="Times New Roman"/>
                <w:b/>
                <w:color w:val="auto"/>
                <w:sz w:val="21"/>
                <w:szCs w:val="21"/>
              </w:rPr>
              <w:t xml:space="preserve">     施工用地一览表</w:t>
            </w:r>
          </w:p>
          <w:tbl>
            <w:tblPr>
              <w:tblStyle w:val="3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01"/>
              <w:gridCol w:w="1838"/>
              <w:gridCol w:w="1980"/>
              <w:gridCol w:w="1325"/>
            </w:tblGrid>
            <w:tr w14:paraId="71332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960" w:type="dxa"/>
                  <w:vMerge w:val="restart"/>
                  <w:tcBorders>
                    <w:tl2br w:val="nil"/>
                    <w:tr2bl w:val="nil"/>
                  </w:tcBorders>
                  <w:vAlign w:val="center"/>
                </w:tcPr>
                <w:p w14:paraId="47C9B647">
                  <w:pPr>
                    <w:widowControl/>
                    <w:spacing w:line="320" w:lineRule="exact"/>
                    <w:jc w:val="center"/>
                    <w:rPr>
                      <w:b/>
                      <w:szCs w:val="21"/>
                    </w:rPr>
                  </w:pPr>
                  <w:r>
                    <w:rPr>
                      <w:b/>
                      <w:szCs w:val="21"/>
                    </w:rPr>
                    <w:t>序号</w:t>
                  </w:r>
                </w:p>
              </w:tc>
              <w:tc>
                <w:tcPr>
                  <w:tcW w:w="2401" w:type="dxa"/>
                  <w:vMerge w:val="restart"/>
                  <w:tcBorders>
                    <w:tl2br w:val="nil"/>
                    <w:tr2bl w:val="nil"/>
                  </w:tcBorders>
                  <w:vAlign w:val="center"/>
                </w:tcPr>
                <w:p w14:paraId="170181F3">
                  <w:pPr>
                    <w:widowControl/>
                    <w:spacing w:line="320" w:lineRule="exact"/>
                    <w:jc w:val="center"/>
                    <w:rPr>
                      <w:b/>
                      <w:szCs w:val="21"/>
                    </w:rPr>
                  </w:pPr>
                  <w:r>
                    <w:rPr>
                      <w:b/>
                      <w:szCs w:val="21"/>
                    </w:rPr>
                    <w:t>项目名称</w:t>
                  </w:r>
                </w:p>
              </w:tc>
              <w:tc>
                <w:tcPr>
                  <w:tcW w:w="1838" w:type="dxa"/>
                  <w:vMerge w:val="restart"/>
                  <w:tcBorders>
                    <w:tl2br w:val="nil"/>
                    <w:tr2bl w:val="nil"/>
                  </w:tcBorders>
                  <w:vAlign w:val="center"/>
                </w:tcPr>
                <w:p w14:paraId="64F0E5CE">
                  <w:pPr>
                    <w:widowControl/>
                    <w:spacing w:line="320" w:lineRule="exact"/>
                    <w:jc w:val="center"/>
                    <w:rPr>
                      <w:b/>
                      <w:szCs w:val="21"/>
                    </w:rPr>
                  </w:pPr>
                  <w:r>
                    <w:rPr>
                      <w:b/>
                      <w:szCs w:val="21"/>
                    </w:rPr>
                    <w:t>建筑面积(m²)</w:t>
                  </w:r>
                </w:p>
              </w:tc>
              <w:tc>
                <w:tcPr>
                  <w:tcW w:w="1980" w:type="dxa"/>
                  <w:vMerge w:val="restart"/>
                  <w:tcBorders>
                    <w:tl2br w:val="nil"/>
                    <w:tr2bl w:val="nil"/>
                  </w:tcBorders>
                  <w:vAlign w:val="center"/>
                </w:tcPr>
                <w:p w14:paraId="5DE100F7">
                  <w:pPr>
                    <w:widowControl/>
                    <w:spacing w:line="320" w:lineRule="exact"/>
                    <w:jc w:val="center"/>
                    <w:rPr>
                      <w:b/>
                      <w:szCs w:val="21"/>
                    </w:rPr>
                  </w:pPr>
                  <w:r>
                    <w:rPr>
                      <w:b/>
                      <w:szCs w:val="21"/>
                    </w:rPr>
                    <w:t>占地面积(m²)</w:t>
                  </w:r>
                </w:p>
              </w:tc>
              <w:tc>
                <w:tcPr>
                  <w:tcW w:w="1325" w:type="dxa"/>
                  <w:vMerge w:val="restart"/>
                  <w:tcBorders>
                    <w:tl2br w:val="nil"/>
                    <w:tr2bl w:val="nil"/>
                  </w:tcBorders>
                  <w:vAlign w:val="center"/>
                </w:tcPr>
                <w:p w14:paraId="6A488C87">
                  <w:pPr>
                    <w:widowControl/>
                    <w:spacing w:line="320" w:lineRule="exact"/>
                    <w:jc w:val="center"/>
                    <w:rPr>
                      <w:b/>
                      <w:szCs w:val="21"/>
                    </w:rPr>
                  </w:pPr>
                  <w:r>
                    <w:rPr>
                      <w:b/>
                      <w:szCs w:val="21"/>
                    </w:rPr>
                    <w:t>备注</w:t>
                  </w:r>
                </w:p>
              </w:tc>
            </w:tr>
            <w:tr w14:paraId="0AF3D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960" w:type="dxa"/>
                  <w:vMerge w:val="continue"/>
                  <w:tcBorders>
                    <w:tl2br w:val="nil"/>
                    <w:tr2bl w:val="nil"/>
                  </w:tcBorders>
                  <w:vAlign w:val="center"/>
                </w:tcPr>
                <w:p w14:paraId="162EF81D">
                  <w:pPr>
                    <w:spacing w:line="320" w:lineRule="exact"/>
                    <w:jc w:val="center"/>
                    <w:rPr>
                      <w:kern w:val="0"/>
                      <w:szCs w:val="21"/>
                    </w:rPr>
                  </w:pPr>
                </w:p>
              </w:tc>
              <w:tc>
                <w:tcPr>
                  <w:tcW w:w="2401" w:type="dxa"/>
                  <w:vMerge w:val="continue"/>
                  <w:tcBorders>
                    <w:tl2br w:val="nil"/>
                    <w:tr2bl w:val="nil"/>
                  </w:tcBorders>
                  <w:vAlign w:val="center"/>
                </w:tcPr>
                <w:p w14:paraId="3BF0E1D1">
                  <w:pPr>
                    <w:spacing w:line="320" w:lineRule="exact"/>
                    <w:jc w:val="center"/>
                    <w:rPr>
                      <w:kern w:val="0"/>
                      <w:szCs w:val="21"/>
                    </w:rPr>
                  </w:pPr>
                </w:p>
              </w:tc>
              <w:tc>
                <w:tcPr>
                  <w:tcW w:w="1838" w:type="dxa"/>
                  <w:vMerge w:val="continue"/>
                  <w:tcBorders>
                    <w:tl2br w:val="nil"/>
                    <w:tr2bl w:val="nil"/>
                  </w:tcBorders>
                  <w:vAlign w:val="center"/>
                </w:tcPr>
                <w:p w14:paraId="23ACAD13">
                  <w:pPr>
                    <w:spacing w:line="320" w:lineRule="exact"/>
                    <w:jc w:val="center"/>
                    <w:rPr>
                      <w:kern w:val="0"/>
                      <w:szCs w:val="21"/>
                    </w:rPr>
                  </w:pPr>
                </w:p>
              </w:tc>
              <w:tc>
                <w:tcPr>
                  <w:tcW w:w="1980" w:type="dxa"/>
                  <w:vMerge w:val="continue"/>
                  <w:tcBorders>
                    <w:tl2br w:val="nil"/>
                    <w:tr2bl w:val="nil"/>
                  </w:tcBorders>
                  <w:vAlign w:val="center"/>
                </w:tcPr>
                <w:p w14:paraId="3FBC4446">
                  <w:pPr>
                    <w:spacing w:line="320" w:lineRule="exact"/>
                    <w:jc w:val="center"/>
                    <w:rPr>
                      <w:kern w:val="0"/>
                      <w:szCs w:val="21"/>
                    </w:rPr>
                  </w:pPr>
                </w:p>
              </w:tc>
              <w:tc>
                <w:tcPr>
                  <w:tcW w:w="1325" w:type="dxa"/>
                  <w:vMerge w:val="continue"/>
                  <w:tcBorders>
                    <w:tl2br w:val="nil"/>
                    <w:tr2bl w:val="nil"/>
                  </w:tcBorders>
                  <w:vAlign w:val="center"/>
                </w:tcPr>
                <w:p w14:paraId="73B95F28">
                  <w:pPr>
                    <w:spacing w:line="320" w:lineRule="exact"/>
                    <w:jc w:val="center"/>
                    <w:rPr>
                      <w:kern w:val="0"/>
                      <w:szCs w:val="21"/>
                    </w:rPr>
                  </w:pPr>
                </w:p>
              </w:tc>
            </w:tr>
            <w:tr w14:paraId="19534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181B53D0">
                  <w:pPr>
                    <w:spacing w:line="320" w:lineRule="exact"/>
                    <w:jc w:val="center"/>
                    <w:rPr>
                      <w:kern w:val="0"/>
                      <w:szCs w:val="21"/>
                    </w:rPr>
                  </w:pPr>
                  <w:r>
                    <w:rPr>
                      <w:kern w:val="0"/>
                      <w:szCs w:val="21"/>
                    </w:rPr>
                    <w:t>1</w:t>
                  </w:r>
                </w:p>
              </w:tc>
              <w:tc>
                <w:tcPr>
                  <w:tcW w:w="2401" w:type="dxa"/>
                  <w:tcBorders>
                    <w:tl2br w:val="nil"/>
                    <w:tr2bl w:val="nil"/>
                  </w:tcBorders>
                  <w:vAlign w:val="center"/>
                </w:tcPr>
                <w:p w14:paraId="2F6B002E">
                  <w:pPr>
                    <w:spacing w:line="320" w:lineRule="exact"/>
                    <w:jc w:val="center"/>
                    <w:rPr>
                      <w:kern w:val="0"/>
                      <w:szCs w:val="21"/>
                    </w:rPr>
                  </w:pPr>
                  <w:r>
                    <w:rPr>
                      <w:kern w:val="0"/>
                      <w:szCs w:val="21"/>
                    </w:rPr>
                    <w:t>原材料堆场</w:t>
                  </w:r>
                </w:p>
              </w:tc>
              <w:tc>
                <w:tcPr>
                  <w:tcW w:w="1838" w:type="dxa"/>
                  <w:tcBorders>
                    <w:tl2br w:val="nil"/>
                    <w:tr2bl w:val="nil"/>
                  </w:tcBorders>
                  <w:vAlign w:val="center"/>
                </w:tcPr>
                <w:p w14:paraId="3CF3BF22">
                  <w:pPr>
                    <w:spacing w:line="320" w:lineRule="exact"/>
                    <w:jc w:val="center"/>
                    <w:rPr>
                      <w:kern w:val="0"/>
                      <w:szCs w:val="21"/>
                    </w:rPr>
                  </w:pPr>
                </w:p>
              </w:tc>
              <w:tc>
                <w:tcPr>
                  <w:tcW w:w="1980" w:type="dxa"/>
                  <w:tcBorders>
                    <w:tl2br w:val="nil"/>
                    <w:tr2bl w:val="nil"/>
                  </w:tcBorders>
                  <w:vAlign w:val="center"/>
                </w:tcPr>
                <w:p w14:paraId="6EF63E15">
                  <w:pPr>
                    <w:spacing w:line="320" w:lineRule="exact"/>
                    <w:jc w:val="center"/>
                    <w:rPr>
                      <w:kern w:val="0"/>
                      <w:szCs w:val="21"/>
                    </w:rPr>
                  </w:pPr>
                  <w:r>
                    <w:rPr>
                      <w:kern w:val="0"/>
                      <w:szCs w:val="21"/>
                    </w:rPr>
                    <w:t>300.00</w:t>
                  </w:r>
                </w:p>
              </w:tc>
              <w:tc>
                <w:tcPr>
                  <w:tcW w:w="1325" w:type="dxa"/>
                  <w:vMerge w:val="restart"/>
                  <w:tcBorders>
                    <w:tl2br w:val="nil"/>
                    <w:tr2bl w:val="nil"/>
                  </w:tcBorders>
                  <w:vAlign w:val="center"/>
                </w:tcPr>
                <w:p w14:paraId="6C3FCE83">
                  <w:pPr>
                    <w:spacing w:line="320" w:lineRule="exact"/>
                    <w:jc w:val="center"/>
                    <w:rPr>
                      <w:kern w:val="0"/>
                      <w:szCs w:val="21"/>
                    </w:rPr>
                  </w:pPr>
                  <w:r>
                    <w:rPr>
                      <w:kern w:val="0"/>
                      <w:szCs w:val="21"/>
                    </w:rPr>
                    <w:t>单个施工临建区建设情况</w:t>
                  </w:r>
                </w:p>
              </w:tc>
            </w:tr>
            <w:tr w14:paraId="2E0BB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0635D42C">
                  <w:pPr>
                    <w:spacing w:line="320" w:lineRule="exact"/>
                    <w:jc w:val="center"/>
                    <w:rPr>
                      <w:kern w:val="0"/>
                      <w:szCs w:val="21"/>
                    </w:rPr>
                  </w:pPr>
                  <w:r>
                    <w:rPr>
                      <w:kern w:val="0"/>
                      <w:szCs w:val="21"/>
                    </w:rPr>
                    <w:t>2</w:t>
                  </w:r>
                </w:p>
              </w:tc>
              <w:tc>
                <w:tcPr>
                  <w:tcW w:w="2401" w:type="dxa"/>
                  <w:tcBorders>
                    <w:tl2br w:val="nil"/>
                    <w:tr2bl w:val="nil"/>
                  </w:tcBorders>
                  <w:vAlign w:val="center"/>
                </w:tcPr>
                <w:p w14:paraId="7B039B9E">
                  <w:pPr>
                    <w:spacing w:line="320" w:lineRule="exact"/>
                    <w:jc w:val="center"/>
                    <w:rPr>
                      <w:kern w:val="0"/>
                      <w:szCs w:val="21"/>
                    </w:rPr>
                  </w:pPr>
                  <w:r>
                    <w:rPr>
                      <w:kern w:val="0"/>
                      <w:szCs w:val="21"/>
                    </w:rPr>
                    <w:t>综合加工厂</w:t>
                  </w:r>
                </w:p>
              </w:tc>
              <w:tc>
                <w:tcPr>
                  <w:tcW w:w="1838" w:type="dxa"/>
                  <w:tcBorders>
                    <w:tl2br w:val="nil"/>
                    <w:tr2bl w:val="nil"/>
                  </w:tcBorders>
                  <w:vAlign w:val="center"/>
                </w:tcPr>
                <w:p w14:paraId="758C65B0">
                  <w:pPr>
                    <w:spacing w:line="320" w:lineRule="exact"/>
                    <w:jc w:val="center"/>
                    <w:rPr>
                      <w:kern w:val="0"/>
                      <w:szCs w:val="21"/>
                    </w:rPr>
                  </w:pPr>
                  <w:r>
                    <w:rPr>
                      <w:kern w:val="0"/>
                      <w:szCs w:val="21"/>
                    </w:rPr>
                    <w:t>500.00</w:t>
                  </w:r>
                </w:p>
              </w:tc>
              <w:tc>
                <w:tcPr>
                  <w:tcW w:w="1980" w:type="dxa"/>
                  <w:tcBorders>
                    <w:tl2br w:val="nil"/>
                    <w:tr2bl w:val="nil"/>
                  </w:tcBorders>
                  <w:vAlign w:val="center"/>
                </w:tcPr>
                <w:p w14:paraId="71C18AEF">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62BFB389">
                  <w:pPr>
                    <w:spacing w:line="320" w:lineRule="exact"/>
                    <w:jc w:val="center"/>
                    <w:rPr>
                      <w:kern w:val="0"/>
                      <w:szCs w:val="21"/>
                    </w:rPr>
                  </w:pPr>
                </w:p>
              </w:tc>
            </w:tr>
            <w:tr w14:paraId="17F6E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1968FA9D">
                  <w:pPr>
                    <w:spacing w:line="320" w:lineRule="exact"/>
                    <w:jc w:val="center"/>
                    <w:rPr>
                      <w:kern w:val="0"/>
                      <w:szCs w:val="21"/>
                    </w:rPr>
                  </w:pPr>
                  <w:r>
                    <w:rPr>
                      <w:kern w:val="0"/>
                      <w:szCs w:val="21"/>
                    </w:rPr>
                    <w:t>3</w:t>
                  </w:r>
                </w:p>
              </w:tc>
              <w:tc>
                <w:tcPr>
                  <w:tcW w:w="2401" w:type="dxa"/>
                  <w:tcBorders>
                    <w:tl2br w:val="nil"/>
                    <w:tr2bl w:val="nil"/>
                  </w:tcBorders>
                  <w:vAlign w:val="center"/>
                </w:tcPr>
                <w:p w14:paraId="21EA77CB">
                  <w:pPr>
                    <w:spacing w:line="320" w:lineRule="exact"/>
                    <w:jc w:val="center"/>
                    <w:rPr>
                      <w:kern w:val="0"/>
                      <w:szCs w:val="21"/>
                    </w:rPr>
                  </w:pPr>
                  <w:r>
                    <w:rPr>
                      <w:kern w:val="0"/>
                      <w:szCs w:val="21"/>
                    </w:rPr>
                    <w:t>综合仓库区</w:t>
                  </w:r>
                </w:p>
              </w:tc>
              <w:tc>
                <w:tcPr>
                  <w:tcW w:w="1838" w:type="dxa"/>
                  <w:tcBorders>
                    <w:tl2br w:val="nil"/>
                    <w:tr2bl w:val="nil"/>
                  </w:tcBorders>
                  <w:vAlign w:val="center"/>
                </w:tcPr>
                <w:p w14:paraId="120EFB81">
                  <w:pPr>
                    <w:spacing w:line="320" w:lineRule="exact"/>
                    <w:jc w:val="center"/>
                    <w:rPr>
                      <w:kern w:val="0"/>
                      <w:szCs w:val="21"/>
                    </w:rPr>
                  </w:pPr>
                  <w:r>
                    <w:rPr>
                      <w:kern w:val="0"/>
                      <w:szCs w:val="21"/>
                    </w:rPr>
                    <w:t>800.00</w:t>
                  </w:r>
                </w:p>
              </w:tc>
              <w:tc>
                <w:tcPr>
                  <w:tcW w:w="1980" w:type="dxa"/>
                  <w:tcBorders>
                    <w:tl2br w:val="nil"/>
                    <w:tr2bl w:val="nil"/>
                  </w:tcBorders>
                  <w:vAlign w:val="center"/>
                </w:tcPr>
                <w:p w14:paraId="4EB99B1B">
                  <w:pPr>
                    <w:spacing w:line="320" w:lineRule="exact"/>
                    <w:jc w:val="center"/>
                    <w:rPr>
                      <w:kern w:val="0"/>
                      <w:szCs w:val="21"/>
                    </w:rPr>
                  </w:pPr>
                  <w:r>
                    <w:rPr>
                      <w:kern w:val="0"/>
                      <w:szCs w:val="21"/>
                    </w:rPr>
                    <w:t>1000.00</w:t>
                  </w:r>
                </w:p>
              </w:tc>
              <w:tc>
                <w:tcPr>
                  <w:tcW w:w="1325" w:type="dxa"/>
                  <w:vMerge w:val="continue"/>
                  <w:tcBorders>
                    <w:tl2br w:val="nil"/>
                    <w:tr2bl w:val="nil"/>
                  </w:tcBorders>
                  <w:vAlign w:val="center"/>
                </w:tcPr>
                <w:p w14:paraId="7D45A1BD">
                  <w:pPr>
                    <w:spacing w:line="320" w:lineRule="exact"/>
                    <w:jc w:val="center"/>
                    <w:rPr>
                      <w:kern w:val="0"/>
                      <w:szCs w:val="21"/>
                    </w:rPr>
                  </w:pPr>
                </w:p>
              </w:tc>
            </w:tr>
            <w:tr w14:paraId="0A80A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6B2CDF62">
                  <w:pPr>
                    <w:spacing w:line="320" w:lineRule="exact"/>
                    <w:jc w:val="center"/>
                    <w:rPr>
                      <w:kern w:val="0"/>
                      <w:szCs w:val="21"/>
                    </w:rPr>
                  </w:pPr>
                  <w:r>
                    <w:rPr>
                      <w:kern w:val="0"/>
                      <w:szCs w:val="21"/>
                    </w:rPr>
                    <w:t>4</w:t>
                  </w:r>
                </w:p>
              </w:tc>
              <w:tc>
                <w:tcPr>
                  <w:tcW w:w="2401" w:type="dxa"/>
                  <w:tcBorders>
                    <w:tl2br w:val="nil"/>
                    <w:tr2bl w:val="nil"/>
                  </w:tcBorders>
                  <w:vAlign w:val="center"/>
                </w:tcPr>
                <w:p w14:paraId="69651E02">
                  <w:pPr>
                    <w:spacing w:line="320" w:lineRule="exact"/>
                    <w:jc w:val="center"/>
                    <w:rPr>
                      <w:kern w:val="0"/>
                      <w:szCs w:val="21"/>
                    </w:rPr>
                  </w:pPr>
                  <w:r>
                    <w:rPr>
                      <w:kern w:val="0"/>
                      <w:szCs w:val="21"/>
                    </w:rPr>
                    <w:t>机械停放场</w:t>
                  </w:r>
                </w:p>
              </w:tc>
              <w:tc>
                <w:tcPr>
                  <w:tcW w:w="1838" w:type="dxa"/>
                  <w:tcBorders>
                    <w:tl2br w:val="nil"/>
                    <w:tr2bl w:val="nil"/>
                  </w:tcBorders>
                  <w:vAlign w:val="center"/>
                </w:tcPr>
                <w:p w14:paraId="5E6F61FA">
                  <w:pPr>
                    <w:spacing w:line="320" w:lineRule="exact"/>
                    <w:jc w:val="center"/>
                    <w:rPr>
                      <w:kern w:val="0"/>
                      <w:szCs w:val="21"/>
                    </w:rPr>
                  </w:pPr>
                </w:p>
              </w:tc>
              <w:tc>
                <w:tcPr>
                  <w:tcW w:w="1980" w:type="dxa"/>
                  <w:tcBorders>
                    <w:tl2br w:val="nil"/>
                    <w:tr2bl w:val="nil"/>
                  </w:tcBorders>
                  <w:vAlign w:val="center"/>
                </w:tcPr>
                <w:p w14:paraId="13A84AA0">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0C2F97B0">
                  <w:pPr>
                    <w:spacing w:line="320" w:lineRule="exact"/>
                    <w:jc w:val="center"/>
                    <w:rPr>
                      <w:kern w:val="0"/>
                      <w:szCs w:val="21"/>
                    </w:rPr>
                  </w:pPr>
                </w:p>
              </w:tc>
            </w:tr>
            <w:tr w14:paraId="43D36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1D4D5E9D">
                  <w:pPr>
                    <w:spacing w:line="320" w:lineRule="exact"/>
                    <w:jc w:val="center"/>
                    <w:rPr>
                      <w:kern w:val="0"/>
                      <w:szCs w:val="21"/>
                    </w:rPr>
                  </w:pPr>
                  <w:r>
                    <w:rPr>
                      <w:kern w:val="0"/>
                      <w:szCs w:val="21"/>
                    </w:rPr>
                    <w:t>5</w:t>
                  </w:r>
                </w:p>
              </w:tc>
              <w:tc>
                <w:tcPr>
                  <w:tcW w:w="2401" w:type="dxa"/>
                  <w:tcBorders>
                    <w:tl2br w:val="nil"/>
                    <w:tr2bl w:val="nil"/>
                  </w:tcBorders>
                  <w:vAlign w:val="center"/>
                </w:tcPr>
                <w:p w14:paraId="78BA7A32">
                  <w:pPr>
                    <w:spacing w:line="320" w:lineRule="exact"/>
                    <w:jc w:val="center"/>
                    <w:rPr>
                      <w:kern w:val="0"/>
                      <w:szCs w:val="21"/>
                    </w:rPr>
                  </w:pPr>
                  <w:r>
                    <w:rPr>
                      <w:kern w:val="0"/>
                      <w:szCs w:val="21"/>
                    </w:rPr>
                    <w:t>维修车间</w:t>
                  </w:r>
                </w:p>
              </w:tc>
              <w:tc>
                <w:tcPr>
                  <w:tcW w:w="1838" w:type="dxa"/>
                  <w:tcBorders>
                    <w:tl2br w:val="nil"/>
                    <w:tr2bl w:val="nil"/>
                  </w:tcBorders>
                  <w:vAlign w:val="center"/>
                </w:tcPr>
                <w:p w14:paraId="2CDC0A4A">
                  <w:pPr>
                    <w:spacing w:line="320" w:lineRule="exact"/>
                    <w:jc w:val="center"/>
                    <w:rPr>
                      <w:kern w:val="0"/>
                      <w:szCs w:val="21"/>
                    </w:rPr>
                  </w:pPr>
                  <w:r>
                    <w:rPr>
                      <w:kern w:val="0"/>
                      <w:szCs w:val="21"/>
                    </w:rPr>
                    <w:t>400.00</w:t>
                  </w:r>
                </w:p>
              </w:tc>
              <w:tc>
                <w:tcPr>
                  <w:tcW w:w="1980" w:type="dxa"/>
                  <w:tcBorders>
                    <w:tl2br w:val="nil"/>
                    <w:tr2bl w:val="nil"/>
                  </w:tcBorders>
                  <w:vAlign w:val="center"/>
                </w:tcPr>
                <w:p w14:paraId="350F3732">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58F1D1E7">
                  <w:pPr>
                    <w:spacing w:line="320" w:lineRule="exact"/>
                    <w:jc w:val="center"/>
                    <w:rPr>
                      <w:kern w:val="0"/>
                      <w:szCs w:val="21"/>
                    </w:rPr>
                  </w:pPr>
                </w:p>
              </w:tc>
            </w:tr>
            <w:tr w14:paraId="43B3B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78DBA7DA">
                  <w:pPr>
                    <w:spacing w:line="320" w:lineRule="exact"/>
                    <w:jc w:val="center"/>
                    <w:rPr>
                      <w:kern w:val="0"/>
                      <w:szCs w:val="21"/>
                    </w:rPr>
                  </w:pPr>
                  <w:r>
                    <w:rPr>
                      <w:kern w:val="0"/>
                      <w:szCs w:val="21"/>
                    </w:rPr>
                    <w:t>6</w:t>
                  </w:r>
                </w:p>
              </w:tc>
              <w:tc>
                <w:tcPr>
                  <w:tcW w:w="2401" w:type="dxa"/>
                  <w:tcBorders>
                    <w:tl2br w:val="nil"/>
                    <w:tr2bl w:val="nil"/>
                  </w:tcBorders>
                  <w:vAlign w:val="center"/>
                </w:tcPr>
                <w:p w14:paraId="38159538">
                  <w:pPr>
                    <w:spacing w:line="320" w:lineRule="exact"/>
                    <w:jc w:val="center"/>
                    <w:rPr>
                      <w:kern w:val="0"/>
                      <w:szCs w:val="21"/>
                    </w:rPr>
                  </w:pPr>
                  <w:r>
                    <w:rPr>
                      <w:kern w:val="0"/>
                      <w:szCs w:val="21"/>
                    </w:rPr>
                    <w:t>设备仓库</w:t>
                  </w:r>
                </w:p>
              </w:tc>
              <w:tc>
                <w:tcPr>
                  <w:tcW w:w="1838" w:type="dxa"/>
                  <w:tcBorders>
                    <w:tl2br w:val="nil"/>
                    <w:tr2bl w:val="nil"/>
                  </w:tcBorders>
                  <w:vAlign w:val="center"/>
                </w:tcPr>
                <w:p w14:paraId="0DA1A4DB">
                  <w:pPr>
                    <w:spacing w:line="320" w:lineRule="exact"/>
                    <w:jc w:val="center"/>
                    <w:rPr>
                      <w:kern w:val="0"/>
                      <w:szCs w:val="21"/>
                    </w:rPr>
                  </w:pPr>
                  <w:r>
                    <w:rPr>
                      <w:kern w:val="0"/>
                      <w:szCs w:val="21"/>
                    </w:rPr>
                    <w:t>400.00</w:t>
                  </w:r>
                </w:p>
              </w:tc>
              <w:tc>
                <w:tcPr>
                  <w:tcW w:w="1980" w:type="dxa"/>
                  <w:tcBorders>
                    <w:tl2br w:val="nil"/>
                    <w:tr2bl w:val="nil"/>
                  </w:tcBorders>
                  <w:vAlign w:val="center"/>
                </w:tcPr>
                <w:p w14:paraId="12659821">
                  <w:pPr>
                    <w:spacing w:line="320" w:lineRule="exact"/>
                    <w:jc w:val="center"/>
                    <w:rPr>
                      <w:kern w:val="0"/>
                      <w:szCs w:val="21"/>
                    </w:rPr>
                  </w:pPr>
                  <w:r>
                    <w:rPr>
                      <w:kern w:val="0"/>
                      <w:szCs w:val="21"/>
                    </w:rPr>
                    <w:t>600.00</w:t>
                  </w:r>
                </w:p>
              </w:tc>
              <w:tc>
                <w:tcPr>
                  <w:tcW w:w="1325" w:type="dxa"/>
                  <w:vMerge w:val="continue"/>
                  <w:tcBorders>
                    <w:tl2br w:val="nil"/>
                    <w:tr2bl w:val="nil"/>
                  </w:tcBorders>
                  <w:vAlign w:val="center"/>
                </w:tcPr>
                <w:p w14:paraId="0162AE2C">
                  <w:pPr>
                    <w:spacing w:line="320" w:lineRule="exact"/>
                    <w:jc w:val="center"/>
                    <w:rPr>
                      <w:kern w:val="0"/>
                      <w:szCs w:val="21"/>
                    </w:rPr>
                  </w:pPr>
                </w:p>
              </w:tc>
            </w:tr>
            <w:tr w14:paraId="24610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4B48CECA">
                  <w:pPr>
                    <w:spacing w:line="320" w:lineRule="exact"/>
                    <w:jc w:val="center"/>
                    <w:rPr>
                      <w:kern w:val="0"/>
                      <w:szCs w:val="21"/>
                    </w:rPr>
                  </w:pPr>
                  <w:r>
                    <w:rPr>
                      <w:kern w:val="0"/>
                      <w:szCs w:val="21"/>
                    </w:rPr>
                    <w:t>7</w:t>
                  </w:r>
                </w:p>
              </w:tc>
              <w:tc>
                <w:tcPr>
                  <w:tcW w:w="2401" w:type="dxa"/>
                  <w:tcBorders>
                    <w:tl2br w:val="nil"/>
                    <w:tr2bl w:val="nil"/>
                  </w:tcBorders>
                  <w:vAlign w:val="center"/>
                </w:tcPr>
                <w:p w14:paraId="7B0489CE">
                  <w:pPr>
                    <w:spacing w:line="320" w:lineRule="exact"/>
                    <w:jc w:val="center"/>
                    <w:rPr>
                      <w:kern w:val="0"/>
                      <w:szCs w:val="21"/>
                    </w:rPr>
                  </w:pPr>
                  <w:r>
                    <w:rPr>
                      <w:kern w:val="0"/>
                      <w:szCs w:val="21"/>
                    </w:rPr>
                    <w:t>临时生活办公区</w:t>
                  </w:r>
                </w:p>
              </w:tc>
              <w:tc>
                <w:tcPr>
                  <w:tcW w:w="1838" w:type="dxa"/>
                  <w:tcBorders>
                    <w:tl2br w:val="nil"/>
                    <w:tr2bl w:val="nil"/>
                  </w:tcBorders>
                  <w:vAlign w:val="center"/>
                </w:tcPr>
                <w:p w14:paraId="4C9FA19A">
                  <w:pPr>
                    <w:spacing w:line="320" w:lineRule="exact"/>
                    <w:jc w:val="center"/>
                    <w:rPr>
                      <w:kern w:val="0"/>
                      <w:szCs w:val="21"/>
                    </w:rPr>
                  </w:pPr>
                  <w:r>
                    <w:rPr>
                      <w:kern w:val="0"/>
                      <w:szCs w:val="21"/>
                    </w:rPr>
                    <w:t>600.00</w:t>
                  </w:r>
                </w:p>
              </w:tc>
              <w:tc>
                <w:tcPr>
                  <w:tcW w:w="1980" w:type="dxa"/>
                  <w:tcBorders>
                    <w:tl2br w:val="nil"/>
                    <w:tr2bl w:val="nil"/>
                  </w:tcBorders>
                  <w:vAlign w:val="center"/>
                </w:tcPr>
                <w:p w14:paraId="705BB178">
                  <w:pPr>
                    <w:spacing w:line="320" w:lineRule="exact"/>
                    <w:jc w:val="center"/>
                    <w:rPr>
                      <w:kern w:val="0"/>
                      <w:szCs w:val="21"/>
                    </w:rPr>
                  </w:pPr>
                  <w:r>
                    <w:rPr>
                      <w:kern w:val="0"/>
                      <w:szCs w:val="21"/>
                    </w:rPr>
                    <w:t>800.00</w:t>
                  </w:r>
                </w:p>
              </w:tc>
              <w:tc>
                <w:tcPr>
                  <w:tcW w:w="1325" w:type="dxa"/>
                  <w:vMerge w:val="continue"/>
                  <w:tcBorders>
                    <w:tl2br w:val="nil"/>
                    <w:tr2bl w:val="nil"/>
                  </w:tcBorders>
                  <w:vAlign w:val="center"/>
                </w:tcPr>
                <w:p w14:paraId="10E9C4CA">
                  <w:pPr>
                    <w:spacing w:line="320" w:lineRule="exact"/>
                    <w:jc w:val="center"/>
                    <w:rPr>
                      <w:kern w:val="0"/>
                      <w:szCs w:val="21"/>
                    </w:rPr>
                  </w:pPr>
                </w:p>
              </w:tc>
            </w:tr>
            <w:tr w14:paraId="0BB26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6CEC132F">
                  <w:pPr>
                    <w:spacing w:line="320" w:lineRule="exact"/>
                    <w:jc w:val="center"/>
                    <w:rPr>
                      <w:kern w:val="0"/>
                      <w:szCs w:val="21"/>
                    </w:rPr>
                  </w:pPr>
                  <w:r>
                    <w:rPr>
                      <w:kern w:val="0"/>
                      <w:szCs w:val="21"/>
                    </w:rPr>
                    <w:t>8</w:t>
                  </w:r>
                </w:p>
              </w:tc>
              <w:tc>
                <w:tcPr>
                  <w:tcW w:w="2401" w:type="dxa"/>
                  <w:tcBorders>
                    <w:tl2br w:val="nil"/>
                    <w:tr2bl w:val="nil"/>
                  </w:tcBorders>
                  <w:vAlign w:val="center"/>
                </w:tcPr>
                <w:p w14:paraId="3F2EDBAC">
                  <w:pPr>
                    <w:spacing w:line="320" w:lineRule="exact"/>
                    <w:jc w:val="center"/>
                    <w:rPr>
                      <w:kern w:val="0"/>
                      <w:szCs w:val="21"/>
                    </w:rPr>
                  </w:pPr>
                  <w:r>
                    <w:rPr>
                      <w:rFonts w:hint="eastAsia"/>
                      <w:kern w:val="0"/>
                      <w:szCs w:val="21"/>
                    </w:rPr>
                    <w:t>其余空地</w:t>
                  </w:r>
                </w:p>
              </w:tc>
              <w:tc>
                <w:tcPr>
                  <w:tcW w:w="1838" w:type="dxa"/>
                  <w:tcBorders>
                    <w:tl2br w:val="nil"/>
                    <w:tr2bl w:val="nil"/>
                  </w:tcBorders>
                  <w:vAlign w:val="center"/>
                </w:tcPr>
                <w:p w14:paraId="705B6920">
                  <w:pPr>
                    <w:spacing w:line="320" w:lineRule="exact"/>
                    <w:jc w:val="center"/>
                    <w:rPr>
                      <w:kern w:val="0"/>
                      <w:szCs w:val="21"/>
                    </w:rPr>
                  </w:pPr>
                </w:p>
              </w:tc>
              <w:tc>
                <w:tcPr>
                  <w:tcW w:w="1980" w:type="dxa"/>
                  <w:tcBorders>
                    <w:tl2br w:val="nil"/>
                    <w:tr2bl w:val="nil"/>
                  </w:tcBorders>
                  <w:vAlign w:val="center"/>
                </w:tcPr>
                <w:p w14:paraId="1F84FD9E">
                  <w:pPr>
                    <w:spacing w:line="320" w:lineRule="exact"/>
                    <w:jc w:val="center"/>
                    <w:rPr>
                      <w:kern w:val="0"/>
                      <w:szCs w:val="21"/>
                    </w:rPr>
                  </w:pPr>
                  <w:r>
                    <w:rPr>
                      <w:rFonts w:hint="eastAsia"/>
                      <w:kern w:val="0"/>
                      <w:szCs w:val="21"/>
                    </w:rPr>
                    <w:t>500.00</w:t>
                  </w:r>
                </w:p>
              </w:tc>
              <w:tc>
                <w:tcPr>
                  <w:tcW w:w="1325" w:type="dxa"/>
                  <w:vMerge w:val="continue"/>
                  <w:tcBorders>
                    <w:tl2br w:val="nil"/>
                    <w:tr2bl w:val="nil"/>
                  </w:tcBorders>
                  <w:vAlign w:val="center"/>
                </w:tcPr>
                <w:p w14:paraId="1A0060CA">
                  <w:pPr>
                    <w:spacing w:line="320" w:lineRule="exact"/>
                    <w:jc w:val="center"/>
                    <w:rPr>
                      <w:kern w:val="0"/>
                      <w:szCs w:val="21"/>
                    </w:rPr>
                  </w:pPr>
                </w:p>
              </w:tc>
            </w:tr>
            <w:tr w14:paraId="2BDA0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Borders>
                    <w:tl2br w:val="nil"/>
                    <w:tr2bl w:val="nil"/>
                  </w:tcBorders>
                  <w:vAlign w:val="center"/>
                </w:tcPr>
                <w:p w14:paraId="35C65BB6">
                  <w:pPr>
                    <w:spacing w:line="320" w:lineRule="exact"/>
                    <w:jc w:val="center"/>
                    <w:rPr>
                      <w:kern w:val="0"/>
                      <w:szCs w:val="21"/>
                    </w:rPr>
                  </w:pPr>
                  <w:r>
                    <w:rPr>
                      <w:rFonts w:hint="eastAsia"/>
                      <w:kern w:val="0"/>
                      <w:szCs w:val="21"/>
                    </w:rPr>
                    <w:t>9</w:t>
                  </w:r>
                </w:p>
              </w:tc>
              <w:tc>
                <w:tcPr>
                  <w:tcW w:w="2401" w:type="dxa"/>
                  <w:tcBorders>
                    <w:tl2br w:val="nil"/>
                    <w:tr2bl w:val="nil"/>
                  </w:tcBorders>
                  <w:vAlign w:val="center"/>
                </w:tcPr>
                <w:p w14:paraId="49C2E63D">
                  <w:pPr>
                    <w:spacing w:line="320" w:lineRule="exact"/>
                    <w:jc w:val="center"/>
                    <w:rPr>
                      <w:kern w:val="0"/>
                      <w:szCs w:val="21"/>
                    </w:rPr>
                  </w:pPr>
                  <w:r>
                    <w:rPr>
                      <w:kern w:val="0"/>
                      <w:szCs w:val="21"/>
                    </w:rPr>
                    <w:t>合计</w:t>
                  </w:r>
                </w:p>
              </w:tc>
              <w:tc>
                <w:tcPr>
                  <w:tcW w:w="1838" w:type="dxa"/>
                  <w:tcBorders>
                    <w:tl2br w:val="nil"/>
                    <w:tr2bl w:val="nil"/>
                  </w:tcBorders>
                  <w:vAlign w:val="center"/>
                </w:tcPr>
                <w:p w14:paraId="1994B992">
                  <w:pPr>
                    <w:spacing w:line="320" w:lineRule="exact"/>
                    <w:jc w:val="center"/>
                    <w:rPr>
                      <w:kern w:val="0"/>
                      <w:szCs w:val="21"/>
                    </w:rPr>
                  </w:pPr>
                  <w:r>
                    <w:rPr>
                      <w:kern w:val="0"/>
                      <w:szCs w:val="21"/>
                    </w:rPr>
                    <w:t>2700.00</w:t>
                  </w:r>
                </w:p>
              </w:tc>
              <w:tc>
                <w:tcPr>
                  <w:tcW w:w="1980" w:type="dxa"/>
                  <w:tcBorders>
                    <w:tl2br w:val="nil"/>
                    <w:tr2bl w:val="nil"/>
                  </w:tcBorders>
                  <w:vAlign w:val="center"/>
                </w:tcPr>
                <w:p w14:paraId="32299267">
                  <w:pPr>
                    <w:spacing w:line="320" w:lineRule="exact"/>
                    <w:jc w:val="center"/>
                    <w:rPr>
                      <w:kern w:val="0"/>
                      <w:szCs w:val="21"/>
                    </w:rPr>
                  </w:pPr>
                  <w:r>
                    <w:rPr>
                      <w:rFonts w:hint="eastAsia"/>
                      <w:kern w:val="0"/>
                      <w:szCs w:val="21"/>
                    </w:rPr>
                    <w:t>50</w:t>
                  </w:r>
                  <w:r>
                    <w:rPr>
                      <w:kern w:val="0"/>
                      <w:szCs w:val="21"/>
                    </w:rPr>
                    <w:t>00.00</w:t>
                  </w:r>
                </w:p>
              </w:tc>
              <w:tc>
                <w:tcPr>
                  <w:tcW w:w="1325" w:type="dxa"/>
                  <w:vMerge w:val="continue"/>
                  <w:tcBorders>
                    <w:tl2br w:val="nil"/>
                    <w:tr2bl w:val="nil"/>
                  </w:tcBorders>
                  <w:vAlign w:val="center"/>
                </w:tcPr>
                <w:p w14:paraId="268141F3">
                  <w:pPr>
                    <w:spacing w:line="320" w:lineRule="exact"/>
                    <w:jc w:val="center"/>
                    <w:rPr>
                      <w:kern w:val="0"/>
                      <w:szCs w:val="21"/>
                    </w:rPr>
                  </w:pPr>
                </w:p>
              </w:tc>
            </w:tr>
          </w:tbl>
          <w:p w14:paraId="09F08480">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（2）施工道路：项目施工期临时道路为永临结合，总长132.1km，其中利用现有道路70.6km，利用原有道路改建38.9 km，新建道路为22.6km；道路路基宽6m，路面宽5m，每侧土路肩0.5m。路面材质为泥结碎石。</w:t>
            </w:r>
          </w:p>
          <w:p w14:paraId="137A041B">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（3）集电线路：</w:t>
            </w:r>
            <w:r>
              <w:rPr>
                <w:sz w:val="24"/>
              </w:rPr>
              <w:t>本项目将46台风机分为8回集电线路，采用架空与电缆结合方式。集电线路全长约</w:t>
            </w:r>
            <w:r>
              <w:rPr>
                <w:sz w:val="24"/>
                <w:szCs w:val="32"/>
              </w:rPr>
              <w:t>223.058</w:t>
            </w:r>
            <w:r>
              <w:rPr>
                <w:sz w:val="24"/>
              </w:rPr>
              <w:t>km，其中双回路架空长度约122.4km，单回路架空长度约49.8km，电缆采用敷设路径长度约53.06km，电缆敷设方式采用直埋敷设、非开挖拉管敷设两种为主。集电线路路由见附图</w:t>
            </w:r>
            <w:r>
              <w:rPr>
                <w:rFonts w:hint="eastAsia"/>
                <w:sz w:val="24"/>
              </w:rPr>
              <w:t>4</w:t>
            </w:r>
            <w:r>
              <w:rPr>
                <w:sz w:val="24"/>
              </w:rPr>
              <w:t>。</w:t>
            </w:r>
          </w:p>
          <w:p w14:paraId="5413F723">
            <w:pPr>
              <w:adjustRightInd w:val="0"/>
              <w:snapToGrid w:val="0"/>
              <w:spacing w:line="480" w:lineRule="exact"/>
              <w:ind w:firstLine="480" w:firstLineChars="200"/>
              <w:rPr>
                <w:rStyle w:val="63"/>
                <w:rFonts w:hint="default" w:ascii="Times New Roman" w:hAnsi="Times New Roman" w:cs="Times New Roman"/>
                <w:color w:val="auto"/>
              </w:rPr>
            </w:pPr>
            <w:r>
              <w:rPr>
                <w:rStyle w:val="63"/>
                <w:rFonts w:hint="default" w:ascii="Times New Roman" w:hAnsi="Times New Roman" w:cs="Times New Roman"/>
                <w:color w:val="auto"/>
              </w:rPr>
              <w:t>（4）风电机组安装场地</w:t>
            </w:r>
          </w:p>
          <w:p w14:paraId="74F3D234">
            <w:pPr>
              <w:adjustRightInd w:val="0"/>
              <w:snapToGrid w:val="0"/>
              <w:spacing w:line="480" w:lineRule="exact"/>
              <w:ind w:firstLine="480" w:firstLineChars="200"/>
              <w:rPr>
                <w:sz w:val="24"/>
              </w:rPr>
            </w:pPr>
            <w:r>
              <w:rPr>
                <w:rStyle w:val="63"/>
                <w:rFonts w:hint="default" w:ascii="Times New Roman" w:hAnsi="Times New Roman" w:cs="Times New Roman"/>
                <w:color w:val="auto"/>
              </w:rPr>
              <w:t>风电场地势比较开阔，具有较好的施工安装条件。根据风电场风机布置和施工道路布置，为风机的施工安装需要，在每个风机基础旁设一块施工吊装场地，并与场内施工道路相连。每个风机点位需临时平整一块50m×60m 的安装场地，兼做风机现场组装用地。箱变位于风机基础旁的平台之上。46台风电机组施工占地13.8hm</w:t>
            </w:r>
            <w:r>
              <w:rPr>
                <w:rStyle w:val="63"/>
                <w:rFonts w:hint="default" w:ascii="Times New Roman" w:hAnsi="Times New Roman" w:cs="Times New Roman"/>
                <w:color w:val="auto"/>
                <w:vertAlign w:val="superscript"/>
              </w:rPr>
              <w:t>2</w:t>
            </w:r>
            <w:r>
              <w:rPr>
                <w:rStyle w:val="63"/>
                <w:rFonts w:hint="default" w:ascii="Times New Roman" w:hAnsi="Times New Roman" w:cs="Times New Roman"/>
                <w:color w:val="auto"/>
              </w:rPr>
              <w:t>。</w:t>
            </w:r>
            <w:bookmarkEnd w:id="12"/>
          </w:p>
        </w:tc>
      </w:tr>
      <w:tr w14:paraId="04945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vAlign w:val="center"/>
          </w:tcPr>
          <w:p w14:paraId="1CEE5146">
            <w:pPr>
              <w:adjustRightInd w:val="0"/>
              <w:snapToGrid w:val="0"/>
              <w:jc w:val="center"/>
              <w:rPr>
                <w:kern w:val="0"/>
                <w:sz w:val="24"/>
              </w:rPr>
            </w:pPr>
            <w:r>
              <w:rPr>
                <w:kern w:val="0"/>
                <w:sz w:val="24"/>
              </w:rPr>
              <w:t>施工方案</w:t>
            </w:r>
          </w:p>
        </w:tc>
        <w:tc>
          <w:tcPr>
            <w:tcW w:w="8332" w:type="dxa"/>
            <w:vAlign w:val="center"/>
          </w:tcPr>
          <w:p w14:paraId="0CB54FA1">
            <w:pPr>
              <w:adjustRightInd w:val="0"/>
              <w:snapToGrid w:val="0"/>
              <w:spacing w:line="480" w:lineRule="exact"/>
              <w:rPr>
                <w:b/>
                <w:bCs/>
                <w:sz w:val="24"/>
              </w:rPr>
            </w:pPr>
            <w:r>
              <w:rPr>
                <w:b/>
                <w:bCs/>
                <w:sz w:val="24"/>
              </w:rPr>
              <w:t>1、施工设计</w:t>
            </w:r>
          </w:p>
          <w:p w14:paraId="1DE262B0">
            <w:pPr>
              <w:adjustRightInd w:val="0"/>
              <w:snapToGrid w:val="0"/>
              <w:spacing w:line="480" w:lineRule="exact"/>
              <w:ind w:firstLine="480" w:firstLineChars="200"/>
              <w:rPr>
                <w:sz w:val="24"/>
              </w:rPr>
            </w:pPr>
            <w:r>
              <w:rPr>
                <w:sz w:val="24"/>
              </w:rPr>
              <w:t>本项目施工期首先要修建临时施工道路、清理场地、安装平台施工，然后施工工程主体部分，包括风电机组施工、箱变施工、集电线路施工、升压站施工等，各箱变出线接入35kV母线并入220kV升压站。</w:t>
            </w:r>
          </w:p>
          <w:p w14:paraId="09F3FD79">
            <w:pPr>
              <w:adjustRightInd w:val="0"/>
              <w:snapToGrid w:val="0"/>
              <w:spacing w:line="480" w:lineRule="exact"/>
              <w:ind w:firstLine="480" w:firstLineChars="200"/>
              <w:rPr>
                <w:sz w:val="24"/>
              </w:rPr>
            </w:pPr>
            <w:r>
              <w:rPr>
                <w:sz w:val="24"/>
              </w:rPr>
              <w:t>本项目施工工艺流程见下图。</w:t>
            </w:r>
          </w:p>
          <w:p w14:paraId="661E2E5A">
            <w:pPr>
              <w:pStyle w:val="40"/>
              <w:jc w:val="center"/>
              <w:rPr>
                <w:rFonts w:ascii="Times New Roman" w:cs="Times New Roman"/>
                <w:color w:val="auto"/>
              </w:rPr>
            </w:pPr>
            <w:r>
              <w:rPr>
                <w:rFonts w:ascii="Times New Roman" w:cs="Times New Roman"/>
                <w:color w:val="auto"/>
              </w:rPr>
              <w:drawing>
                <wp:inline distT="0" distB="0" distL="0" distR="0">
                  <wp:extent cx="5266690" cy="34893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66690" cy="3489325"/>
                          </a:xfrm>
                          <a:prstGeom prst="rect">
                            <a:avLst/>
                          </a:prstGeom>
                          <a:noFill/>
                          <a:ln w="9525">
                            <a:noFill/>
                            <a:miter lim="800000"/>
                            <a:headEnd/>
                            <a:tailEnd/>
                          </a:ln>
                        </pic:spPr>
                      </pic:pic>
                    </a:graphicData>
                  </a:graphic>
                </wp:inline>
              </w:drawing>
            </w:r>
          </w:p>
          <w:p w14:paraId="08F73B16">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图2-5  本项目施工工艺流程图</w:t>
            </w:r>
          </w:p>
          <w:p w14:paraId="4F4E89C9">
            <w:pPr>
              <w:pStyle w:val="43"/>
              <w:spacing w:line="480" w:lineRule="exact"/>
              <w:ind w:firstLine="0"/>
              <w:rPr>
                <w:rFonts w:ascii="Times New Roman" w:hAnsi="Times New Roman" w:eastAsia="宋体"/>
                <w:b/>
                <w:sz w:val="24"/>
                <w:szCs w:val="24"/>
              </w:rPr>
            </w:pPr>
            <w:r>
              <w:rPr>
                <w:rFonts w:ascii="Times New Roman" w:hAnsi="Times New Roman" w:eastAsia="宋体"/>
                <w:b/>
                <w:sz w:val="24"/>
                <w:szCs w:val="24"/>
              </w:rPr>
              <w:t>2、施工工艺</w:t>
            </w:r>
          </w:p>
          <w:p w14:paraId="69975EC0">
            <w:pPr>
              <w:adjustRightInd w:val="0"/>
              <w:snapToGrid w:val="0"/>
              <w:spacing w:line="480" w:lineRule="exact"/>
              <w:rPr>
                <w:b/>
                <w:sz w:val="24"/>
              </w:rPr>
            </w:pPr>
            <w:r>
              <w:rPr>
                <w:b/>
                <w:sz w:val="24"/>
              </w:rPr>
              <w:t>2.1施工进场准备</w:t>
            </w:r>
          </w:p>
          <w:p w14:paraId="39548A87">
            <w:pPr>
              <w:adjustRightInd w:val="0"/>
              <w:snapToGrid w:val="0"/>
              <w:spacing w:line="480" w:lineRule="exact"/>
              <w:ind w:firstLine="480" w:firstLineChars="200"/>
              <w:rPr>
                <w:bCs/>
                <w:sz w:val="24"/>
              </w:rPr>
            </w:pPr>
            <w:r>
              <w:rPr>
                <w:bCs/>
                <w:sz w:val="24"/>
              </w:rPr>
              <w:t>首先要对场地进行清理，为相应施工机械、人员进入施工场地做准备。</w:t>
            </w:r>
          </w:p>
          <w:p w14:paraId="4E2B1BE0">
            <w:pPr>
              <w:adjustRightInd w:val="0"/>
              <w:snapToGrid w:val="0"/>
              <w:spacing w:line="480" w:lineRule="exact"/>
              <w:ind w:firstLine="480" w:firstLineChars="200"/>
              <w:rPr>
                <w:bCs/>
                <w:sz w:val="24"/>
              </w:rPr>
            </w:pPr>
            <w:r>
              <w:rPr>
                <w:bCs/>
                <w:sz w:val="24"/>
              </w:rPr>
              <w:t>地表清理：施工前进行施工区场地清理（如地表植被、腐殖土、垃圾以及其它有碍物），场地清理采用推土机推土，清除地表植被后剥离表土单独存放，用于后期复垦时回覆表土。</w:t>
            </w:r>
          </w:p>
          <w:p w14:paraId="27B05F2F">
            <w:pPr>
              <w:adjustRightInd w:val="0"/>
              <w:snapToGrid w:val="0"/>
              <w:spacing w:line="480" w:lineRule="exact"/>
              <w:rPr>
                <w:bCs/>
                <w:sz w:val="24"/>
              </w:rPr>
            </w:pPr>
            <w:r>
              <w:rPr>
                <w:b/>
                <w:sz w:val="24"/>
              </w:rPr>
              <w:t>2.2修建施工道路、吊装平台</w:t>
            </w:r>
          </w:p>
          <w:p w14:paraId="3A6FC3FD">
            <w:pPr>
              <w:adjustRightInd w:val="0"/>
              <w:snapToGrid w:val="0"/>
              <w:spacing w:line="480" w:lineRule="exact"/>
              <w:ind w:firstLine="480" w:firstLineChars="200"/>
              <w:rPr>
                <w:bCs/>
                <w:sz w:val="24"/>
              </w:rPr>
            </w:pPr>
            <w:r>
              <w:rPr>
                <w:bCs/>
                <w:sz w:val="24"/>
              </w:rPr>
              <w:t>为满足施工机械、运输车辆以及安装阶段大型起吊机械和超长超宽平板拖车的通行，风电场内修建施工道路，主要利用现有田间机耕路进行提升改造，道路路基为原土平整夯实或回填土夯实，路基标高根据地面自然地坪标高确定。部分风机机位处无现状道路，需新建道路。道路施工过程为：表层清理→路床开挖→碎石铺筑、碾压夯实。新建道路运营期作为运维道路使用。</w:t>
            </w:r>
            <w:r>
              <w:rPr>
                <w:sz w:val="24"/>
              </w:rPr>
              <w:t>升压站进站道路由南侧公路引接，引接长度约50m，路面宽5m，两侧各设0.25m路肩，采用水泥混凝土路面，道路等级为四级道路，道路最小转弯半径不小于15m。</w:t>
            </w:r>
          </w:p>
          <w:p w14:paraId="0F2A9574">
            <w:pPr>
              <w:adjustRightInd w:val="0"/>
              <w:snapToGrid w:val="0"/>
              <w:spacing w:line="480" w:lineRule="exact"/>
              <w:ind w:firstLine="480" w:firstLineChars="200"/>
              <w:rPr>
                <w:bCs/>
                <w:sz w:val="24"/>
              </w:rPr>
            </w:pPr>
            <w:r>
              <w:rPr>
                <w:bCs/>
                <w:sz w:val="24"/>
              </w:rPr>
              <w:t>为满足风电机组打桩（钻孔灌注桩）、基础浇筑以及风电机组吊装等施工阶段施工材料临时堆放、施工车辆和设备停放的需要，本项目在各机位处就近设置吊装平台，每个吊装平台占地约3000m</w:t>
            </w:r>
            <w:r>
              <w:rPr>
                <w:bCs/>
                <w:sz w:val="24"/>
                <w:vertAlign w:val="superscript"/>
              </w:rPr>
              <w:t>2</w:t>
            </w:r>
            <w:r>
              <w:rPr>
                <w:bCs/>
                <w:sz w:val="24"/>
              </w:rPr>
              <w:t>。吊装平台施工时采用大型机械开挖平整，吊装场地及施工临建区域基层为原土平整夯实或回填土夯实，局部土质较差时可用碎石碾压换填，基层标高根据地面自然地坪标高确定。为减少临时占地面积，在不影响道路畅通的情况下，利用施工道路作为吊装平台的一部分，衔接处平稳过渡，不能出现明显的高低差。施工结束后恢复至原状。</w:t>
            </w:r>
          </w:p>
          <w:p w14:paraId="438B5F64">
            <w:pPr>
              <w:adjustRightInd w:val="0"/>
              <w:snapToGrid w:val="0"/>
              <w:spacing w:line="480" w:lineRule="exact"/>
              <w:ind w:firstLine="480" w:firstLineChars="200"/>
              <w:rPr>
                <w:bCs/>
                <w:sz w:val="24"/>
              </w:rPr>
            </w:pPr>
            <w:r>
              <w:rPr>
                <w:bCs/>
                <w:sz w:val="24"/>
              </w:rPr>
              <w:t>本项目机位占地涉及坑塘水面、沟渠、果园、设施农用地、旱地、水田、农村道路，受现场地形条件限制，占用果园、设施农用地、旱地、农村道路区域仅需进行场地平整，保存表土；占用坑塘水面、沟渠、水田等区域需先排水，然后垫高至地面。施工期结束后进行恢复。</w:t>
            </w:r>
          </w:p>
          <w:p w14:paraId="487D1DBF">
            <w:pPr>
              <w:adjustRightInd w:val="0"/>
              <w:snapToGrid w:val="0"/>
              <w:spacing w:line="480" w:lineRule="exact"/>
              <w:rPr>
                <w:bCs/>
                <w:sz w:val="24"/>
              </w:rPr>
            </w:pPr>
            <w:r>
              <w:rPr>
                <w:b/>
                <w:sz w:val="24"/>
              </w:rPr>
              <w:t>2.3风电机组工程</w:t>
            </w:r>
          </w:p>
          <w:p w14:paraId="48F28870">
            <w:pPr>
              <w:adjustRightInd w:val="0"/>
              <w:snapToGrid w:val="0"/>
              <w:spacing w:line="480" w:lineRule="exact"/>
              <w:ind w:firstLine="480" w:firstLineChars="200"/>
              <w:rPr>
                <w:bCs/>
                <w:sz w:val="24"/>
              </w:rPr>
            </w:pPr>
            <w:r>
              <w:rPr>
                <w:bCs/>
                <w:sz w:val="24"/>
              </w:rPr>
              <w:t>风电机组施工工程按作业性质可以分为下列几个阶段：机组基础施工，机组安装，机舱安装，叶片安装，最后投入运行使用。</w:t>
            </w:r>
            <w:r>
              <w:rPr>
                <w:bCs/>
                <w:snapToGrid w:val="0"/>
                <w:sz w:val="24"/>
              </w:rPr>
              <w:t>塔架</w:t>
            </w:r>
            <w:r>
              <w:rPr>
                <w:rFonts w:hint="eastAsia"/>
                <w:bCs/>
                <w:snapToGrid w:val="0"/>
                <w:sz w:val="24"/>
              </w:rPr>
              <w:t>、叶片等均由特种车辆运输进场，不属于本项目评价范围。</w:t>
            </w:r>
          </w:p>
          <w:p w14:paraId="76DA1D21">
            <w:pPr>
              <w:pStyle w:val="43"/>
              <w:spacing w:line="480" w:lineRule="exact"/>
              <w:ind w:firstLine="480" w:firstLineChars="200"/>
              <w:rPr>
                <w:rFonts w:ascii="Times New Roman" w:hAnsi="Times New Roman" w:eastAsia="宋体"/>
                <w:bCs/>
                <w:sz w:val="24"/>
                <w:szCs w:val="24"/>
              </w:rPr>
            </w:pPr>
            <w:r>
              <w:rPr>
                <w:rFonts w:ascii="Times New Roman" w:hAnsi="Times New Roman" w:eastAsia="宋体"/>
                <w:bCs/>
                <w:sz w:val="24"/>
                <w:szCs w:val="24"/>
              </w:rPr>
              <w:drawing>
                <wp:anchor distT="0" distB="0" distL="114300" distR="114300" simplePos="0" relativeHeight="251660288" behindDoc="0" locked="0" layoutInCell="1" allowOverlap="1">
                  <wp:simplePos x="0" y="0"/>
                  <wp:positionH relativeFrom="column">
                    <wp:posOffset>448945</wp:posOffset>
                  </wp:positionH>
                  <wp:positionV relativeFrom="paragraph">
                    <wp:posOffset>13335</wp:posOffset>
                  </wp:positionV>
                  <wp:extent cx="4924425" cy="1177290"/>
                  <wp:effectExtent l="19050" t="0" r="952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srcRect/>
                          <a:stretch>
                            <a:fillRect/>
                          </a:stretch>
                        </pic:blipFill>
                        <pic:spPr>
                          <a:xfrm>
                            <a:off x="0" y="0"/>
                            <a:ext cx="4924425" cy="1177290"/>
                          </a:xfrm>
                          <a:prstGeom prst="rect">
                            <a:avLst/>
                          </a:prstGeom>
                          <a:noFill/>
                          <a:ln w="9525">
                            <a:noFill/>
                            <a:miter lim="800000"/>
                            <a:headEnd/>
                            <a:tailEnd/>
                          </a:ln>
                        </pic:spPr>
                      </pic:pic>
                    </a:graphicData>
                  </a:graphic>
                </wp:anchor>
              </w:drawing>
            </w:r>
          </w:p>
          <w:p w14:paraId="6FABD07F">
            <w:pPr>
              <w:pStyle w:val="43"/>
              <w:spacing w:line="480" w:lineRule="exact"/>
              <w:ind w:firstLine="480" w:firstLineChars="200"/>
              <w:rPr>
                <w:rFonts w:ascii="Times New Roman" w:hAnsi="Times New Roman" w:eastAsia="宋体"/>
                <w:bCs/>
                <w:sz w:val="24"/>
                <w:szCs w:val="24"/>
              </w:rPr>
            </w:pPr>
          </w:p>
          <w:p w14:paraId="5457B522">
            <w:pPr>
              <w:pStyle w:val="43"/>
              <w:spacing w:line="480" w:lineRule="exact"/>
              <w:ind w:firstLine="480" w:firstLineChars="200"/>
              <w:rPr>
                <w:rFonts w:ascii="Times New Roman" w:hAnsi="Times New Roman" w:eastAsia="宋体"/>
                <w:bCs/>
                <w:sz w:val="24"/>
                <w:szCs w:val="24"/>
              </w:rPr>
            </w:pPr>
          </w:p>
          <w:p w14:paraId="3F8E7DD1">
            <w:pPr>
              <w:pStyle w:val="43"/>
              <w:spacing w:line="480" w:lineRule="exact"/>
              <w:ind w:firstLine="480" w:firstLineChars="200"/>
              <w:rPr>
                <w:rFonts w:ascii="Times New Roman" w:hAnsi="Times New Roman" w:eastAsia="宋体"/>
                <w:bCs/>
                <w:sz w:val="24"/>
                <w:szCs w:val="24"/>
              </w:rPr>
            </w:pPr>
          </w:p>
          <w:p w14:paraId="13810731">
            <w:pPr>
              <w:pStyle w:val="42"/>
              <w:spacing w:after="0" w:line="480" w:lineRule="exact"/>
              <w:ind w:left="0" w:leftChars="0" w:firstLine="422"/>
              <w:jc w:val="center"/>
              <w:rPr>
                <w:rFonts w:ascii="Times New Roman" w:hAnsi="Times New Roman" w:eastAsia="宋体"/>
                <w:bCs/>
              </w:rPr>
            </w:pPr>
            <w:r>
              <w:rPr>
                <w:rFonts w:ascii="Times New Roman" w:hAnsi="Times New Roman" w:eastAsia="宋体"/>
                <w:b/>
                <w:sz w:val="21"/>
                <w:szCs w:val="21"/>
              </w:rPr>
              <w:t>图2-6   风电机组施工工艺流程图</w:t>
            </w:r>
          </w:p>
          <w:p w14:paraId="0B5A0D0C">
            <w:pPr>
              <w:snapToGrid w:val="0"/>
              <w:spacing w:line="480" w:lineRule="exact"/>
              <w:ind w:firstLine="482" w:firstLineChars="200"/>
              <w:rPr>
                <w:b/>
                <w:snapToGrid w:val="0"/>
                <w:sz w:val="24"/>
              </w:rPr>
            </w:pPr>
            <w:r>
              <w:rPr>
                <w:b/>
                <w:snapToGrid w:val="0"/>
                <w:sz w:val="24"/>
              </w:rPr>
              <w:t>（1）机组基础施工</w:t>
            </w:r>
          </w:p>
          <w:p w14:paraId="43C96492">
            <w:pPr>
              <w:snapToGrid w:val="0"/>
              <w:spacing w:line="480" w:lineRule="exact"/>
              <w:ind w:firstLine="480" w:firstLineChars="200"/>
              <w:rPr>
                <w:bCs/>
                <w:snapToGrid w:val="0"/>
                <w:sz w:val="24"/>
              </w:rPr>
            </w:pPr>
            <w:r>
              <w:rPr>
                <w:bCs/>
                <w:snapToGrid w:val="0"/>
                <w:sz w:val="24"/>
              </w:rPr>
              <w:t>基础施工包括：基坑开挖、桩基施工、钢筋绑扎、预应力钢绞线保护管安装、基础混凝土浇筑、土石方回填。</w:t>
            </w:r>
          </w:p>
          <w:p w14:paraId="47321CF3">
            <w:pPr>
              <w:snapToGrid w:val="0"/>
              <w:spacing w:line="480" w:lineRule="exact"/>
              <w:ind w:firstLine="480" w:firstLineChars="200"/>
              <w:rPr>
                <w:bCs/>
                <w:snapToGrid w:val="0"/>
                <w:sz w:val="24"/>
              </w:rPr>
            </w:pPr>
            <w:r>
              <w:rPr>
                <w:bCs/>
                <w:snapToGrid w:val="0"/>
                <w:sz w:val="24"/>
              </w:rPr>
              <w:t>1）基坑开挖</w:t>
            </w:r>
          </w:p>
          <w:p w14:paraId="3B29980B">
            <w:pPr>
              <w:snapToGrid w:val="0"/>
              <w:spacing w:line="480" w:lineRule="exact"/>
              <w:ind w:firstLine="480" w:firstLineChars="200"/>
              <w:rPr>
                <w:bCs/>
                <w:snapToGrid w:val="0"/>
                <w:sz w:val="24"/>
              </w:rPr>
            </w:pPr>
            <w:r>
              <w:rPr>
                <w:bCs/>
                <w:snapToGrid w:val="0"/>
                <w:sz w:val="24"/>
              </w:rPr>
              <w:t>基坑开挖时，对土石方开挖应采用小型挖掘机，并辅以人工修正基坑边坡的方式进行开挖。由于基础开挖面积较大，应根据每台挖土机的挖土范围、交通流量布置挖土作业面和相应数量的运输车辆。开挖作业采用挖掘机配合装载机开挖，沿坑槽周边堆放，部分土石方装自卸汽车运输用于整理场地，人工修整开挖边坡。为防止机械挖土扰动原土，挖至设计标高上方300mm时停止机械挖土，采用人工进行基槽清理，为浇注混凝土垫层做准备。开挖完工后，应清理干净，进行基槽验收，验收后应视不同情况分别采取措施进行必要的处理。开挖出的土方除在基坑附近预留足够回填土外，多余的土方则用于修筑检修道路或回填场坪使用</w:t>
            </w:r>
            <w:r>
              <w:rPr>
                <w:rFonts w:hint="eastAsia"/>
                <w:bCs/>
                <w:snapToGrid w:val="0"/>
                <w:sz w:val="24"/>
              </w:rPr>
              <w:t>；</w:t>
            </w:r>
            <w:r>
              <w:rPr>
                <w:bCs/>
                <w:snapToGrid w:val="0"/>
                <w:sz w:val="24"/>
              </w:rPr>
              <w:t>清理的淤泥委托许可单位运送至相关管理部门指定地点处理</w:t>
            </w:r>
            <w:r>
              <w:rPr>
                <w:rFonts w:hint="eastAsia"/>
                <w:bCs/>
                <w:snapToGrid w:val="0"/>
                <w:sz w:val="24"/>
              </w:rPr>
              <w:t>。</w:t>
            </w:r>
          </w:p>
          <w:p w14:paraId="05A814FF">
            <w:pPr>
              <w:snapToGrid w:val="0"/>
              <w:spacing w:line="480" w:lineRule="exact"/>
              <w:ind w:firstLine="480" w:firstLineChars="200"/>
              <w:rPr>
                <w:bCs/>
                <w:snapToGrid w:val="0"/>
                <w:sz w:val="24"/>
              </w:rPr>
            </w:pPr>
            <w:r>
              <w:rPr>
                <w:bCs/>
                <w:snapToGrid w:val="0"/>
                <w:sz w:val="24"/>
              </w:rPr>
              <w:t>挖土施工应尽量避开雨季，施工应做好防雨排水措施，防止由于雨水过大将基础泡糟，影响施工进度和施工质量。</w:t>
            </w:r>
          </w:p>
          <w:p w14:paraId="3281BE57">
            <w:pPr>
              <w:snapToGrid w:val="0"/>
              <w:spacing w:line="480" w:lineRule="exact"/>
              <w:ind w:firstLine="480" w:firstLineChars="200"/>
              <w:rPr>
                <w:bCs/>
                <w:snapToGrid w:val="0"/>
                <w:sz w:val="24"/>
              </w:rPr>
            </w:pPr>
            <w:r>
              <w:rPr>
                <w:bCs/>
                <w:snapToGrid w:val="0"/>
                <w:sz w:val="24"/>
              </w:rPr>
              <w:t>2）桩基施工</w:t>
            </w:r>
          </w:p>
          <w:p w14:paraId="7E042372">
            <w:pPr>
              <w:snapToGrid w:val="0"/>
              <w:spacing w:line="480" w:lineRule="exact"/>
              <w:ind w:firstLine="480" w:firstLineChars="200"/>
              <w:rPr>
                <w:bCs/>
                <w:snapToGrid w:val="0"/>
                <w:sz w:val="24"/>
              </w:rPr>
            </w:pPr>
            <w:r>
              <w:rPr>
                <w:bCs/>
                <w:snapToGrid w:val="0"/>
                <w:sz w:val="24"/>
              </w:rPr>
              <w:t>风机基础桩基采用灌注桩。在已平整好的场地上准确放样出桩位中心点，然后在测定桩位上吊放钢护筒；采用钻机造孔，按设计要求成孔，泥浆护壁并随时检查浆液比重是否符合设计或技术规范的规定；成孔后吊装钢筋笼，而后进行混凝土浆液灌注；灌注混凝土达到设计强度后，方可拆除护筒。最后经过验收单位验收后才可进行下一道工序的施工。</w:t>
            </w:r>
          </w:p>
          <w:p w14:paraId="69AB551A">
            <w:pPr>
              <w:snapToGrid w:val="0"/>
              <w:spacing w:line="480" w:lineRule="exact"/>
              <w:ind w:firstLine="480" w:firstLineChars="200"/>
              <w:rPr>
                <w:bCs/>
                <w:snapToGrid w:val="0"/>
                <w:sz w:val="24"/>
              </w:rPr>
            </w:pPr>
            <w:r>
              <w:rPr>
                <w:bCs/>
                <w:snapToGrid w:val="0"/>
                <w:sz w:val="24"/>
              </w:rPr>
              <w:t>桩基总体施工流程为：放线测量→基础中心定位→桩孔制作→钢筋笼放置→混凝土浇筑→混凝土养护。</w:t>
            </w:r>
          </w:p>
          <w:p w14:paraId="24443C50">
            <w:pPr>
              <w:snapToGrid w:val="0"/>
              <w:spacing w:line="480" w:lineRule="exact"/>
              <w:ind w:firstLine="480" w:firstLineChars="200"/>
              <w:rPr>
                <w:bCs/>
                <w:snapToGrid w:val="0"/>
                <w:sz w:val="24"/>
              </w:rPr>
            </w:pPr>
            <w:r>
              <w:rPr>
                <w:bCs/>
                <w:snapToGrid w:val="0"/>
                <w:sz w:val="24"/>
              </w:rPr>
              <w:t>基础钻孔时，采用螺旋钻杆式钻孔机，钻孔深度一般应大于设计深度20cm，以便在钻杆拔出时会有部分塌孔和钻杆上的土方掉落孔底后孔深仍能保证设计深度。</w:t>
            </w:r>
            <w:r>
              <w:rPr>
                <w:rFonts w:hint="eastAsia"/>
                <w:sz w:val="24"/>
              </w:rPr>
              <w:t>本项目在临近风电机组基础的吊装平台上设置泥浆循环池，泥浆循环使用。打桩结束后，剩余的泥浆交由有资质单位采用罐车运送至相关管理部门指定地点处理，产生的泥渣</w:t>
            </w:r>
            <w:r>
              <w:rPr>
                <w:bCs/>
                <w:snapToGrid w:val="0"/>
                <w:sz w:val="24"/>
              </w:rPr>
              <w:t>用于修筑检修道路或回填场坪使用</w:t>
            </w:r>
            <w:r>
              <w:rPr>
                <w:rFonts w:hint="eastAsia"/>
                <w:sz w:val="24"/>
              </w:rPr>
              <w:t>。</w:t>
            </w:r>
          </w:p>
          <w:p w14:paraId="27DDAED1">
            <w:pPr>
              <w:snapToGrid w:val="0"/>
              <w:spacing w:line="480" w:lineRule="exact"/>
              <w:ind w:firstLine="480" w:firstLineChars="200"/>
              <w:rPr>
                <w:bCs/>
                <w:snapToGrid w:val="0"/>
                <w:sz w:val="24"/>
              </w:rPr>
            </w:pPr>
            <w:r>
              <w:rPr>
                <w:bCs/>
                <w:snapToGrid w:val="0"/>
                <w:sz w:val="24"/>
              </w:rPr>
              <w:t xml:space="preserve">3）钢筋绑扎 </w:t>
            </w:r>
          </w:p>
          <w:p w14:paraId="7B97B0E2">
            <w:pPr>
              <w:snapToGrid w:val="0"/>
              <w:spacing w:line="480" w:lineRule="exact"/>
              <w:ind w:firstLine="480" w:firstLineChars="200"/>
              <w:rPr>
                <w:bCs/>
                <w:snapToGrid w:val="0"/>
                <w:sz w:val="24"/>
              </w:rPr>
            </w:pPr>
            <w:r>
              <w:rPr>
                <w:bCs/>
                <w:snapToGrid w:val="0"/>
                <w:sz w:val="24"/>
              </w:rPr>
              <w:t>根据施工图要求摆放钢筋并绑扎，施工顺序为基础底面钢筋、锚栓笼竖向钢筋、基础顶面钢筋和其余箍筋。</w:t>
            </w:r>
          </w:p>
          <w:p w14:paraId="1B4AB442">
            <w:pPr>
              <w:snapToGrid w:val="0"/>
              <w:spacing w:line="480" w:lineRule="exact"/>
              <w:ind w:firstLine="480" w:firstLineChars="200"/>
              <w:rPr>
                <w:bCs/>
                <w:snapToGrid w:val="0"/>
                <w:sz w:val="24"/>
              </w:rPr>
            </w:pPr>
            <w:r>
              <w:rPr>
                <w:bCs/>
                <w:snapToGrid w:val="0"/>
                <w:sz w:val="24"/>
              </w:rPr>
              <w:t>4）预应力钢绞线保护管流程：</w:t>
            </w:r>
          </w:p>
          <w:p w14:paraId="66F54F43">
            <w:pPr>
              <w:snapToGrid w:val="0"/>
              <w:spacing w:line="480" w:lineRule="exact"/>
              <w:ind w:firstLine="480" w:firstLineChars="200"/>
              <w:rPr>
                <w:bCs/>
                <w:snapToGrid w:val="0"/>
                <w:sz w:val="24"/>
              </w:rPr>
            </w:pPr>
            <w:r>
              <w:rPr>
                <w:bCs/>
                <w:snapToGrid w:val="0"/>
                <w:sz w:val="24"/>
              </w:rPr>
              <w:t>埋设锚点→保护管就位。</w:t>
            </w:r>
          </w:p>
          <w:p w14:paraId="5639E3EF">
            <w:pPr>
              <w:snapToGrid w:val="0"/>
              <w:spacing w:line="480" w:lineRule="exact"/>
              <w:ind w:firstLine="480" w:firstLineChars="200"/>
              <w:rPr>
                <w:bCs/>
                <w:snapToGrid w:val="0"/>
                <w:sz w:val="24"/>
              </w:rPr>
            </w:pPr>
            <w:r>
              <w:rPr>
                <w:bCs/>
                <w:snapToGrid w:val="0"/>
                <w:sz w:val="24"/>
              </w:rPr>
              <w:t>预应力钢绞线安装应遵循厂家的安装规范要求。</w:t>
            </w:r>
          </w:p>
          <w:p w14:paraId="6A99202D">
            <w:pPr>
              <w:snapToGrid w:val="0"/>
              <w:spacing w:line="480" w:lineRule="exact"/>
              <w:ind w:firstLine="480" w:firstLineChars="200"/>
              <w:rPr>
                <w:bCs/>
                <w:snapToGrid w:val="0"/>
                <w:sz w:val="24"/>
              </w:rPr>
            </w:pPr>
            <w:r>
              <w:rPr>
                <w:bCs/>
                <w:snapToGrid w:val="0"/>
                <w:sz w:val="24"/>
              </w:rPr>
              <w:t>5）基础混凝土浇筑</w:t>
            </w:r>
          </w:p>
          <w:p w14:paraId="42B7B483">
            <w:pPr>
              <w:snapToGrid w:val="0"/>
              <w:spacing w:line="480" w:lineRule="exact"/>
              <w:ind w:firstLine="480" w:firstLineChars="200"/>
              <w:rPr>
                <w:bCs/>
                <w:snapToGrid w:val="0"/>
                <w:sz w:val="24"/>
              </w:rPr>
            </w:pPr>
            <w:r>
              <w:rPr>
                <w:bCs/>
                <w:snapToGrid w:val="0"/>
                <w:sz w:val="24"/>
              </w:rPr>
              <w:t>基坑开挖验收后，首先应对底面进行洒水、夯实和找平，再浇筑200mm 厚度的C15混凝土垫层，垫层混凝土应一次浇筑完毕。待垫层混凝土凝固后，再进行钢筋绑扎、模板架设和浇筑C40承台混凝土，施工时应严格按照设计图纸控制基础尺寸和钢筋的布置。承台混凝土必须一次浇筑完毕，浇筑采用分层、分段连续浇筑，每层厚度应不超过300mm，不允许有施工接缝。施工结束后混凝土表面立即遮盖养护，防止表面出现裂缝。</w:t>
            </w:r>
          </w:p>
          <w:p w14:paraId="3C97A23D">
            <w:pPr>
              <w:snapToGrid w:val="0"/>
              <w:spacing w:line="480" w:lineRule="exact"/>
              <w:ind w:firstLine="480" w:firstLineChars="200"/>
              <w:rPr>
                <w:bCs/>
                <w:snapToGrid w:val="0"/>
                <w:sz w:val="24"/>
              </w:rPr>
            </w:pPr>
            <w:r>
              <w:rPr>
                <w:bCs/>
                <w:snapToGrid w:val="0"/>
                <w:sz w:val="24"/>
              </w:rPr>
              <w:t>混凝土浇筑采用商品混凝土，通过泵送入仓，采用插入式振捣器振捣。混凝土施工中应用测量仪器经常测量，以确保基础埋筒的上法兰平整度为±凝土搅的精度要求。在混凝土施工过程中，降雨时不宜浇筑混凝土，并尽量避免冬季施工，若确需在冬季施工，应考虑使用热水拌和、掺用混凝土防冻剂和对混凝土进行保温等措施。混凝土浇筑后须进行表面洒水保湿养护14天。</w:t>
            </w:r>
          </w:p>
          <w:p w14:paraId="1A226675">
            <w:pPr>
              <w:snapToGrid w:val="0"/>
              <w:spacing w:line="480" w:lineRule="exact"/>
              <w:ind w:firstLine="480" w:firstLineChars="200"/>
              <w:rPr>
                <w:bCs/>
                <w:snapToGrid w:val="0"/>
                <w:sz w:val="24"/>
              </w:rPr>
            </w:pPr>
            <w:r>
              <w:rPr>
                <w:bCs/>
                <w:snapToGrid w:val="0"/>
                <w:sz w:val="24"/>
              </w:rPr>
              <w:t>为保证混凝土浇筑质量，应对浇筑时的</w:t>
            </w:r>
            <w:r>
              <w:rPr>
                <w:rFonts w:hint="eastAsia"/>
                <w:bCs/>
                <w:snapToGrid w:val="0"/>
                <w:sz w:val="24"/>
                <w:lang w:eastAsia="zh-CN"/>
              </w:rPr>
              <w:t>混凝土浇筑</w:t>
            </w:r>
            <w:r>
              <w:rPr>
                <w:bCs/>
                <w:snapToGrid w:val="0"/>
                <w:sz w:val="24"/>
              </w:rPr>
              <w:t>温度进行严格的监控，防止由于混凝土内外温差超限产生裂缝，可采取以下技术措施：</w:t>
            </w:r>
          </w:p>
          <w:p w14:paraId="23540221">
            <w:pPr>
              <w:snapToGrid w:val="0"/>
              <w:spacing w:line="480" w:lineRule="exact"/>
              <w:ind w:firstLine="480" w:firstLineChars="200"/>
              <w:rPr>
                <w:bCs/>
                <w:snapToGrid w:val="0"/>
                <w:sz w:val="24"/>
              </w:rPr>
            </w:pPr>
            <w:r>
              <w:rPr>
                <w:bCs/>
                <w:snapToGrid w:val="0"/>
                <w:sz w:val="24"/>
              </w:rPr>
              <w:t>优先选用低水化热的矿渣水泥拌制混凝土，并适当使用缓凝减水剂；布设冷却水管，采用循环水降低混凝土内部温度；</w:t>
            </w:r>
          </w:p>
          <w:p w14:paraId="2E4A77B1">
            <w:pPr>
              <w:snapToGrid w:val="0"/>
              <w:spacing w:line="480" w:lineRule="exact"/>
              <w:ind w:firstLine="480" w:firstLineChars="200"/>
              <w:rPr>
                <w:bCs/>
                <w:snapToGrid w:val="0"/>
                <w:sz w:val="24"/>
              </w:rPr>
            </w:pPr>
            <w:r>
              <w:rPr>
                <w:bCs/>
                <w:snapToGrid w:val="0"/>
                <w:sz w:val="24"/>
              </w:rPr>
              <w:t>保证有足够的混凝土输送罐车和混凝土输送泵车（或混凝土输送泵），保证浇筑能够连续施工；</w:t>
            </w:r>
          </w:p>
          <w:p w14:paraId="0131DFE7">
            <w:pPr>
              <w:snapToGrid w:val="0"/>
              <w:spacing w:line="480" w:lineRule="exact"/>
              <w:ind w:firstLine="480" w:firstLineChars="200"/>
              <w:rPr>
                <w:bCs/>
                <w:snapToGrid w:val="0"/>
                <w:sz w:val="24"/>
              </w:rPr>
            </w:pPr>
            <w:r>
              <w:rPr>
                <w:bCs/>
                <w:snapToGrid w:val="0"/>
                <w:sz w:val="24"/>
              </w:rPr>
              <w:t>设置温度监控仪器，进行温度跟踪监测，将温差控制在允许范围之内；</w:t>
            </w:r>
          </w:p>
          <w:p w14:paraId="38A6A32D">
            <w:pPr>
              <w:snapToGrid w:val="0"/>
              <w:spacing w:line="480" w:lineRule="exact"/>
              <w:ind w:firstLine="480" w:firstLineChars="200"/>
              <w:rPr>
                <w:bCs/>
                <w:snapToGrid w:val="0"/>
                <w:sz w:val="24"/>
              </w:rPr>
            </w:pPr>
            <w:r>
              <w:rPr>
                <w:bCs/>
                <w:snapToGrid w:val="0"/>
                <w:sz w:val="24"/>
              </w:rPr>
              <w:t>夏季施工应降低水泥入模温度，控制混凝土内外温差，如可采取骨料用水冲洗降温，避免暴晒等。及时对混凝土覆盖保温、保湿材料</w:t>
            </w:r>
          </w:p>
          <w:p w14:paraId="14242586">
            <w:pPr>
              <w:snapToGrid w:val="0"/>
              <w:spacing w:line="480" w:lineRule="exact"/>
              <w:ind w:firstLine="480" w:firstLineChars="200"/>
              <w:rPr>
                <w:bCs/>
                <w:snapToGrid w:val="0"/>
                <w:sz w:val="24"/>
              </w:rPr>
            </w:pPr>
            <w:r>
              <w:rPr>
                <w:bCs/>
                <w:snapToGrid w:val="0"/>
                <w:sz w:val="24"/>
              </w:rPr>
              <w:t>6）基础土石方回填</w:t>
            </w:r>
          </w:p>
          <w:p w14:paraId="79B99A40">
            <w:pPr>
              <w:snapToGrid w:val="0"/>
              <w:spacing w:line="480" w:lineRule="exact"/>
              <w:ind w:firstLine="480" w:firstLineChars="200"/>
              <w:rPr>
                <w:bCs/>
                <w:snapToGrid w:val="0"/>
                <w:sz w:val="24"/>
              </w:rPr>
            </w:pPr>
            <w:r>
              <w:rPr>
                <w:bCs/>
                <w:snapToGrid w:val="0"/>
                <w:sz w:val="24"/>
              </w:rPr>
              <w:t>基础混凝土在达到7d强度后方可进行土石方回填，回填料要求干容重大于18kN/ m</w:t>
            </w:r>
            <w:r>
              <w:rPr>
                <w:bCs/>
                <w:snapToGrid w:val="0"/>
                <w:sz w:val="24"/>
                <w:vertAlign w:val="superscript"/>
              </w:rPr>
              <w:t>3</w:t>
            </w:r>
            <w:r>
              <w:rPr>
                <w:bCs/>
                <w:snapToGrid w:val="0"/>
                <w:sz w:val="24"/>
              </w:rPr>
              <w:t>。回填时应分层回填、电动打夯机分层进行夯实，并预留沉降量。回填至风机基础顶面下100~300mm时向四周摊平。</w:t>
            </w:r>
          </w:p>
          <w:p w14:paraId="5C624DDB">
            <w:pPr>
              <w:snapToGrid w:val="0"/>
              <w:spacing w:line="480" w:lineRule="exact"/>
              <w:ind w:firstLine="482" w:firstLineChars="200"/>
              <w:rPr>
                <w:b/>
                <w:snapToGrid w:val="0"/>
                <w:sz w:val="24"/>
              </w:rPr>
            </w:pPr>
            <w:r>
              <w:rPr>
                <w:b/>
                <w:snapToGrid w:val="0"/>
                <w:sz w:val="24"/>
              </w:rPr>
              <w:t>（2）机组安装</w:t>
            </w:r>
          </w:p>
          <w:p w14:paraId="4AFA56C3">
            <w:pPr>
              <w:snapToGrid w:val="0"/>
              <w:spacing w:line="480" w:lineRule="exact"/>
              <w:ind w:firstLine="480" w:firstLineChars="200"/>
              <w:rPr>
                <w:bCs/>
                <w:snapToGrid w:val="0"/>
                <w:sz w:val="24"/>
              </w:rPr>
            </w:pPr>
            <w:r>
              <w:rPr>
                <w:bCs/>
                <w:snapToGrid w:val="0"/>
                <w:sz w:val="24"/>
              </w:rPr>
              <w:t>1）风机设备吊装总体部署</w:t>
            </w:r>
          </w:p>
          <w:p w14:paraId="32DCE3DE">
            <w:pPr>
              <w:snapToGrid w:val="0"/>
              <w:spacing w:line="480" w:lineRule="exact"/>
              <w:ind w:firstLine="480" w:firstLineChars="200"/>
              <w:rPr>
                <w:bCs/>
                <w:snapToGrid w:val="0"/>
                <w:sz w:val="24"/>
              </w:rPr>
            </w:pPr>
            <w:r>
              <w:rPr>
                <w:bCs/>
                <w:snapToGrid w:val="0"/>
                <w:sz w:val="24"/>
              </w:rPr>
              <w:t>根据风电场每个风机点位的具体地形条件及机位位置条件，每个风机点位设置有面积约为3000m</w:t>
            </w:r>
            <w:r>
              <w:rPr>
                <w:bCs/>
                <w:snapToGrid w:val="0"/>
                <w:sz w:val="24"/>
                <w:vertAlign w:val="superscript"/>
              </w:rPr>
              <w:t>2</w:t>
            </w:r>
            <w:r>
              <w:rPr>
                <w:bCs/>
                <w:snapToGrid w:val="0"/>
                <w:sz w:val="24"/>
              </w:rPr>
              <w:t>左右的吊装平台；风机基础及箱变基础避免坐落在吊装平台中心位置，利用吊装时设备对方及吊车站位。</w:t>
            </w:r>
          </w:p>
          <w:p w14:paraId="14A61C7E">
            <w:pPr>
              <w:snapToGrid w:val="0"/>
              <w:spacing w:line="480" w:lineRule="exact"/>
              <w:ind w:firstLine="480" w:firstLineChars="200"/>
              <w:rPr>
                <w:bCs/>
                <w:snapToGrid w:val="0"/>
                <w:sz w:val="24"/>
              </w:rPr>
            </w:pPr>
            <w:r>
              <w:rPr>
                <w:bCs/>
                <w:snapToGrid w:val="0"/>
                <w:sz w:val="24"/>
              </w:rPr>
              <w:t>结合本工程设备吊装重量及起吊高度，本工程采用1600t履带式主吊作为风机及塔架的主力吊装机械，1台200t汽车式起重机和2台100t汽车式起重机作为辅助机械，另外，还需配备1~2台5t的卡车吊车，用于在设备安装期间风场内搬运设备附件和重型工具。</w:t>
            </w:r>
          </w:p>
          <w:p w14:paraId="30C5DABB">
            <w:pPr>
              <w:snapToGrid w:val="0"/>
              <w:spacing w:line="480" w:lineRule="exact"/>
              <w:ind w:firstLine="480" w:firstLineChars="200"/>
              <w:rPr>
                <w:bCs/>
                <w:snapToGrid w:val="0"/>
                <w:sz w:val="24"/>
              </w:rPr>
            </w:pPr>
            <w:r>
              <w:rPr>
                <w:bCs/>
                <w:snapToGrid w:val="0"/>
                <w:sz w:val="24"/>
              </w:rPr>
              <w:t>风机设备安装采用组合与散装相结合的施工方案，总体安装顺序如下：</w:t>
            </w:r>
          </w:p>
          <w:p w14:paraId="41F0EE05">
            <w:pPr>
              <w:snapToGrid w:val="0"/>
              <w:spacing w:line="480" w:lineRule="exact"/>
              <w:ind w:firstLine="480" w:firstLineChars="200"/>
              <w:rPr>
                <w:bCs/>
                <w:snapToGrid w:val="0"/>
                <w:sz w:val="24"/>
              </w:rPr>
            </w:pPr>
            <w:r>
              <w:rPr>
                <w:bCs/>
                <w:snapToGrid w:val="0"/>
                <w:sz w:val="24"/>
              </w:rPr>
              <w:t>塔架混塔段吊装→塔架钢塔段吊装→机舱吊装→叶轮组合→叶轮组件吊装。</w:t>
            </w:r>
          </w:p>
          <w:p w14:paraId="7ED21F69">
            <w:pPr>
              <w:snapToGrid w:val="0"/>
              <w:spacing w:line="480" w:lineRule="exact"/>
              <w:ind w:firstLine="480" w:firstLineChars="200"/>
              <w:rPr>
                <w:bCs/>
                <w:snapToGrid w:val="0"/>
                <w:sz w:val="24"/>
              </w:rPr>
            </w:pPr>
            <w:r>
              <w:rPr>
                <w:bCs/>
                <w:snapToGrid w:val="0"/>
                <w:sz w:val="24"/>
              </w:rPr>
              <w:t>2）塔架安装</w:t>
            </w:r>
          </w:p>
          <w:p w14:paraId="022A5074">
            <w:pPr>
              <w:snapToGrid w:val="0"/>
              <w:spacing w:line="480" w:lineRule="exact"/>
              <w:ind w:firstLine="480" w:firstLineChars="200"/>
              <w:rPr>
                <w:bCs/>
                <w:snapToGrid w:val="0"/>
                <w:sz w:val="24"/>
              </w:rPr>
            </w:pPr>
            <w:r>
              <w:rPr>
                <w:bCs/>
                <w:snapToGrid w:val="0"/>
                <w:sz w:val="24"/>
              </w:rPr>
              <w:t>塔筒由混塔及钢塔两部分组成，混塔段有四部分组成，钢塔段由三部分组成，混塔段及钢塔段之间用转阶段连接。混塔段在预制厂家制作完成后运输至现场进行吊装。塔筒分段运输至现场后，在现场将塔筒内的配件安装后，方可进行塔筒吊装。在现场保存时应注意放置于硬木上，并防止其滚动，存放场地应尽可能平整无斜坡。必须在现场检查塔筒及其配件在运输中是否损坏，任何外表的损伤都应立即修补。在塔筒安装前还应清除法兰上的尘土及浇筑混凝土的剩余物，尤其是法兰及各连接部位，不允许有任何锈蚀存在。</w:t>
            </w:r>
          </w:p>
          <w:p w14:paraId="1F416725">
            <w:pPr>
              <w:snapToGrid w:val="0"/>
              <w:spacing w:line="480" w:lineRule="exact"/>
              <w:ind w:firstLine="480" w:firstLineChars="200"/>
              <w:rPr>
                <w:bCs/>
                <w:snapToGrid w:val="0"/>
                <w:sz w:val="24"/>
              </w:rPr>
            </w:pPr>
            <w:r>
              <w:rPr>
                <w:bCs/>
                <w:snapToGrid w:val="0"/>
                <w:sz w:val="24"/>
              </w:rPr>
              <w:t>基础混凝土终凝后，在塔筒安装前检查基座，采用水准仪校正基座的平整度，确保在整个安装过程中的施工安全及施工质量。设备吊装高度处，吊装塔筒时最高风速小于12m/s。</w:t>
            </w:r>
          </w:p>
          <w:p w14:paraId="0B5B6FEB">
            <w:pPr>
              <w:snapToGrid w:val="0"/>
              <w:spacing w:line="480" w:lineRule="exact"/>
              <w:ind w:firstLine="480" w:firstLineChars="200"/>
              <w:rPr>
                <w:bCs/>
                <w:snapToGrid w:val="0"/>
                <w:sz w:val="24"/>
              </w:rPr>
            </w:pPr>
            <w:r>
              <w:rPr>
                <w:bCs/>
                <w:snapToGrid w:val="0"/>
                <w:sz w:val="24"/>
              </w:rPr>
              <w:t>用大型运输车辆将塔筒由临时存放场地运输到安装现场，摆放在吊车的旋转起吊半径范围内。塔筒的两端用方木垫起，并将塔筒的两侧固定好，防止塔筒发生滚动。塔架在吊装前，要将塔架内需布设的电缆及结构配件，全部安装在塔架内固定完毕才能吊装。混凝土塔筒安装前应先清理塔筒内外表面的灰尘，筒节就位时需满足最上方筒节与下方筒节同心，确保该段筒体上0°和90°两根弹线相对应。待安装筒节落位后，吊装人员需仔细观测塔筒对接面，如筒节为短线法预制且筒节垂直度满足要求时，用环氧结构胶均匀涂抹已吊装好的最上一段筒节顶端，打胶时要均匀混合，浆料要饱满并保持连续性；使用经纬仪测量外壁的垂直度，其垂直度满足设计要求，待各项数据测量合格后，三角吊梁可脱钩，施工平台可上移。</w:t>
            </w:r>
          </w:p>
          <w:p w14:paraId="3F84778D">
            <w:pPr>
              <w:snapToGrid w:val="0"/>
              <w:spacing w:line="480" w:lineRule="exact"/>
              <w:ind w:firstLine="480" w:firstLineChars="200"/>
              <w:rPr>
                <w:bCs/>
                <w:snapToGrid w:val="0"/>
                <w:sz w:val="24"/>
              </w:rPr>
            </w:pPr>
            <w:r>
              <w:rPr>
                <w:bCs/>
                <w:snapToGrid w:val="0"/>
                <w:sz w:val="24"/>
              </w:rPr>
              <w:t>钢塔架由三节组成，采用双吊车配合安装，塔筒分别由下至上逐节安装，调整好位置后，再将螺栓紧固。施工用主吊车为1600t</w:t>
            </w:r>
            <w:r>
              <w:rPr>
                <w:sz w:val="24"/>
              </w:rPr>
              <w:t>履带式主吊</w:t>
            </w:r>
            <w:r>
              <w:rPr>
                <w:bCs/>
                <w:snapToGrid w:val="0"/>
                <w:sz w:val="24"/>
              </w:rPr>
              <w:t>， 辅助吊车为100t、200t汽车吊；用辅助吊车吊住塔架的底法兰处，主吊车吊住塔架的上法兰处，两台吊车同时起钩离开地面30cm后，主吊车起钩并旋转大臂，当塔架起吊到垂直位置后，解除辅助吊车的钓钩，然后用主吊车将塔架就位、调平、紧固法兰连接螺栓，经检查无误后，松开主吊车钓钩及卸下吊具。整个安装工程必须严格按照生产厂家规范要求进行。</w:t>
            </w:r>
          </w:p>
          <w:p w14:paraId="0C5E04F2">
            <w:pPr>
              <w:snapToGrid w:val="0"/>
              <w:spacing w:line="480" w:lineRule="exact"/>
              <w:ind w:firstLine="480" w:firstLineChars="200"/>
              <w:rPr>
                <w:bCs/>
                <w:snapToGrid w:val="0"/>
                <w:sz w:val="24"/>
              </w:rPr>
            </w:pPr>
            <w:r>
              <w:rPr>
                <w:bCs/>
                <w:snapToGrid w:val="0"/>
                <w:sz w:val="24"/>
              </w:rPr>
              <w:t>3）机舱安装</w:t>
            </w:r>
          </w:p>
          <w:p w14:paraId="36E9D0F7">
            <w:pPr>
              <w:snapToGrid w:val="0"/>
              <w:spacing w:line="480" w:lineRule="exact"/>
              <w:ind w:firstLine="480" w:firstLineChars="200"/>
              <w:rPr>
                <w:bCs/>
                <w:snapToGrid w:val="0"/>
                <w:sz w:val="24"/>
              </w:rPr>
            </w:pPr>
            <w:r>
              <w:rPr>
                <w:bCs/>
                <w:snapToGrid w:val="0"/>
                <w:sz w:val="24"/>
              </w:rPr>
              <w:t>该项工作需用1600t汽车吊一台。</w:t>
            </w:r>
          </w:p>
          <w:p w14:paraId="07C15F80">
            <w:pPr>
              <w:snapToGrid w:val="0"/>
              <w:spacing w:line="480" w:lineRule="exact"/>
              <w:ind w:firstLine="480" w:firstLineChars="200"/>
              <w:rPr>
                <w:bCs/>
                <w:snapToGrid w:val="0"/>
                <w:sz w:val="24"/>
              </w:rPr>
            </w:pPr>
            <w:r>
              <w:rPr>
                <w:bCs/>
                <w:snapToGrid w:val="0"/>
                <w:sz w:val="24"/>
              </w:rPr>
              <w:t>i）将固定机舱和塔架的螺栓及固定叶轮的螺栓放置在机舱内。</w:t>
            </w:r>
          </w:p>
          <w:p w14:paraId="00A5E87B">
            <w:pPr>
              <w:snapToGrid w:val="0"/>
              <w:spacing w:line="480" w:lineRule="exact"/>
              <w:ind w:firstLine="480" w:firstLineChars="200"/>
              <w:rPr>
                <w:bCs/>
                <w:snapToGrid w:val="0"/>
                <w:sz w:val="24"/>
              </w:rPr>
            </w:pPr>
            <w:r>
              <w:rPr>
                <w:bCs/>
                <w:snapToGrid w:val="0"/>
                <w:sz w:val="24"/>
              </w:rPr>
              <w:t>ii）将机舱专用吊具安装在机舱的四个吊点上，挂上吊钩。</w:t>
            </w:r>
          </w:p>
          <w:p w14:paraId="54E83B46">
            <w:pPr>
              <w:snapToGrid w:val="0"/>
              <w:spacing w:line="480" w:lineRule="exact"/>
              <w:ind w:firstLine="480" w:firstLineChars="200"/>
              <w:rPr>
                <w:bCs/>
                <w:snapToGrid w:val="0"/>
                <w:sz w:val="24"/>
              </w:rPr>
            </w:pPr>
            <w:r>
              <w:rPr>
                <w:bCs/>
                <w:snapToGrid w:val="0"/>
                <w:sz w:val="24"/>
              </w:rPr>
              <w:t>iii）起吊机舱时机舱纵轴线应处于偏离主风向90°的位置，以便于叶轮的安装。</w:t>
            </w:r>
          </w:p>
          <w:p w14:paraId="466147A9">
            <w:pPr>
              <w:snapToGrid w:val="0"/>
              <w:spacing w:line="480" w:lineRule="exact"/>
              <w:ind w:firstLine="480" w:firstLineChars="200"/>
              <w:rPr>
                <w:bCs/>
                <w:snapToGrid w:val="0"/>
                <w:sz w:val="24"/>
              </w:rPr>
            </w:pPr>
            <w:r>
              <w:rPr>
                <w:bCs/>
                <w:snapToGrid w:val="0"/>
                <w:sz w:val="24"/>
              </w:rPr>
              <w:t>iv）使用汽车吊缓慢吊起机舱至上法兰约1厘米处，安装人员用导正棒调整机舱的相对位置，同时指挥吊车缓慢下落机舱，拧上连接螺栓，按对角线顺序均匀地紧固上法兰与偏航轴承连接螺栓。</w:t>
            </w:r>
          </w:p>
          <w:p w14:paraId="125A1F68">
            <w:pPr>
              <w:snapToGrid w:val="0"/>
              <w:spacing w:line="480" w:lineRule="exact"/>
              <w:ind w:firstLine="480" w:firstLineChars="200"/>
              <w:rPr>
                <w:bCs/>
                <w:snapToGrid w:val="0"/>
                <w:sz w:val="24"/>
              </w:rPr>
            </w:pPr>
            <w:r>
              <w:rPr>
                <w:bCs/>
                <w:snapToGrid w:val="0"/>
                <w:sz w:val="24"/>
              </w:rPr>
              <w:t>v）进入机舱，卸开吊具。</w:t>
            </w:r>
          </w:p>
          <w:p w14:paraId="23294BCF">
            <w:pPr>
              <w:snapToGrid w:val="0"/>
              <w:spacing w:line="480" w:lineRule="exact"/>
              <w:ind w:firstLine="480" w:firstLineChars="200"/>
              <w:rPr>
                <w:bCs/>
                <w:snapToGrid w:val="0"/>
                <w:sz w:val="24"/>
              </w:rPr>
            </w:pPr>
            <w:r>
              <w:rPr>
                <w:bCs/>
                <w:snapToGrid w:val="0"/>
                <w:sz w:val="24"/>
              </w:rPr>
              <w:t>4）叶片安装</w:t>
            </w:r>
          </w:p>
          <w:p w14:paraId="069EC80B">
            <w:pPr>
              <w:snapToGrid w:val="0"/>
              <w:spacing w:line="480" w:lineRule="exact"/>
              <w:ind w:firstLine="480" w:firstLineChars="200"/>
              <w:rPr>
                <w:bCs/>
                <w:snapToGrid w:val="0"/>
                <w:sz w:val="24"/>
              </w:rPr>
            </w:pPr>
            <w:r>
              <w:rPr>
                <w:bCs/>
                <w:snapToGrid w:val="0"/>
                <w:sz w:val="24"/>
              </w:rPr>
              <w:t>① 叶轮组合</w:t>
            </w:r>
          </w:p>
          <w:p w14:paraId="50BC22EC">
            <w:pPr>
              <w:snapToGrid w:val="0"/>
              <w:spacing w:line="480" w:lineRule="exact"/>
              <w:ind w:firstLine="480" w:firstLineChars="200"/>
              <w:rPr>
                <w:bCs/>
                <w:snapToGrid w:val="0"/>
                <w:sz w:val="24"/>
              </w:rPr>
            </w:pPr>
            <w:r>
              <w:rPr>
                <w:bCs/>
                <w:snapToGrid w:val="0"/>
                <w:sz w:val="24"/>
              </w:rPr>
              <w:t>i）为叶轮的组合选择合适的场地，将叶根固定在组合支架上。</w:t>
            </w:r>
          </w:p>
          <w:p w14:paraId="785A61EC">
            <w:pPr>
              <w:snapToGrid w:val="0"/>
              <w:spacing w:line="480" w:lineRule="exact"/>
              <w:ind w:firstLine="480" w:firstLineChars="200"/>
              <w:rPr>
                <w:bCs/>
                <w:snapToGrid w:val="0"/>
                <w:sz w:val="24"/>
              </w:rPr>
            </w:pPr>
            <w:r>
              <w:rPr>
                <w:bCs/>
                <w:snapToGrid w:val="0"/>
                <w:sz w:val="24"/>
              </w:rPr>
              <w:t>ii）叶片前端垫衬相应高度的枕木且接触面衬海棉，以免划伤叶片。</w:t>
            </w:r>
          </w:p>
          <w:p w14:paraId="2DC856F1">
            <w:pPr>
              <w:snapToGrid w:val="0"/>
              <w:spacing w:line="480" w:lineRule="exact"/>
              <w:ind w:firstLine="480" w:firstLineChars="200"/>
              <w:rPr>
                <w:bCs/>
                <w:snapToGrid w:val="0"/>
                <w:sz w:val="24"/>
              </w:rPr>
            </w:pPr>
            <w:r>
              <w:rPr>
                <w:bCs/>
                <w:snapToGrid w:val="0"/>
                <w:sz w:val="24"/>
              </w:rPr>
              <w:t>iii）将轮毂吊放在指定对接的位置，下垫约20cm高的枕木，应使轮毂与主轴连接法兰面方向朝下，清除延长节法兰面上的毛刺和锈迹，并在所有法兰面上涂抹润滑脂。</w:t>
            </w:r>
          </w:p>
          <w:p w14:paraId="25265FDA">
            <w:pPr>
              <w:snapToGrid w:val="0"/>
              <w:spacing w:line="480" w:lineRule="exact"/>
              <w:ind w:firstLine="480" w:firstLineChars="200"/>
              <w:rPr>
                <w:bCs/>
                <w:snapToGrid w:val="0"/>
                <w:sz w:val="24"/>
              </w:rPr>
            </w:pPr>
            <w:r>
              <w:rPr>
                <w:bCs/>
                <w:snapToGrid w:val="0"/>
                <w:sz w:val="24"/>
              </w:rPr>
              <w:t>iv）用吊带将任一叶片兜住，吊带的一端直接挂在吊车的吊钩上，另一端通过倒链挂在吊钩上（便于对接时转动叶片）。</w:t>
            </w:r>
          </w:p>
          <w:p w14:paraId="7C920054">
            <w:pPr>
              <w:snapToGrid w:val="0"/>
              <w:spacing w:line="480" w:lineRule="exact"/>
              <w:ind w:firstLine="480" w:firstLineChars="200"/>
              <w:rPr>
                <w:bCs/>
                <w:snapToGrid w:val="0"/>
                <w:sz w:val="24"/>
              </w:rPr>
            </w:pPr>
            <w:r>
              <w:rPr>
                <w:bCs/>
                <w:snapToGrid w:val="0"/>
                <w:sz w:val="24"/>
              </w:rPr>
              <w:t>v）利用吊车将叶片吊起，将叶根后缘0刻度与轮毂的定位标记对正。传入联结螺栓（螺栓上涂抹润滑脂）并预紧，在微调对准安装刻度后按规定的顺序及力矩紧固螺栓。</w:t>
            </w:r>
          </w:p>
          <w:p w14:paraId="4B4E719D">
            <w:pPr>
              <w:snapToGrid w:val="0"/>
              <w:spacing w:line="480" w:lineRule="exact"/>
              <w:ind w:firstLine="480" w:firstLineChars="200"/>
              <w:rPr>
                <w:bCs/>
                <w:snapToGrid w:val="0"/>
                <w:sz w:val="24"/>
              </w:rPr>
            </w:pPr>
            <w:r>
              <w:rPr>
                <w:bCs/>
                <w:snapToGrid w:val="0"/>
                <w:sz w:val="24"/>
              </w:rPr>
              <w:t>vi） 重复上两项操作，组合另两片叶片。</w:t>
            </w:r>
          </w:p>
          <w:p w14:paraId="58910278">
            <w:pPr>
              <w:snapToGrid w:val="0"/>
              <w:spacing w:line="480" w:lineRule="exact"/>
              <w:ind w:firstLine="480" w:firstLineChars="200"/>
              <w:rPr>
                <w:bCs/>
                <w:snapToGrid w:val="0"/>
                <w:sz w:val="24"/>
              </w:rPr>
            </w:pPr>
            <w:r>
              <w:rPr>
                <w:bCs/>
                <w:snapToGrid w:val="0"/>
                <w:sz w:val="24"/>
              </w:rPr>
              <w:t>② 吊装叶轮</w:t>
            </w:r>
          </w:p>
          <w:p w14:paraId="22A0C45F">
            <w:pPr>
              <w:snapToGrid w:val="0"/>
              <w:spacing w:line="480" w:lineRule="exact"/>
              <w:ind w:firstLine="480" w:firstLineChars="200"/>
              <w:rPr>
                <w:bCs/>
                <w:snapToGrid w:val="0"/>
                <w:sz w:val="24"/>
              </w:rPr>
            </w:pPr>
            <w:r>
              <w:rPr>
                <w:bCs/>
                <w:snapToGrid w:val="0"/>
                <w:sz w:val="24"/>
              </w:rPr>
              <w:t>i）将两根牵引绳一端按向上的2个叶片位置固定在轮毂内，一端绕过叶尖导向轴，绳子顺叶片迎风面到叶尖转轴上缠绕半圈。</w:t>
            </w:r>
          </w:p>
          <w:p w14:paraId="30204675">
            <w:pPr>
              <w:snapToGrid w:val="0"/>
              <w:spacing w:line="480" w:lineRule="exact"/>
              <w:ind w:firstLine="480" w:firstLineChars="200"/>
              <w:rPr>
                <w:bCs/>
                <w:snapToGrid w:val="0"/>
                <w:sz w:val="24"/>
              </w:rPr>
            </w:pPr>
            <w:r>
              <w:rPr>
                <w:bCs/>
                <w:snapToGrid w:val="0"/>
                <w:sz w:val="24"/>
              </w:rPr>
              <w:t>ii）将吊环螺丝旋入轮毂吊孔，将2个叶轮导向螺栓并排旋入轮毂起吊上方位置螺孔。</w:t>
            </w:r>
          </w:p>
          <w:p w14:paraId="42FC2E40">
            <w:pPr>
              <w:snapToGrid w:val="0"/>
              <w:spacing w:line="480" w:lineRule="exact"/>
              <w:ind w:firstLine="480" w:firstLineChars="200"/>
              <w:rPr>
                <w:bCs/>
                <w:snapToGrid w:val="0"/>
                <w:sz w:val="24"/>
              </w:rPr>
            </w:pPr>
            <w:r>
              <w:rPr>
                <w:bCs/>
                <w:snapToGrid w:val="0"/>
                <w:sz w:val="24"/>
              </w:rPr>
              <w:t>iii）两车配合起吊叶轮由1600t汽车吊装位于向上的两个叶片根部的吊环，100t汽车吊吊那个垂直向下的叶尖，两车配合将叶轮抬起，然后小吊车配合大吊车，缓慢将叶轮由水平状态倾斜（用汽车吊的起降调节，严禁叶尖着地），待垂直向下的叶尖完全离开地面后，汽车吊脱钩，由主吊单车将叶轮组件吊至轮毂高度，进行相应安装。</w:t>
            </w:r>
          </w:p>
          <w:p w14:paraId="0E0E34C7">
            <w:pPr>
              <w:snapToGrid w:val="0"/>
              <w:spacing w:line="480" w:lineRule="exact"/>
              <w:ind w:firstLine="480" w:firstLineChars="200"/>
              <w:rPr>
                <w:bCs/>
                <w:snapToGrid w:val="0"/>
                <w:sz w:val="24"/>
              </w:rPr>
            </w:pPr>
            <w:r>
              <w:rPr>
                <w:bCs/>
                <w:snapToGrid w:val="0"/>
                <w:sz w:val="24"/>
              </w:rPr>
              <w:t>5）吊装安全措施</w:t>
            </w:r>
          </w:p>
          <w:p w14:paraId="50FA4633">
            <w:pPr>
              <w:snapToGrid w:val="0"/>
              <w:spacing w:line="480" w:lineRule="exact"/>
              <w:ind w:firstLine="480" w:firstLineChars="200"/>
              <w:rPr>
                <w:bCs/>
                <w:snapToGrid w:val="0"/>
                <w:sz w:val="24"/>
              </w:rPr>
            </w:pPr>
            <w:r>
              <w:rPr>
                <w:bCs/>
                <w:snapToGrid w:val="0"/>
                <w:sz w:val="24"/>
              </w:rPr>
              <w:t>① 吊装施工时间要尽量安排在风速不大的季节进行。吊装塔架下段时风速不得大于12m/s。吊装塔架上段、机舱时风速不得大于8m/s。吊装塔架轮毂和叶片时风速不得大于6m/s。</w:t>
            </w:r>
          </w:p>
          <w:p w14:paraId="5AA2C3B7">
            <w:pPr>
              <w:snapToGrid w:val="0"/>
              <w:spacing w:line="480" w:lineRule="exact"/>
              <w:ind w:firstLine="480" w:firstLineChars="200"/>
              <w:rPr>
                <w:bCs/>
                <w:snapToGrid w:val="0"/>
                <w:sz w:val="24"/>
              </w:rPr>
            </w:pPr>
            <w:r>
              <w:rPr>
                <w:bCs/>
                <w:snapToGrid w:val="0"/>
                <w:sz w:val="24"/>
              </w:rPr>
              <w:t>② 有大雾，能见度低于100米时不得进行吊装。</w:t>
            </w:r>
          </w:p>
          <w:p w14:paraId="2F009731">
            <w:pPr>
              <w:snapToGrid w:val="0"/>
              <w:spacing w:line="480" w:lineRule="exact"/>
              <w:ind w:firstLine="480" w:firstLineChars="200"/>
              <w:rPr>
                <w:bCs/>
                <w:snapToGrid w:val="0"/>
                <w:sz w:val="24"/>
              </w:rPr>
            </w:pPr>
            <w:r>
              <w:rPr>
                <w:bCs/>
                <w:snapToGrid w:val="0"/>
                <w:sz w:val="24"/>
              </w:rPr>
              <w:t>③ 塔架上段与机舱要连续安装，当天完成，以免夜间停工期间刮起大风造成塔架谐振破坏。</w:t>
            </w:r>
          </w:p>
          <w:p w14:paraId="0528B8A7">
            <w:pPr>
              <w:snapToGrid w:val="0"/>
              <w:spacing w:line="480" w:lineRule="exact"/>
              <w:ind w:firstLine="480" w:firstLineChars="200"/>
              <w:rPr>
                <w:bCs/>
                <w:snapToGrid w:val="0"/>
                <w:sz w:val="24"/>
              </w:rPr>
            </w:pPr>
            <w:r>
              <w:rPr>
                <w:bCs/>
                <w:snapToGrid w:val="0"/>
                <w:sz w:val="24"/>
              </w:rPr>
              <w:t>④ 施工人员必须严格遵守电力工程施工安全规程要求。</w:t>
            </w:r>
          </w:p>
          <w:p w14:paraId="3E8BBE59">
            <w:pPr>
              <w:snapToGrid w:val="0"/>
              <w:spacing w:line="480" w:lineRule="exact"/>
              <w:ind w:firstLine="480" w:firstLineChars="200"/>
              <w:rPr>
                <w:bCs/>
                <w:snapToGrid w:val="0"/>
                <w:sz w:val="24"/>
              </w:rPr>
            </w:pPr>
            <w:r>
              <w:rPr>
                <w:bCs/>
                <w:snapToGrid w:val="0"/>
                <w:sz w:val="24"/>
              </w:rPr>
              <w:t>⑤大型吊车在大风天气应采取必要的安全措施。</w:t>
            </w:r>
          </w:p>
          <w:p w14:paraId="071C125B">
            <w:pPr>
              <w:snapToGrid w:val="0"/>
              <w:spacing w:line="480" w:lineRule="exact"/>
              <w:ind w:firstLine="480" w:firstLineChars="200"/>
              <w:rPr>
                <w:bCs/>
                <w:snapToGrid w:val="0"/>
                <w:sz w:val="24"/>
              </w:rPr>
            </w:pPr>
            <w:r>
              <w:rPr>
                <w:bCs/>
                <w:snapToGrid w:val="0"/>
                <w:sz w:val="24"/>
              </w:rPr>
              <w:t>⑥主吊每天工作结束后，将主臂降至安全角度，并开至与风机安全距离以外。</w:t>
            </w:r>
          </w:p>
          <w:p w14:paraId="2AFB9C0B">
            <w:pPr>
              <w:snapToGrid w:val="0"/>
              <w:spacing w:line="480" w:lineRule="exact"/>
              <w:ind w:firstLine="480" w:firstLineChars="200"/>
              <w:rPr>
                <w:bCs/>
                <w:snapToGrid w:val="0"/>
                <w:sz w:val="24"/>
              </w:rPr>
            </w:pPr>
            <w:r>
              <w:rPr>
                <w:bCs/>
                <w:snapToGrid w:val="0"/>
                <w:sz w:val="24"/>
              </w:rPr>
              <w:t>6）风力发电机安装工程量</w:t>
            </w:r>
          </w:p>
          <w:p w14:paraId="0C74C215">
            <w:pPr>
              <w:snapToGrid w:val="0"/>
              <w:spacing w:line="480" w:lineRule="exact"/>
              <w:ind w:firstLine="480" w:firstLineChars="200"/>
              <w:rPr>
                <w:bCs/>
                <w:snapToGrid w:val="0"/>
                <w:sz w:val="24"/>
              </w:rPr>
            </w:pPr>
            <w:r>
              <w:rPr>
                <w:bCs/>
                <w:snapToGrid w:val="0"/>
                <w:sz w:val="24"/>
              </w:rPr>
              <w:t>整个风力发电场工程风机安装总量46台单机容量为7.7MW的风电机组，塔架吊装每台四段混塔及三段钢塔两部分。</w:t>
            </w:r>
          </w:p>
          <w:p w14:paraId="7D104D58">
            <w:pPr>
              <w:adjustRightInd w:val="0"/>
              <w:snapToGrid w:val="0"/>
              <w:spacing w:line="480" w:lineRule="exact"/>
              <w:rPr>
                <w:b/>
                <w:sz w:val="24"/>
              </w:rPr>
            </w:pPr>
            <w:r>
              <w:rPr>
                <w:b/>
                <w:sz w:val="24"/>
              </w:rPr>
              <w:t>2.4箱变工程</w:t>
            </w:r>
          </w:p>
          <w:p w14:paraId="5251F07E">
            <w:pPr>
              <w:adjustRightInd w:val="0"/>
              <w:snapToGrid w:val="0"/>
              <w:spacing w:line="480" w:lineRule="exact"/>
              <w:ind w:firstLine="480" w:firstLineChars="200"/>
              <w:rPr>
                <w:bCs/>
                <w:sz w:val="24"/>
              </w:rPr>
            </w:pPr>
            <w:r>
              <w:rPr>
                <w:bCs/>
                <w:sz w:val="24"/>
              </w:rPr>
              <w:t>箱变施工工程按作业性质可以分为下列几个阶段：箱变基础施工，电气设备安装，最后投入运行使用。</w:t>
            </w:r>
          </w:p>
          <w:p w14:paraId="46E96E13">
            <w:pPr>
              <w:pStyle w:val="40"/>
              <w:ind w:firstLine="480" w:firstLineChars="200"/>
              <w:jc w:val="center"/>
              <w:rPr>
                <w:rFonts w:ascii="Times New Roman" w:cs="Times New Roman"/>
                <w:bCs/>
                <w:color w:val="auto"/>
              </w:rPr>
            </w:pPr>
            <w:r>
              <w:rPr>
                <w:rFonts w:ascii="Times New Roman" w:cs="Times New Roman"/>
                <w:bCs/>
                <w:color w:val="auto"/>
              </w:rPr>
              <w:drawing>
                <wp:inline distT="0" distB="0" distL="0" distR="0">
                  <wp:extent cx="3945255" cy="1087755"/>
                  <wp:effectExtent l="0" t="0" r="17145" b="171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cstate="print"/>
                          <a:srcRect/>
                          <a:stretch>
                            <a:fillRect/>
                          </a:stretch>
                        </pic:blipFill>
                        <pic:spPr>
                          <a:xfrm>
                            <a:off x="0" y="0"/>
                            <a:ext cx="3945255" cy="1087755"/>
                          </a:xfrm>
                          <a:prstGeom prst="rect">
                            <a:avLst/>
                          </a:prstGeom>
                          <a:noFill/>
                          <a:ln w="9525">
                            <a:noFill/>
                            <a:miter lim="800000"/>
                            <a:headEnd/>
                            <a:tailEnd/>
                          </a:ln>
                        </pic:spPr>
                      </pic:pic>
                    </a:graphicData>
                  </a:graphic>
                </wp:inline>
              </w:drawing>
            </w:r>
          </w:p>
          <w:p w14:paraId="64B34226">
            <w:pPr>
              <w:pStyle w:val="42"/>
              <w:spacing w:after="0" w:line="480" w:lineRule="exact"/>
              <w:ind w:left="0" w:leftChars="0" w:firstLine="422"/>
              <w:jc w:val="center"/>
              <w:rPr>
                <w:rFonts w:ascii="Times New Roman" w:hAnsi="Times New Roman" w:eastAsia="宋体"/>
                <w:bCs/>
              </w:rPr>
            </w:pPr>
            <w:r>
              <w:rPr>
                <w:rFonts w:ascii="Times New Roman" w:hAnsi="Times New Roman" w:eastAsia="宋体"/>
                <w:b/>
                <w:sz w:val="21"/>
                <w:szCs w:val="21"/>
              </w:rPr>
              <w:t>图2-7   箱变施工工艺流程图</w:t>
            </w:r>
          </w:p>
          <w:p w14:paraId="4A69DEBF">
            <w:pPr>
              <w:adjustRightInd w:val="0"/>
              <w:snapToGrid w:val="0"/>
              <w:spacing w:line="480" w:lineRule="exact"/>
              <w:ind w:firstLine="482" w:firstLineChars="200"/>
              <w:rPr>
                <w:b/>
                <w:sz w:val="24"/>
              </w:rPr>
            </w:pPr>
            <w:r>
              <w:rPr>
                <w:b/>
                <w:sz w:val="24"/>
              </w:rPr>
              <w:t>（1）箱变基础施工</w:t>
            </w:r>
          </w:p>
          <w:p w14:paraId="1234CC41">
            <w:pPr>
              <w:adjustRightInd w:val="0"/>
              <w:snapToGrid w:val="0"/>
              <w:spacing w:line="480" w:lineRule="exact"/>
              <w:ind w:firstLine="480" w:firstLineChars="200"/>
              <w:rPr>
                <w:bCs/>
                <w:sz w:val="24"/>
              </w:rPr>
            </w:pPr>
            <w:r>
              <w:rPr>
                <w:bCs/>
                <w:sz w:val="24"/>
              </w:rPr>
              <w:t>风电场拟在每台风机旁就近布置一台箱式变压器，为减少占地及环保考虑，箱变放置于风机基础承台上部的平台上。</w:t>
            </w:r>
          </w:p>
          <w:p w14:paraId="63560BA1">
            <w:pPr>
              <w:adjustRightInd w:val="0"/>
              <w:snapToGrid w:val="0"/>
              <w:spacing w:line="480" w:lineRule="exact"/>
              <w:ind w:firstLine="480" w:firstLineChars="200"/>
              <w:rPr>
                <w:bCs/>
                <w:sz w:val="24"/>
              </w:rPr>
            </w:pPr>
            <w:r>
              <w:rPr>
                <w:bCs/>
                <w:sz w:val="24"/>
              </w:rPr>
              <w:t>箱变基础采用C30混凝土浇筑，待混凝土达到设计强度后，绑扎钢筋、架设模板，再浇筑C30混凝土。</w:t>
            </w:r>
          </w:p>
          <w:p w14:paraId="39C5067B">
            <w:pPr>
              <w:adjustRightInd w:val="0"/>
              <w:snapToGrid w:val="0"/>
              <w:spacing w:line="480" w:lineRule="exact"/>
              <w:ind w:firstLine="480" w:firstLineChars="200"/>
              <w:rPr>
                <w:bCs/>
                <w:sz w:val="24"/>
              </w:rPr>
            </w:pPr>
            <w:r>
              <w:rPr>
                <w:bCs/>
                <w:sz w:val="24"/>
              </w:rPr>
              <w:t>施工过程中产生扬尘、噪声及建筑垃圾等。</w:t>
            </w:r>
          </w:p>
          <w:p w14:paraId="425BB8BC">
            <w:pPr>
              <w:adjustRightInd w:val="0"/>
              <w:snapToGrid w:val="0"/>
              <w:spacing w:line="480" w:lineRule="exact"/>
              <w:ind w:firstLine="482" w:firstLineChars="200"/>
              <w:rPr>
                <w:b/>
                <w:sz w:val="24"/>
              </w:rPr>
            </w:pPr>
            <w:r>
              <w:rPr>
                <w:b/>
                <w:sz w:val="24"/>
              </w:rPr>
              <w:t>（2）电气设备安装</w:t>
            </w:r>
          </w:p>
          <w:p w14:paraId="6DDD703E">
            <w:pPr>
              <w:adjustRightInd w:val="0"/>
              <w:snapToGrid w:val="0"/>
              <w:spacing w:line="480" w:lineRule="exact"/>
              <w:ind w:firstLine="480" w:firstLineChars="200"/>
              <w:rPr>
                <w:bCs/>
                <w:sz w:val="24"/>
              </w:rPr>
            </w:pPr>
            <w:r>
              <w:rPr>
                <w:bCs/>
                <w:sz w:val="24"/>
              </w:rPr>
              <w:t>箱式变压器开箱验收，检查产品是否有损伤、变形和断裂。按装箱清单检查附件和专用工具是否齐全，在确认无误后方可按安装要求进行安装。变压器到现场后，为避免设备损坏，要尽量减少搬运次数。</w:t>
            </w:r>
          </w:p>
          <w:p w14:paraId="1427F2A7">
            <w:pPr>
              <w:adjustRightInd w:val="0"/>
              <w:snapToGrid w:val="0"/>
              <w:spacing w:line="480" w:lineRule="exact"/>
              <w:ind w:firstLine="480" w:firstLineChars="200"/>
              <w:rPr>
                <w:bCs/>
                <w:sz w:val="24"/>
              </w:rPr>
            </w:pPr>
            <w:r>
              <w:rPr>
                <w:bCs/>
                <w:sz w:val="24"/>
              </w:rPr>
              <w:t>将变压器运输到位，选择合适的倒链将变压器吊起离地面约300～500mm，待稳定后，把变压器放在底座及基础上，调整变压器，使变压器中心与底座中心一致，然后用固定装置把变压器固定好。</w:t>
            </w:r>
          </w:p>
          <w:p w14:paraId="10ACD81D">
            <w:pPr>
              <w:adjustRightInd w:val="0"/>
              <w:snapToGrid w:val="0"/>
              <w:spacing w:line="480" w:lineRule="exact"/>
              <w:ind w:firstLine="480" w:firstLineChars="200"/>
              <w:rPr>
                <w:bCs/>
                <w:sz w:val="24"/>
              </w:rPr>
            </w:pPr>
            <w:r>
              <w:rPr>
                <w:bCs/>
                <w:sz w:val="24"/>
              </w:rPr>
              <w:t>按厂家说明书的要求装上变压器的测温元件，安装变压器罩。安装完毕后锁好门锁，擦拭干净观察窗。用接地线把变压器本体可靠接地。</w:t>
            </w:r>
          </w:p>
          <w:p w14:paraId="313CBB33">
            <w:pPr>
              <w:adjustRightInd w:val="0"/>
              <w:snapToGrid w:val="0"/>
              <w:spacing w:line="480" w:lineRule="exact"/>
              <w:rPr>
                <w:b/>
                <w:sz w:val="24"/>
              </w:rPr>
            </w:pPr>
            <w:r>
              <w:rPr>
                <w:b/>
                <w:sz w:val="24"/>
              </w:rPr>
              <w:t>2.5集电线路工程</w:t>
            </w:r>
          </w:p>
          <w:p w14:paraId="4DECAC69">
            <w:pPr>
              <w:adjustRightInd w:val="0"/>
              <w:snapToGrid w:val="0"/>
              <w:spacing w:line="480" w:lineRule="exact"/>
              <w:ind w:firstLine="480" w:firstLineChars="200"/>
              <w:rPr>
                <w:bCs/>
                <w:sz w:val="24"/>
              </w:rPr>
            </w:pPr>
            <w:r>
              <w:rPr>
                <w:bCs/>
                <w:sz w:val="24"/>
              </w:rPr>
              <w:t>本工程集电线路采用直埋电缆（部分非开挖拉管）和架空线路相结合方式；其中直埋敷设主要用于沿田地旁土路及沿路电缆的敷设，非开挖拉管敷设主要用于高速公路以及涉及水塘沟渠</w:t>
            </w:r>
            <w:r>
              <w:rPr>
                <w:rFonts w:hint="eastAsia"/>
                <w:bCs/>
                <w:sz w:val="24"/>
              </w:rPr>
              <w:t>、河流</w:t>
            </w:r>
            <w:r>
              <w:rPr>
                <w:bCs/>
                <w:sz w:val="24"/>
              </w:rPr>
              <w:t>等区域钻越。</w:t>
            </w:r>
            <w:r>
              <w:rPr>
                <w:bCs/>
                <w:spacing w:val="-7"/>
                <w:sz w:val="24"/>
              </w:rPr>
              <w:t>升压站厂区内设置通长电缆沟，风电场电缆进站后，电缆敷设于电缆沟支架上。电缆沟直接通至35kV进线盘柜。</w:t>
            </w:r>
          </w:p>
          <w:p w14:paraId="21558015">
            <w:pPr>
              <w:adjustRightInd w:val="0"/>
              <w:snapToGrid w:val="0"/>
              <w:spacing w:line="480" w:lineRule="exact"/>
              <w:ind w:firstLine="482" w:firstLineChars="200"/>
              <w:rPr>
                <w:b/>
                <w:sz w:val="24"/>
              </w:rPr>
            </w:pPr>
            <w:r>
              <w:rPr>
                <w:b/>
                <w:sz w:val="24"/>
              </w:rPr>
              <w:t>（1）电缆直埋段施工方案</w:t>
            </w:r>
          </w:p>
          <w:p w14:paraId="79E0FBCA">
            <w:pPr>
              <w:adjustRightInd w:val="0"/>
              <w:snapToGrid w:val="0"/>
              <w:spacing w:line="480" w:lineRule="exact"/>
              <w:ind w:firstLine="480" w:firstLineChars="200"/>
              <w:rPr>
                <w:bCs/>
                <w:sz w:val="24"/>
              </w:rPr>
            </w:pPr>
            <w:r>
              <w:rPr>
                <w:bCs/>
                <w:sz w:val="24"/>
              </w:rPr>
              <w:t>电缆直埋段，采用明挖方式，电缆埋深不小于1米，电缆周围采用细砂填充，厚度按300mm考虑，砂层上铺设混凝土保护板，并在保护盖板上层铺设醒目的标志带；盖板之上土方回填夯实至原地面，回填压实系数不得小于0.94。其中保护盖板和标志桩混凝土均采用C30。</w:t>
            </w:r>
          </w:p>
          <w:p w14:paraId="7F4E96D2">
            <w:pPr>
              <w:adjustRightInd w:val="0"/>
              <w:snapToGrid w:val="0"/>
              <w:spacing w:line="480" w:lineRule="exact"/>
              <w:ind w:firstLine="480" w:firstLineChars="200"/>
              <w:rPr>
                <w:bCs/>
                <w:sz w:val="24"/>
              </w:rPr>
            </w:pPr>
            <w:r>
              <w:rPr>
                <w:bCs/>
                <w:sz w:val="24"/>
              </w:rPr>
              <w:t>集电线路穿越高速公路以及涉及水塘沟渠</w:t>
            </w:r>
            <w:r>
              <w:rPr>
                <w:rFonts w:hint="eastAsia"/>
                <w:bCs/>
                <w:sz w:val="24"/>
              </w:rPr>
              <w:t>、河流</w:t>
            </w:r>
            <w:r>
              <w:rPr>
                <w:bCs/>
                <w:sz w:val="24"/>
              </w:rPr>
              <w:t>等区域时采用拉管工艺，过路时拉管埋深不小于1.2米，过河时拉管埋深应满足相关河道管理部门的相关规定，且满足防洪评价等相关要求。在道路及河道两边设置警示桩或者警示牌。</w:t>
            </w:r>
          </w:p>
          <w:p w14:paraId="15A9BA6A">
            <w:pPr>
              <w:adjustRightInd w:val="0"/>
              <w:snapToGrid w:val="0"/>
              <w:spacing w:line="480" w:lineRule="exact"/>
              <w:ind w:firstLine="480" w:firstLineChars="200"/>
              <w:rPr>
                <w:bCs/>
                <w:sz w:val="24"/>
              </w:rPr>
            </w:pPr>
            <w:r>
              <w:rPr>
                <w:bCs/>
                <w:sz w:val="24"/>
              </w:rPr>
              <w:t>拉管法施工示意图见下图。</w:t>
            </w:r>
          </w:p>
          <w:p w14:paraId="13405E47">
            <w:pPr>
              <w:pStyle w:val="40"/>
              <w:jc w:val="center"/>
              <w:rPr>
                <w:rFonts w:ascii="Times New Roman" w:cs="Times New Roman"/>
                <w:bCs/>
                <w:color w:val="auto"/>
              </w:rPr>
            </w:pPr>
            <w:r>
              <w:rPr>
                <w:rFonts w:ascii="Times New Roman" w:cs="Times New Roman"/>
                <w:bCs/>
                <w:color w:val="auto"/>
              </w:rPr>
              <w:drawing>
                <wp:inline distT="0" distB="0" distL="0" distR="0">
                  <wp:extent cx="5274310" cy="1806575"/>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cstate="print"/>
                          <a:srcRect/>
                          <a:stretch>
                            <a:fillRect/>
                          </a:stretch>
                        </pic:blipFill>
                        <pic:spPr>
                          <a:xfrm>
                            <a:off x="0" y="0"/>
                            <a:ext cx="5274310" cy="1806575"/>
                          </a:xfrm>
                          <a:prstGeom prst="rect">
                            <a:avLst/>
                          </a:prstGeom>
                          <a:noFill/>
                          <a:ln w="9525">
                            <a:noFill/>
                            <a:miter lim="800000"/>
                            <a:headEnd/>
                            <a:tailEnd/>
                          </a:ln>
                        </pic:spPr>
                      </pic:pic>
                    </a:graphicData>
                  </a:graphic>
                </wp:inline>
              </w:drawing>
            </w:r>
          </w:p>
          <w:p w14:paraId="19AD6809">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图2-8   集电线路拉管施工示意图</w:t>
            </w:r>
          </w:p>
          <w:p w14:paraId="4BE79A10">
            <w:pPr>
              <w:adjustRightInd w:val="0"/>
              <w:snapToGrid w:val="0"/>
              <w:spacing w:line="480" w:lineRule="exact"/>
              <w:ind w:firstLine="480" w:firstLineChars="200"/>
              <w:rPr>
                <w:bCs/>
                <w:sz w:val="24"/>
              </w:rPr>
            </w:pPr>
            <w:r>
              <w:rPr>
                <w:bCs/>
                <w:sz w:val="24"/>
              </w:rPr>
              <w:t>拉管法施工可以分为下列几个阶段：施工准备，导向钻孔，回扩成孔，管道回拖，清理场地。</w:t>
            </w:r>
          </w:p>
          <w:p w14:paraId="6739FBFE">
            <w:pPr>
              <w:adjustRightInd w:val="0"/>
              <w:snapToGrid w:val="0"/>
              <w:spacing w:line="480" w:lineRule="exact"/>
              <w:ind w:firstLine="480" w:firstLineChars="200"/>
              <w:rPr>
                <w:bCs/>
                <w:sz w:val="24"/>
              </w:rPr>
            </w:pPr>
            <w:r>
              <w:rPr>
                <w:bCs/>
                <w:sz w:val="24"/>
              </w:rPr>
              <w:t>导向钻孔阶段是钻机被安装在入土点一侧，从入土点开始，沿着设计好的线路，钻一条从入土点到出土点的曲线，作为预扩孔和回拖管线的引导曲线。回扩成孔阶段是将导向孔进行扩孔，钻出的孔往往小于回拖管线的直径，为了使钻出的孔径达到回拖管线直径的1.3～1.5倍，需要用扩孔器从出土点开始向入土点将导向孔扩大至要求的直径。管道回拖阶段是地下孔经过预扩孔，达到回拖要求后，将钻杆、扩孔器、回拖活节和被安装管线依次连接好，从出土点开始，一边扩孔一边将管线回拖至入土点。为保证项目拉管穿越时不破坏区域内植被根系，不影响区域内植被的正常生长，应保证在项目地下穿越时垂向深度大于3m。工作坑开挖尺寸根据现场实际情况确定，坑深根据拉管流水面高程确定。管道拉通后，为了避免地面沉降，需要进行注浆加固。工作完毕后，清理场地去除杂物，工作坑进行回填。</w:t>
            </w:r>
            <w:r>
              <w:rPr>
                <w:rFonts w:hint="eastAsia"/>
                <w:sz w:val="24"/>
              </w:rPr>
              <w:t>本项目在</w:t>
            </w:r>
            <w:r>
              <w:rPr>
                <w:bCs/>
                <w:sz w:val="24"/>
              </w:rPr>
              <w:t>拉管</w:t>
            </w:r>
            <w:r>
              <w:rPr>
                <w:rFonts w:hint="eastAsia"/>
                <w:bCs/>
                <w:sz w:val="24"/>
              </w:rPr>
              <w:t>施工段</w:t>
            </w:r>
            <w:r>
              <w:rPr>
                <w:rFonts w:hint="eastAsia"/>
                <w:sz w:val="24"/>
              </w:rPr>
              <w:t>设置泥浆罐。施工结束后，废弃泥浆交由有资质单位采用罐车运送至相关管理部门指定地点处理。</w:t>
            </w:r>
          </w:p>
          <w:p w14:paraId="36830D30">
            <w:pPr>
              <w:snapToGrid w:val="0"/>
              <w:spacing w:line="480" w:lineRule="exact"/>
              <w:ind w:firstLine="482" w:firstLineChars="200"/>
              <w:rPr>
                <w:b/>
                <w:snapToGrid w:val="0"/>
                <w:sz w:val="24"/>
              </w:rPr>
            </w:pPr>
            <w:r>
              <w:rPr>
                <w:b/>
                <w:snapToGrid w:val="0"/>
                <w:sz w:val="24"/>
              </w:rPr>
              <w:t>（2）架空路线施工方案</w:t>
            </w:r>
          </w:p>
          <w:p w14:paraId="153B6A0C">
            <w:pPr>
              <w:snapToGrid w:val="0"/>
              <w:spacing w:line="480" w:lineRule="exact"/>
              <w:ind w:firstLine="480" w:firstLineChars="200"/>
              <w:rPr>
                <w:bCs/>
                <w:snapToGrid w:val="0"/>
                <w:sz w:val="24"/>
              </w:rPr>
            </w:pPr>
            <w:r>
              <w:rPr>
                <w:bCs/>
                <w:snapToGrid w:val="0"/>
                <w:sz w:val="24"/>
              </w:rPr>
              <w:t>架空路线角钢铁塔根据地质情况拟采用灌注桩基础和台阶式基础，基础主体混凝土采用C30，基础垫层和保护帽混凝土采用C20。</w:t>
            </w:r>
          </w:p>
          <w:p w14:paraId="74C7523B">
            <w:pPr>
              <w:snapToGrid w:val="0"/>
              <w:spacing w:line="480" w:lineRule="exact"/>
              <w:ind w:firstLine="480" w:firstLineChars="200"/>
              <w:rPr>
                <w:bCs/>
                <w:snapToGrid w:val="0"/>
                <w:sz w:val="24"/>
              </w:rPr>
            </w:pPr>
            <w:r>
              <w:rPr>
                <w:bCs/>
                <w:snapToGrid w:val="0"/>
                <w:sz w:val="24"/>
              </w:rPr>
              <w:t>在基础施工完成后，先组立好地面部分塔材，再利用承托绳和内拉线把抱杆固定，抱杆顶部放置滑轮组利用角磨机起吊塔材，组装好一段塔材后把抱杆提升固定接着向上组装。按照设计图纸和构件编号进行组装，确保每个构件的位置和角度准确无误。</w:t>
            </w:r>
          </w:p>
          <w:p w14:paraId="7AEF8505">
            <w:pPr>
              <w:snapToGrid w:val="0"/>
              <w:spacing w:line="480" w:lineRule="exact"/>
              <w:rPr>
                <w:b/>
                <w:snapToGrid w:val="0"/>
                <w:sz w:val="24"/>
              </w:rPr>
            </w:pPr>
            <w:r>
              <w:rPr>
                <w:b/>
                <w:snapToGrid w:val="0"/>
                <w:sz w:val="24"/>
              </w:rPr>
              <w:t>2.6升压站施工</w:t>
            </w:r>
          </w:p>
          <w:p w14:paraId="61DE1EAC">
            <w:pPr>
              <w:adjustRightInd w:val="0"/>
              <w:snapToGrid w:val="0"/>
              <w:spacing w:line="480" w:lineRule="exact"/>
              <w:ind w:firstLine="480" w:firstLineChars="200"/>
              <w:rPr>
                <w:bCs/>
                <w:sz w:val="24"/>
              </w:rPr>
            </w:pPr>
            <w:r>
              <w:rPr>
                <w:bCs/>
                <w:sz w:val="24"/>
              </w:rPr>
              <w:t>升压站建设施工工程按作业性质可以分为下列几个阶段：土石方工程阶段，基础工程阶段，结构工程阶段，电气设备安装阶段，最后投入运行使用。</w:t>
            </w:r>
          </w:p>
          <w:p w14:paraId="5E4ED90B">
            <w:pPr>
              <w:pStyle w:val="40"/>
              <w:jc w:val="center"/>
              <w:rPr>
                <w:rFonts w:ascii="Times New Roman" w:cs="Times New Roman"/>
                <w:bCs/>
                <w:color w:val="auto"/>
              </w:rPr>
            </w:pPr>
            <w:r>
              <w:rPr>
                <w:rFonts w:ascii="Times New Roman" w:cs="Times New Roman"/>
                <w:bCs/>
                <w:color w:val="auto"/>
              </w:rPr>
              <w:drawing>
                <wp:inline distT="0" distB="0" distL="0" distR="0">
                  <wp:extent cx="5274310" cy="2443480"/>
                  <wp:effectExtent l="0" t="0" r="2540"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 cstate="print"/>
                          <a:srcRect/>
                          <a:stretch>
                            <a:fillRect/>
                          </a:stretch>
                        </pic:blipFill>
                        <pic:spPr>
                          <a:xfrm>
                            <a:off x="0" y="0"/>
                            <a:ext cx="5274310" cy="2443480"/>
                          </a:xfrm>
                          <a:prstGeom prst="rect">
                            <a:avLst/>
                          </a:prstGeom>
                          <a:noFill/>
                          <a:ln w="9525">
                            <a:noFill/>
                            <a:miter lim="800000"/>
                            <a:headEnd/>
                            <a:tailEnd/>
                          </a:ln>
                        </pic:spPr>
                      </pic:pic>
                    </a:graphicData>
                  </a:graphic>
                </wp:inline>
              </w:drawing>
            </w:r>
          </w:p>
          <w:p w14:paraId="201BA442">
            <w:pPr>
              <w:pStyle w:val="42"/>
              <w:spacing w:after="0" w:line="480" w:lineRule="exact"/>
              <w:ind w:left="0" w:leftChars="0" w:firstLine="422"/>
              <w:jc w:val="center"/>
              <w:rPr>
                <w:rFonts w:ascii="Times New Roman" w:hAnsi="Times New Roman" w:eastAsia="宋体"/>
                <w:b/>
                <w:sz w:val="21"/>
                <w:szCs w:val="21"/>
              </w:rPr>
            </w:pPr>
            <w:r>
              <w:rPr>
                <w:rFonts w:ascii="Times New Roman" w:hAnsi="Times New Roman" w:eastAsia="宋体"/>
                <w:b/>
                <w:sz w:val="21"/>
                <w:szCs w:val="21"/>
              </w:rPr>
              <w:t>图2-9   升压站施工工艺流程图</w:t>
            </w:r>
          </w:p>
          <w:p w14:paraId="66837772">
            <w:pPr>
              <w:adjustRightInd w:val="0"/>
              <w:snapToGrid w:val="0"/>
              <w:spacing w:line="480" w:lineRule="exact"/>
              <w:ind w:firstLine="480" w:firstLineChars="200"/>
              <w:rPr>
                <w:bCs/>
                <w:sz w:val="24"/>
              </w:rPr>
            </w:pPr>
            <w:r>
              <w:rPr>
                <w:bCs/>
                <w:sz w:val="24"/>
              </w:rPr>
              <w:t>土石方工程阶段，包括场地平整、开挖运输工程土等。本项目升压站拟建区域为坑塘水面，施工前先排水、晾干，然后清淤，施工清理出的淤泥采用罐车运送至相关管理部门指定地点处理。土方回填后用打夯机，将场地碾平，达到设计要求。</w:t>
            </w:r>
          </w:p>
          <w:p w14:paraId="268047CE">
            <w:pPr>
              <w:adjustRightInd w:val="0"/>
              <w:snapToGrid w:val="0"/>
              <w:spacing w:line="480" w:lineRule="exact"/>
              <w:ind w:firstLine="480" w:firstLineChars="200"/>
              <w:rPr>
                <w:bCs/>
                <w:sz w:val="24"/>
              </w:rPr>
            </w:pPr>
            <w:r>
              <w:rPr>
                <w:bCs/>
                <w:sz w:val="24"/>
              </w:rPr>
              <w:t>基础及结构工程阶段，主要包括钢筋工程、混凝土工程、钢结构工程、砌体工程、回填工程等。施工时要同时做好各种沟、管及预埋管道的施工及管线敷设安装，重点是35kV配电室的地下电缆、管沟等隐蔽工程。在混凝土浇筑工程中，应对模板、支架、预埋件及预留孔洞进行观察，如发现有变形、移位时应及时处理，以保证施工质量。混凝土浇筑后进行表面洒水保湿养护。</w:t>
            </w:r>
          </w:p>
          <w:p w14:paraId="7B6F361E">
            <w:pPr>
              <w:adjustRightInd w:val="0"/>
              <w:snapToGrid w:val="0"/>
              <w:spacing w:line="480" w:lineRule="exact"/>
              <w:ind w:firstLine="480" w:firstLineChars="200"/>
              <w:rPr>
                <w:bCs/>
                <w:sz w:val="24"/>
              </w:rPr>
            </w:pPr>
            <w:r>
              <w:rPr>
                <w:bCs/>
                <w:sz w:val="24"/>
              </w:rPr>
              <w:t>所有建筑封顶后再进行装修。</w:t>
            </w:r>
          </w:p>
          <w:p w14:paraId="13D5951C">
            <w:pPr>
              <w:adjustRightInd w:val="0"/>
              <w:snapToGrid w:val="0"/>
              <w:spacing w:line="480" w:lineRule="exact"/>
              <w:ind w:firstLine="480" w:firstLineChars="200"/>
              <w:rPr>
                <w:bCs/>
                <w:sz w:val="24"/>
              </w:rPr>
            </w:pPr>
            <w:r>
              <w:rPr>
                <w:bCs/>
                <w:sz w:val="24"/>
              </w:rPr>
              <w:t>电气设备的安装：主变压器较重，采用汽车吊吊装就位。35kV线路、进线与母线一同安装调试。分回路接线投产。当第一批风电机组投产后，其他回路接线时要注意人身及设备的安全，应有运行人员监护。电气设备的安装必须严格按设计要求、设备安装说明、电气设备安装规程及验收规范进行，及时进行测试、调试，确保电气设备的安装质量和试车一次成功。</w:t>
            </w:r>
          </w:p>
          <w:p w14:paraId="7A6CEB71">
            <w:pPr>
              <w:adjustRightInd w:val="0"/>
              <w:snapToGrid w:val="0"/>
              <w:spacing w:line="480" w:lineRule="exact"/>
              <w:ind w:firstLine="480" w:firstLineChars="200"/>
              <w:rPr>
                <w:bCs/>
                <w:sz w:val="24"/>
              </w:rPr>
            </w:pPr>
            <w:r>
              <w:rPr>
                <w:bCs/>
                <w:sz w:val="24"/>
              </w:rPr>
              <w:t>当升压站内所有建构筑物封顶、大型设备就位后，进行围墙施工。</w:t>
            </w:r>
          </w:p>
          <w:p w14:paraId="4847D4B1">
            <w:pPr>
              <w:snapToGrid w:val="0"/>
              <w:spacing w:line="480" w:lineRule="exact"/>
              <w:rPr>
                <w:bCs/>
                <w:snapToGrid w:val="0"/>
                <w:sz w:val="24"/>
              </w:rPr>
            </w:pPr>
            <w:r>
              <w:rPr>
                <w:b/>
                <w:snapToGrid w:val="0"/>
                <w:sz w:val="24"/>
              </w:rPr>
              <w:t>2.7储能</w:t>
            </w:r>
            <w:r>
              <w:rPr>
                <w:rFonts w:hint="eastAsia"/>
                <w:b/>
                <w:snapToGrid w:val="0"/>
                <w:sz w:val="24"/>
              </w:rPr>
              <w:t>装置</w:t>
            </w:r>
          </w:p>
          <w:p w14:paraId="6B454C0C">
            <w:pPr>
              <w:adjustRightInd w:val="0"/>
              <w:snapToGrid w:val="0"/>
              <w:spacing w:line="480" w:lineRule="exact"/>
              <w:ind w:firstLine="480" w:firstLineChars="200"/>
              <w:rPr>
                <w:bCs/>
                <w:sz w:val="24"/>
              </w:rPr>
            </w:pPr>
            <w:r>
              <w:rPr>
                <w:bCs/>
                <w:sz w:val="24"/>
              </w:rPr>
              <w:t>本项目储能考虑租赁，不涉及储能设备安装。</w:t>
            </w:r>
          </w:p>
          <w:p w14:paraId="48352E8B">
            <w:pPr>
              <w:adjustRightInd w:val="0"/>
              <w:snapToGrid w:val="0"/>
              <w:spacing w:line="480" w:lineRule="exact"/>
              <w:rPr>
                <w:bCs/>
                <w:sz w:val="24"/>
              </w:rPr>
            </w:pPr>
            <w:r>
              <w:rPr>
                <w:b/>
                <w:sz w:val="24"/>
              </w:rPr>
              <w:t>2.8场地恢复</w:t>
            </w:r>
          </w:p>
          <w:p w14:paraId="512FF97A">
            <w:pPr>
              <w:adjustRightInd w:val="0"/>
              <w:snapToGrid w:val="0"/>
              <w:spacing w:line="480" w:lineRule="exact"/>
              <w:ind w:firstLine="480" w:firstLineChars="200"/>
              <w:rPr>
                <w:bCs/>
                <w:sz w:val="24"/>
              </w:rPr>
            </w:pPr>
            <w:r>
              <w:rPr>
                <w:bCs/>
                <w:sz w:val="24"/>
              </w:rPr>
              <w:t>施工结束后建设单位应及时对工程施工期间的临时占地进行恢复，恢复地区原始风貌。根据本项目施工的实际情况，通过采取分层回填、覆土、植被恢复等措施进行科学恢复，逐步恢复提升生态环境和生态系统服务功能。</w:t>
            </w:r>
          </w:p>
          <w:p w14:paraId="6A415578">
            <w:pPr>
              <w:adjustRightInd w:val="0"/>
              <w:snapToGrid w:val="0"/>
              <w:spacing w:line="480" w:lineRule="exact"/>
              <w:ind w:firstLine="482" w:firstLineChars="200"/>
              <w:rPr>
                <w:b/>
                <w:bCs/>
                <w:sz w:val="24"/>
              </w:rPr>
            </w:pPr>
            <w:r>
              <w:rPr>
                <w:b/>
                <w:bCs/>
                <w:sz w:val="24"/>
              </w:rPr>
              <w:t>施工过程产污节点：</w:t>
            </w:r>
          </w:p>
          <w:p w14:paraId="607E3D76">
            <w:pPr>
              <w:adjustRightInd w:val="0"/>
              <w:snapToGrid w:val="0"/>
              <w:spacing w:line="480" w:lineRule="exact"/>
              <w:ind w:firstLine="482" w:firstLineChars="200"/>
              <w:rPr>
                <w:b/>
                <w:bCs/>
                <w:sz w:val="24"/>
              </w:rPr>
            </w:pPr>
            <w:r>
              <w:rPr>
                <w:b/>
                <w:bCs/>
                <w:sz w:val="24"/>
              </w:rPr>
              <w:t>（1）废气：主要为取土开挖、土方回填、物料堆存、施工生产、运输过程等产生的扬尘，施工机械和运输车辆尾气，焊接烟尘；</w:t>
            </w:r>
          </w:p>
          <w:p w14:paraId="5F43C2C5">
            <w:pPr>
              <w:adjustRightInd w:val="0"/>
              <w:snapToGrid w:val="0"/>
              <w:spacing w:line="480" w:lineRule="exact"/>
              <w:ind w:firstLine="482" w:firstLineChars="200"/>
              <w:rPr>
                <w:b/>
                <w:bCs/>
                <w:sz w:val="24"/>
              </w:rPr>
            </w:pPr>
            <w:r>
              <w:rPr>
                <w:b/>
                <w:bCs/>
                <w:sz w:val="24"/>
              </w:rPr>
              <w:t>（2）废水：施工期废水主要包括车辆冲洗废水、生活污水、基坑降水</w:t>
            </w:r>
            <w:r>
              <w:rPr>
                <w:rFonts w:hint="eastAsia"/>
                <w:b/>
                <w:bCs/>
                <w:sz w:val="24"/>
              </w:rPr>
              <w:t>、混凝土养护废水</w:t>
            </w:r>
            <w:r>
              <w:rPr>
                <w:b/>
                <w:bCs/>
                <w:sz w:val="24"/>
              </w:rPr>
              <w:t>等。</w:t>
            </w:r>
          </w:p>
          <w:p w14:paraId="3DA73485">
            <w:pPr>
              <w:adjustRightInd w:val="0"/>
              <w:snapToGrid w:val="0"/>
              <w:spacing w:line="480" w:lineRule="exact"/>
              <w:ind w:firstLine="482" w:firstLineChars="200"/>
              <w:rPr>
                <w:b/>
                <w:bCs/>
                <w:sz w:val="24"/>
              </w:rPr>
            </w:pPr>
            <w:r>
              <w:rPr>
                <w:b/>
                <w:bCs/>
                <w:sz w:val="24"/>
              </w:rPr>
              <w:t>（3）噪声：施工机械、运输车辆、装修、设备安装产生的噪声；</w:t>
            </w:r>
          </w:p>
          <w:p w14:paraId="2709C1C8">
            <w:pPr>
              <w:adjustRightInd w:val="0"/>
              <w:snapToGrid w:val="0"/>
              <w:spacing w:line="480" w:lineRule="exact"/>
              <w:ind w:firstLine="482" w:firstLineChars="200"/>
              <w:rPr>
                <w:b/>
                <w:bCs/>
                <w:sz w:val="24"/>
              </w:rPr>
            </w:pPr>
            <w:r>
              <w:rPr>
                <w:b/>
                <w:bCs/>
                <w:sz w:val="24"/>
              </w:rPr>
              <w:t>（4）固废：施工人员产生的生活垃圾，施工过程产生的废包装材料、废金属废料，施工过程产生的淤泥、废弃泥浆及建筑垃圾；</w:t>
            </w:r>
          </w:p>
          <w:p w14:paraId="1F053BDC">
            <w:pPr>
              <w:adjustRightInd w:val="0"/>
              <w:snapToGrid w:val="0"/>
              <w:spacing w:line="480" w:lineRule="exact"/>
              <w:ind w:firstLine="482" w:firstLineChars="200"/>
              <w:rPr>
                <w:b/>
                <w:bCs/>
                <w:sz w:val="24"/>
              </w:rPr>
            </w:pPr>
            <w:r>
              <w:rPr>
                <w:b/>
                <w:bCs/>
                <w:sz w:val="24"/>
              </w:rPr>
              <w:t>（5）生态：工程占地、施工和基坑降水对水生生态的影响，工程占地和施工对陆生生态的影响。</w:t>
            </w:r>
          </w:p>
          <w:p w14:paraId="38F97CF1">
            <w:pPr>
              <w:adjustRightInd w:val="0"/>
              <w:snapToGrid w:val="0"/>
              <w:spacing w:line="480" w:lineRule="exact"/>
              <w:rPr>
                <w:b/>
                <w:bCs/>
                <w:sz w:val="24"/>
              </w:rPr>
            </w:pPr>
            <w:r>
              <w:rPr>
                <w:b/>
                <w:bCs/>
                <w:sz w:val="24"/>
              </w:rPr>
              <w:t>3、施工时序及建设周期</w:t>
            </w:r>
          </w:p>
          <w:p w14:paraId="238530F3">
            <w:pPr>
              <w:adjustRightInd w:val="0"/>
              <w:snapToGrid w:val="0"/>
              <w:spacing w:line="480" w:lineRule="exact"/>
              <w:ind w:firstLine="480" w:firstLineChars="200"/>
              <w:rPr>
                <w:bCs/>
                <w:sz w:val="24"/>
              </w:rPr>
            </w:pPr>
            <w:r>
              <w:rPr>
                <w:bCs/>
                <w:sz w:val="24"/>
              </w:rPr>
              <w:t>本项目建设期自2025年7月至2026年5月，总建设周期为11个月。</w:t>
            </w:r>
          </w:p>
          <w:p w14:paraId="1D260EB9">
            <w:pPr>
              <w:adjustRightInd w:val="0"/>
              <w:snapToGrid w:val="0"/>
              <w:spacing w:line="480" w:lineRule="exact"/>
              <w:ind w:firstLine="480" w:firstLineChars="200"/>
              <w:rPr>
                <w:bCs/>
                <w:sz w:val="24"/>
              </w:rPr>
            </w:pPr>
            <w:r>
              <w:rPr>
                <w:bCs/>
                <w:sz w:val="24"/>
              </w:rPr>
              <w:t>具体建设进度安排如下：</w:t>
            </w:r>
          </w:p>
          <w:p w14:paraId="1DF4B113">
            <w:pPr>
              <w:adjustRightInd w:val="0"/>
              <w:snapToGrid w:val="0"/>
              <w:spacing w:line="480" w:lineRule="exact"/>
              <w:ind w:firstLine="480" w:firstLineChars="200"/>
              <w:rPr>
                <w:bCs/>
                <w:sz w:val="24"/>
              </w:rPr>
            </w:pPr>
            <w:r>
              <w:rPr>
                <w:bCs/>
                <w:sz w:val="24"/>
              </w:rPr>
              <w:t>2025年7月为施工准备期，主要完成人员、设备、物资准备及进场，临时生活设施建设及场地平整，完成供水、供电的施工。</w:t>
            </w:r>
          </w:p>
          <w:p w14:paraId="0F2C7AF9">
            <w:pPr>
              <w:adjustRightInd w:val="0"/>
              <w:snapToGrid w:val="0"/>
              <w:spacing w:line="480" w:lineRule="exact"/>
              <w:ind w:firstLine="480" w:firstLineChars="200"/>
              <w:rPr>
                <w:bCs/>
                <w:sz w:val="24"/>
              </w:rPr>
            </w:pPr>
            <w:r>
              <w:rPr>
                <w:bCs/>
                <w:sz w:val="24"/>
              </w:rPr>
              <w:t>2025年8月至2026年11月，完成场内道路及吊装场地的施工。</w:t>
            </w:r>
          </w:p>
          <w:p w14:paraId="11BA61AC">
            <w:pPr>
              <w:adjustRightInd w:val="0"/>
              <w:snapToGrid w:val="0"/>
              <w:spacing w:line="480" w:lineRule="exact"/>
              <w:ind w:firstLine="480" w:firstLineChars="200"/>
              <w:rPr>
                <w:bCs/>
                <w:sz w:val="24"/>
              </w:rPr>
            </w:pPr>
            <w:r>
              <w:rPr>
                <w:bCs/>
                <w:sz w:val="24"/>
              </w:rPr>
              <w:t>2025年11月至2026年1月，完成风机以及箱变基础施工。</w:t>
            </w:r>
          </w:p>
          <w:p w14:paraId="0E8AE58D">
            <w:pPr>
              <w:adjustRightInd w:val="0"/>
              <w:snapToGrid w:val="0"/>
              <w:spacing w:line="480" w:lineRule="exact"/>
              <w:ind w:firstLine="480" w:firstLineChars="200"/>
              <w:rPr>
                <w:bCs/>
                <w:sz w:val="24"/>
              </w:rPr>
            </w:pPr>
            <w:r>
              <w:rPr>
                <w:bCs/>
                <w:sz w:val="24"/>
              </w:rPr>
              <w:t>2025年11月至2026年1月，完成220kV升压站建筑物及设备基础施工。</w:t>
            </w:r>
          </w:p>
          <w:p w14:paraId="22EAC1C9">
            <w:pPr>
              <w:adjustRightInd w:val="0"/>
              <w:snapToGrid w:val="0"/>
              <w:spacing w:line="480" w:lineRule="exact"/>
              <w:ind w:firstLine="480" w:firstLineChars="200"/>
              <w:rPr>
                <w:bCs/>
                <w:sz w:val="24"/>
              </w:rPr>
            </w:pPr>
            <w:r>
              <w:rPr>
                <w:bCs/>
                <w:sz w:val="24"/>
              </w:rPr>
              <w:t>2026年2月至5月，完成电力电缆、通信及控制光缆线路等施工、安装。</w:t>
            </w:r>
          </w:p>
          <w:p w14:paraId="06B7D97C">
            <w:pPr>
              <w:adjustRightInd w:val="0"/>
              <w:snapToGrid w:val="0"/>
              <w:spacing w:line="480" w:lineRule="exact"/>
              <w:ind w:firstLine="480" w:firstLineChars="200"/>
              <w:rPr>
                <w:bCs/>
                <w:sz w:val="24"/>
              </w:rPr>
            </w:pPr>
            <w:r>
              <w:rPr>
                <w:bCs/>
                <w:sz w:val="24"/>
              </w:rPr>
              <w:t>2026年1月至5月，完成升压站电气设备等施工、安装。</w:t>
            </w:r>
          </w:p>
          <w:p w14:paraId="0614F749">
            <w:pPr>
              <w:adjustRightInd w:val="0"/>
              <w:snapToGrid w:val="0"/>
              <w:spacing w:line="480" w:lineRule="exact"/>
              <w:ind w:firstLine="480" w:firstLineChars="200"/>
              <w:rPr>
                <w:bCs/>
                <w:sz w:val="24"/>
              </w:rPr>
            </w:pPr>
            <w:r>
              <w:rPr>
                <w:bCs/>
                <w:sz w:val="24"/>
              </w:rPr>
              <w:t>2026年1月至5月，完成风电机组及箱变安装。</w:t>
            </w:r>
          </w:p>
          <w:p w14:paraId="22512785">
            <w:pPr>
              <w:adjustRightInd w:val="0"/>
              <w:snapToGrid w:val="0"/>
              <w:spacing w:line="480" w:lineRule="exact"/>
              <w:ind w:firstLine="480" w:firstLineChars="200"/>
              <w:rPr>
                <w:bCs/>
                <w:sz w:val="24"/>
              </w:rPr>
            </w:pPr>
            <w:r>
              <w:rPr>
                <w:bCs/>
                <w:sz w:val="24"/>
              </w:rPr>
              <w:t>2026年6月为完工期，主要为设备调试验收，同时进行临时占地恢复。</w:t>
            </w:r>
          </w:p>
          <w:p w14:paraId="387A8C20">
            <w:pPr>
              <w:adjustRightInd w:val="0"/>
              <w:snapToGrid w:val="0"/>
              <w:spacing w:line="480" w:lineRule="exact"/>
              <w:ind w:firstLine="480" w:firstLineChars="200"/>
              <w:rPr>
                <w:bCs/>
                <w:sz w:val="24"/>
              </w:rPr>
            </w:pPr>
            <w:r>
              <w:rPr>
                <w:bCs/>
                <w:sz w:val="24"/>
              </w:rPr>
              <w:t>全部风电机组于2026年6月底并网发电。</w:t>
            </w:r>
          </w:p>
          <w:p w14:paraId="7AEB6387">
            <w:pPr>
              <w:adjustRightInd w:val="0"/>
              <w:snapToGrid w:val="0"/>
              <w:spacing w:line="480" w:lineRule="exact"/>
              <w:rPr>
                <w:b/>
                <w:bCs/>
                <w:sz w:val="24"/>
              </w:rPr>
            </w:pPr>
            <w:r>
              <w:rPr>
                <w:b/>
                <w:bCs/>
                <w:sz w:val="24"/>
              </w:rPr>
              <w:t>4、服务期满后</w:t>
            </w:r>
          </w:p>
          <w:p w14:paraId="798DCB74">
            <w:pPr>
              <w:autoSpaceDE w:val="0"/>
              <w:autoSpaceDN w:val="0"/>
              <w:spacing w:line="480" w:lineRule="exact"/>
              <w:ind w:firstLine="480" w:firstLineChars="200"/>
              <w:textAlignment w:val="baseline"/>
            </w:pPr>
            <w:r>
              <w:rPr>
                <w:sz w:val="24"/>
              </w:rPr>
              <w:t>待项目运营期满后，按国家相关要求，将对风机组件进行全部拆除或者更换。风电场服务期满后影响主要为拆除的风机组件</w:t>
            </w:r>
            <w:r>
              <w:rPr>
                <w:rFonts w:hint="eastAsia"/>
                <w:sz w:val="24"/>
              </w:rPr>
              <w:t>、箱变</w:t>
            </w:r>
            <w:r>
              <w:rPr>
                <w:sz w:val="24"/>
              </w:rPr>
              <w:t>等固体废物影响及基础拆除产生的生态环境影响。具体拆除及恢复措施由后续拆除方案中要求，不在本项目评价内容内。</w:t>
            </w:r>
          </w:p>
        </w:tc>
      </w:tr>
    </w:tbl>
    <w:p w14:paraId="1855436D">
      <w:pPr>
        <w:pStyle w:val="27"/>
        <w:jc w:val="center"/>
        <w:outlineLvl w:val="0"/>
        <w:rPr>
          <w:rFonts w:ascii="Times New Roman" w:hAnsi="Times New Roman"/>
          <w:snapToGrid w:val="0"/>
          <w:sz w:val="30"/>
          <w:szCs w:val="30"/>
        </w:rPr>
      </w:pPr>
      <w:r>
        <w:rPr>
          <w:rFonts w:ascii="Times New Roman" w:hAnsi="Times New Roman"/>
          <w:b/>
          <w:bCs/>
        </w:rPr>
        <w:br w:type="page"/>
      </w:r>
      <w:r>
        <w:rPr>
          <w:rFonts w:ascii="Times New Roman" w:hAnsi="Times New Roman"/>
          <w:b/>
          <w:bCs/>
          <w:snapToGrid w:val="0"/>
          <w:sz w:val="30"/>
          <w:szCs w:val="30"/>
        </w:rPr>
        <w:t>三、生态环境现状、保护目标及评价标准</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137"/>
      </w:tblGrid>
      <w:tr w14:paraId="3FCD8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225" w:type="pct"/>
            <w:vAlign w:val="center"/>
          </w:tcPr>
          <w:p w14:paraId="41217305">
            <w:pPr>
              <w:adjustRightInd w:val="0"/>
              <w:snapToGrid w:val="0"/>
              <w:jc w:val="center"/>
              <w:rPr>
                <w:kern w:val="0"/>
                <w:sz w:val="24"/>
              </w:rPr>
            </w:pPr>
            <w:r>
              <w:rPr>
                <w:kern w:val="0"/>
                <w:sz w:val="24"/>
              </w:rPr>
              <w:t>生态环境现状</w:t>
            </w:r>
          </w:p>
        </w:tc>
        <w:tc>
          <w:tcPr>
            <w:tcW w:w="4774" w:type="pct"/>
            <w:vAlign w:val="center"/>
          </w:tcPr>
          <w:p w14:paraId="3E5BD1F6">
            <w:pPr>
              <w:widowControl/>
              <w:spacing w:line="480" w:lineRule="exact"/>
              <w:ind w:firstLine="482" w:firstLineChars="200"/>
              <w:jc w:val="left"/>
              <w:rPr>
                <w:b/>
                <w:bCs/>
                <w:sz w:val="24"/>
              </w:rPr>
            </w:pPr>
            <w:r>
              <w:rPr>
                <w:b/>
                <w:bCs/>
                <w:sz w:val="24"/>
              </w:rPr>
              <w:t>1、主体功能区划</w:t>
            </w:r>
          </w:p>
          <w:p w14:paraId="16E65706">
            <w:pPr>
              <w:widowControl/>
              <w:spacing w:line="480" w:lineRule="exact"/>
              <w:ind w:firstLine="480" w:firstLineChars="200"/>
              <w:jc w:val="left"/>
              <w:rPr>
                <w:sz w:val="24"/>
              </w:rPr>
            </w:pPr>
            <w:r>
              <w:rPr>
                <w:sz w:val="24"/>
              </w:rPr>
              <w:t>根据《河北省主体功能区规划》，唐山市曹妃甸区属于国家优化开发区域中的沿海地区，该区功能定位为环渤海地区新兴增长区域，京津城市功能拓展和产业转移的主要承接地，全国重要的新型工业化基地，我国开放合作的新高地，北方沿海生态良好的宜居区，国家循环经济示范区，面向东北亚、内联华北、西北地区对外开放的重要门户，国家重要的海陆综合交通物流枢纽，全省重要的产业、人口聚集区和经济隆起带。该区发展方向：加强港口重点工程建设，完善唐山港、黄骅港、秦皇岛港港口功能。加快公路、铁路、机场等基础设施建设，以综合性港口及集疏通道为重点，建设港口腹地顺畅连接的综合交通网络。构建以当地地表水、跨流域调水工程为骨架，以海水淡化工程、雨洪水调蓄利用工程和中水回用工程为补充的供水体系。加强风能、太阳能、生物质能、海洋能等新能源开发利用，加快油气资源开发，完善能源输送网络。推进引供水设施、防洪（潮）工程和信息基础设施等建设。</w:t>
            </w:r>
          </w:p>
          <w:p w14:paraId="03AE38E7">
            <w:pPr>
              <w:widowControl/>
              <w:spacing w:line="480" w:lineRule="exact"/>
              <w:ind w:firstLine="480" w:firstLineChars="200"/>
              <w:jc w:val="left"/>
              <w:rPr>
                <w:sz w:val="24"/>
              </w:rPr>
            </w:pPr>
            <w:r>
              <w:rPr>
                <w:sz w:val="24"/>
              </w:rPr>
              <w:t>本项目属于陆上风力发电项目，属于加强风能开发利用项目；本项目位于河北省唐山市曹妃甸区，位于国家优化开发区域中的沿海地区，符合功能区发展方向和重点，符合《河北省主体功能区规划》要求。</w:t>
            </w:r>
          </w:p>
          <w:p w14:paraId="65566100">
            <w:pPr>
              <w:rPr>
                <w:b/>
                <w:bCs/>
                <w:sz w:val="24"/>
              </w:rPr>
            </w:pPr>
            <w:r>
              <w:drawing>
                <wp:inline distT="0" distB="0" distL="114300" distR="114300">
                  <wp:extent cx="5062220" cy="6699250"/>
                  <wp:effectExtent l="0" t="0" r="508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cstate="print"/>
                          <a:stretch>
                            <a:fillRect/>
                          </a:stretch>
                        </pic:blipFill>
                        <pic:spPr>
                          <a:xfrm>
                            <a:off x="0" y="0"/>
                            <a:ext cx="5062220" cy="6699250"/>
                          </a:xfrm>
                          <a:prstGeom prst="rect">
                            <a:avLst/>
                          </a:prstGeom>
                          <a:noFill/>
                          <a:ln>
                            <a:noFill/>
                          </a:ln>
                        </pic:spPr>
                      </pic:pic>
                    </a:graphicData>
                  </a:graphic>
                </wp:inline>
              </w:drawing>
            </w:r>
          </w:p>
          <w:p w14:paraId="06DDEF2A">
            <w:pPr>
              <w:spacing w:line="480" w:lineRule="exact"/>
              <w:jc w:val="center"/>
              <w:rPr>
                <w:b/>
                <w:bCs/>
                <w:szCs w:val="21"/>
              </w:rPr>
            </w:pPr>
            <w:r>
              <w:rPr>
                <w:b/>
                <w:bCs/>
                <w:szCs w:val="21"/>
              </w:rPr>
              <w:t>图3-1   本项目与河北省主体功能区位置关系图</w:t>
            </w:r>
          </w:p>
          <w:p w14:paraId="35EA7B75">
            <w:pPr>
              <w:spacing w:line="480" w:lineRule="exact"/>
              <w:ind w:firstLine="482" w:firstLineChars="200"/>
              <w:rPr>
                <w:b/>
                <w:bCs/>
                <w:sz w:val="24"/>
              </w:rPr>
            </w:pPr>
            <w:r>
              <w:rPr>
                <w:b/>
                <w:bCs/>
                <w:sz w:val="24"/>
              </w:rPr>
              <w:t>2、生态功能区划</w:t>
            </w:r>
          </w:p>
          <w:p w14:paraId="3ADD1CA1">
            <w:pPr>
              <w:spacing w:line="480" w:lineRule="exact"/>
              <w:ind w:firstLine="480" w:firstLineChars="200"/>
              <w:rPr>
                <w:sz w:val="24"/>
              </w:rPr>
            </w:pPr>
            <w:r>
              <w:rPr>
                <w:sz w:val="24"/>
              </w:rPr>
              <w:t>根据《河北省人民政府办公厅关于印发河北省建设京津冀生态环境支撑区“十四五”规划的通知》(冀政办字[2021]144号)，将河北省分为环京津生态过渡带、坝上高原生态防护区、燕山-太行山生态涵养区、低平原生态修复区、沿海生态防护区等五个区域。文件中提出优先保障京津冀协同发展重点战略、加速构建区域绿色协调发展格局、共建共享京津冀生态安全屏障、系统提升区域生态环境品质、持续深化生态环境联建联防联治、规划实施保障措施等一系列规划措施及要求。本项目位于河北省唐山市曹妃甸区，根据文件中生态功能区的划分，属于沿海生态防护区。本项目属于电力供应，符合区域生态功能相关规划要求。</w:t>
            </w:r>
          </w:p>
          <w:p w14:paraId="2F528910">
            <w:pPr>
              <w:spacing w:line="480" w:lineRule="exact"/>
              <w:ind w:firstLine="482" w:firstLineChars="200"/>
              <w:rPr>
                <w:sz w:val="24"/>
              </w:rPr>
            </w:pPr>
            <w:r>
              <w:rPr>
                <w:b/>
                <w:bCs/>
                <w:kern w:val="0"/>
                <w:sz w:val="24"/>
              </w:rPr>
              <w:t xml:space="preserve">3、生态环境现状 </w:t>
            </w:r>
          </w:p>
          <w:p w14:paraId="3E07CE12">
            <w:pPr>
              <w:spacing w:line="480" w:lineRule="exact"/>
              <w:ind w:firstLine="482" w:firstLineChars="200"/>
              <w:rPr>
                <w:b/>
                <w:bCs/>
                <w:sz w:val="24"/>
              </w:rPr>
            </w:pPr>
            <w:r>
              <w:rPr>
                <w:b/>
                <w:bCs/>
                <w:sz w:val="24"/>
              </w:rPr>
              <w:t>3.1生态系统</w:t>
            </w:r>
          </w:p>
          <w:p w14:paraId="5BE696BF">
            <w:pPr>
              <w:spacing w:line="480" w:lineRule="exact"/>
              <w:ind w:firstLine="480" w:firstLineChars="200"/>
              <w:rPr>
                <w:sz w:val="24"/>
              </w:rPr>
            </w:pPr>
            <w:r>
              <w:rPr>
                <w:sz w:val="24"/>
              </w:rPr>
              <w:t>本项目位于曹妃甸区，区域气候属于温带半湿润季风气候，区域主要生态系统为农田生态系统</w:t>
            </w:r>
            <w:r>
              <w:rPr>
                <w:rFonts w:hint="eastAsia"/>
                <w:sz w:val="24"/>
              </w:rPr>
              <w:t>和人工</w:t>
            </w:r>
            <w:r>
              <w:rPr>
                <w:sz w:val="24"/>
              </w:rPr>
              <w:t>湿地生态系统。</w:t>
            </w:r>
          </w:p>
          <w:p w14:paraId="636747D6">
            <w:pPr>
              <w:spacing w:line="480" w:lineRule="exact"/>
              <w:ind w:firstLine="482" w:firstLineChars="200"/>
              <w:rPr>
                <w:b/>
                <w:bCs/>
                <w:sz w:val="24"/>
              </w:rPr>
            </w:pPr>
            <w:r>
              <w:rPr>
                <w:b/>
                <w:bCs/>
                <w:sz w:val="24"/>
              </w:rPr>
              <w:t>3.2生态敏感区</w:t>
            </w:r>
          </w:p>
          <w:p w14:paraId="1F109D4C">
            <w:pPr>
              <w:spacing w:line="480" w:lineRule="exact"/>
              <w:ind w:firstLine="480" w:firstLineChars="200"/>
              <w:rPr>
                <w:sz w:val="24"/>
              </w:rPr>
            </w:pPr>
            <w:r>
              <w:rPr>
                <w:sz w:val="24"/>
              </w:rPr>
              <w:t>本项目周边生态敏感区为曹妃甸湿地和鸟类省级自然保护区</w:t>
            </w:r>
            <w:r>
              <w:rPr>
                <w:rFonts w:hint="eastAsia"/>
                <w:sz w:val="24"/>
              </w:rPr>
              <w:t>、</w:t>
            </w:r>
            <w:r>
              <w:rPr>
                <w:sz w:val="24"/>
              </w:rPr>
              <w:t>滦河口省级湿地公园</w:t>
            </w:r>
            <w:r>
              <w:rPr>
                <w:rFonts w:hint="eastAsia"/>
                <w:sz w:val="24"/>
              </w:rPr>
              <w:t>、曹妃甸十里荷香景区和曹妃甸</w:t>
            </w:r>
            <w:r>
              <w:rPr>
                <w:sz w:val="24"/>
              </w:rPr>
              <w:t>十里海河豚小镇。</w:t>
            </w:r>
          </w:p>
          <w:p w14:paraId="6E137BD7">
            <w:pPr>
              <w:spacing w:line="480" w:lineRule="exact"/>
              <w:ind w:firstLine="480" w:firstLineChars="200"/>
              <w:rPr>
                <w:sz w:val="24"/>
              </w:rPr>
            </w:pPr>
            <w:r>
              <w:rPr>
                <w:sz w:val="24"/>
              </w:rPr>
              <w:t>曹妃甸湿地和鸟类省级自然保护区地处海淡水交汇处，总面积10081.40 公顷，其中，核心区面积3504公顷；主要保护对象为湿地生态系统和以湿地 为栖息地的珍稀鸟类。区域内分布有洼淀、苇塘、沼泽、滩涂、河流等天然湿地，又有水库、输排水沟渠、水稻田、水产养殖池塘、卤虫养殖池等人工湿地，是适宜多种鸟类栖息、繁殖的湿地类型，既是东亚—澳大利西亚鸟类迁徙路线上的重要驿站和通道，也是我国东部沿海候鸟南北迁徙的重要停留 地、部分鸟类繁殖和越冬的场所，鸟类资源十分丰富。</w:t>
            </w:r>
          </w:p>
          <w:p w14:paraId="013C5EE1">
            <w:pPr>
              <w:spacing w:line="480" w:lineRule="exact"/>
              <w:ind w:firstLine="480" w:firstLineChars="200"/>
              <w:rPr>
                <w:sz w:val="24"/>
              </w:rPr>
            </w:pPr>
            <w:r>
              <w:rPr>
                <w:sz w:val="24"/>
              </w:rPr>
              <w:t>滦河口省级湿地公园位于乐亭县东部，总面积873.50公顷，湿地面积 871.64公顷，湿地率达到99.79%。滦河口是渤海湾内主要河流入海口之一，是鸟类南北迁徙的必经之地。独特的地理位置和优越的生态环境，使该区域汇聚了陆生、海洋两大区系的众多动植物种类，湿地公园及周边地区共有高等植物57科130属175种，陆生脊椎动物28目65科279种，是东方白鹳、黑嘴鸥等众多珍稀鸟类的迁徙中转站或栖息地，是鸟类南北迁徙的必经之地，是东亚——澳大利西亚候鸟迁徙路线的重要节点。</w:t>
            </w:r>
          </w:p>
          <w:p w14:paraId="584CE6ED">
            <w:pPr>
              <w:spacing w:line="480" w:lineRule="exact"/>
              <w:ind w:firstLine="480" w:firstLineChars="200"/>
              <w:rPr>
                <w:sz w:val="24"/>
              </w:rPr>
            </w:pPr>
            <w:r>
              <w:rPr>
                <w:sz w:val="24"/>
              </w:rPr>
              <w:t>曹妃甸十里荷香景区为国家AAA级旅游景区。十里荷香景区位于曹妃甸区第十农场，总面积100 公顷（ 1500 亩），其中荷塘面积为8公顷（120亩），是一处以荷花为主题，集生态观光、农事休闲、亲子教育、养生度假为一体的特色生态旅游景区。景区地处双龙河西岸，长约十华里，故名十里荷香，素有曹妃甸“白洋淀”之美誉。</w:t>
            </w:r>
          </w:p>
          <w:p w14:paraId="3DC80D98">
            <w:pPr>
              <w:spacing w:line="480" w:lineRule="exact"/>
              <w:ind w:firstLine="480" w:firstLineChars="200"/>
              <w:rPr>
                <w:sz w:val="24"/>
              </w:rPr>
            </w:pPr>
            <w:r>
              <w:rPr>
                <w:rFonts w:hint="eastAsia"/>
                <w:sz w:val="24"/>
              </w:rPr>
              <w:t>曹妃甸</w:t>
            </w:r>
            <w:r>
              <w:rPr>
                <w:sz w:val="24"/>
              </w:rPr>
              <w:t>十里海河豚小镇景区位于唐山市曹妃甸区十里海养殖场，是始建于1985年的国有海水养殖场，专业化从事鱼、虾、蟹、贝类等传统海水养殖，曾创造过对虾单产、总产、规格、效益、创汇五项指标全国第一的辉煌成绩，现有养殖面积1.5万亩，其中河豚养殖面积7000亩，是我国最早开展红鳍东方豚人工育苗和池塘养殖的区域，其良种繁育与池塘虾豚混养技术、河豚鱼越冬技术研究成果国际领先，养殖出的河豚鱼接近于天然，现已成为国内最大的河豚鱼生产、出口基地。先后获得“国家级水产健康养殖示范场”“国家级科技兴海示范区” “河北省农业产业化龙头企业”“河北省无公害水产品生产基地”等荣誉称号，年产中国对虾300吨，河豚500吨，日本车虾100吨，南美白对虾500吨，梭子蟹50吨，经济产值超亿元。2018年十里海河豚小镇被评为唐山市首批“十佳”休闲农业和乡村旅游示范点。2019年7月入选文化和旅游部公布的首批全国乡村旅游重点村，2020年3月被评为国家3A级景区。</w:t>
            </w:r>
          </w:p>
          <w:p w14:paraId="5BFA25D3">
            <w:pPr>
              <w:spacing w:line="480" w:lineRule="exact"/>
              <w:ind w:firstLine="480" w:firstLineChars="200"/>
              <w:rPr>
                <w:b/>
                <w:bCs/>
                <w:sz w:val="24"/>
              </w:rPr>
            </w:pPr>
            <w:r>
              <w:rPr>
                <w:sz w:val="24"/>
              </w:rPr>
              <w:t>工程建设区不涉及自然保护区、世界文化和自然遗产地等特殊生态敏感区，也不在森林公园、风景名胜区、地质公园等重要生态敏感区内，工程区无珍稀保护动植物。工程区属一般区域。</w:t>
            </w:r>
          </w:p>
          <w:p w14:paraId="3100470F">
            <w:pPr>
              <w:spacing w:line="480" w:lineRule="exact"/>
              <w:ind w:firstLine="482" w:firstLineChars="200"/>
              <w:rPr>
                <w:b/>
                <w:bCs/>
                <w:sz w:val="24"/>
              </w:rPr>
            </w:pPr>
            <w:r>
              <w:rPr>
                <w:b/>
                <w:bCs/>
                <w:sz w:val="24"/>
              </w:rPr>
              <w:t>3.3土地利用类型</w:t>
            </w:r>
          </w:p>
          <w:p w14:paraId="7F2F0FE0">
            <w:pPr>
              <w:spacing w:line="480" w:lineRule="exact"/>
              <w:ind w:firstLine="480" w:firstLineChars="200"/>
              <w:rPr>
                <w:kern w:val="0"/>
                <w:sz w:val="24"/>
              </w:rPr>
            </w:pPr>
            <w:r>
              <w:rPr>
                <w:kern w:val="0"/>
                <w:sz w:val="24"/>
              </w:rPr>
              <w:t>本项目位于河北省唐山市曹妃甸区，工程占地面积</w:t>
            </w:r>
            <w:r>
              <w:rPr>
                <w:sz w:val="24"/>
              </w:rPr>
              <w:t>652138</w:t>
            </w:r>
            <w:r>
              <w:rPr>
                <w:kern w:val="0"/>
                <w:sz w:val="24"/>
              </w:rPr>
              <w:t>m</w:t>
            </w:r>
            <w:r>
              <w:rPr>
                <w:kern w:val="0"/>
                <w:sz w:val="24"/>
                <w:vertAlign w:val="superscript"/>
              </w:rPr>
              <w:t>2</w:t>
            </w:r>
            <w:r>
              <w:rPr>
                <w:kern w:val="0"/>
                <w:sz w:val="24"/>
              </w:rPr>
              <w:t>，包括永久占地及临时占地。其中永久占地为</w:t>
            </w:r>
            <w:r>
              <w:rPr>
                <w:sz w:val="24"/>
              </w:rPr>
              <w:t>风机及箱变基础、升压站、进站道路占地</w:t>
            </w:r>
            <w:r>
              <w:rPr>
                <w:kern w:val="0"/>
                <w:sz w:val="24"/>
              </w:rPr>
              <w:t>，占地面积</w:t>
            </w:r>
            <w:r>
              <w:rPr>
                <w:sz w:val="24"/>
              </w:rPr>
              <w:t>4.4918hm</w:t>
            </w:r>
            <w:r>
              <w:rPr>
                <w:sz w:val="24"/>
                <w:vertAlign w:val="superscript"/>
              </w:rPr>
              <w:t>2</w:t>
            </w:r>
            <w:r>
              <w:rPr>
                <w:kern w:val="0"/>
                <w:sz w:val="24"/>
              </w:rPr>
              <w:t>，临时占地为</w:t>
            </w:r>
            <w:r>
              <w:rPr>
                <w:sz w:val="24"/>
              </w:rPr>
              <w:t>场内集电线路塔基占地、施工临建区、风电机组吊装场地、施工道路、集电线路施工占地等</w:t>
            </w:r>
            <w:r>
              <w:rPr>
                <w:kern w:val="0"/>
                <w:sz w:val="24"/>
              </w:rPr>
              <w:t>，占地面积60.722hm</w:t>
            </w:r>
            <w:r>
              <w:rPr>
                <w:kern w:val="0"/>
                <w:sz w:val="24"/>
                <w:vertAlign w:val="superscript"/>
              </w:rPr>
              <w:t>2</w:t>
            </w:r>
            <w:r>
              <w:rPr>
                <w:kern w:val="0"/>
                <w:sz w:val="24"/>
              </w:rPr>
              <w:t>。土地利用类型均为农用地</w:t>
            </w:r>
            <w:r>
              <w:rPr>
                <w:rFonts w:hint="eastAsia"/>
                <w:kern w:val="0"/>
                <w:sz w:val="24"/>
              </w:rPr>
              <w:t>（包括</w:t>
            </w:r>
            <w:r>
              <w:rPr>
                <w:sz w:val="24"/>
              </w:rPr>
              <w:t>坑塘水面、沟渠、果园、设施农用地、旱地、水田、农村道路等</w:t>
            </w:r>
            <w:r>
              <w:rPr>
                <w:rFonts w:hint="eastAsia"/>
                <w:sz w:val="24"/>
              </w:rPr>
              <w:t>）</w:t>
            </w:r>
            <w:r>
              <w:rPr>
                <w:kern w:val="0"/>
                <w:sz w:val="24"/>
              </w:rPr>
              <w:t>，其中耕地0.1204hm</w:t>
            </w:r>
            <w:r>
              <w:rPr>
                <w:kern w:val="0"/>
                <w:sz w:val="24"/>
                <w:vertAlign w:val="superscript"/>
              </w:rPr>
              <w:t>2</w:t>
            </w:r>
            <w:r>
              <w:rPr>
                <w:rFonts w:hint="eastAsia"/>
                <w:kern w:val="0"/>
                <w:sz w:val="24"/>
              </w:rPr>
              <w:t>，本项目所占坑塘水面均为人工坑塘</w:t>
            </w:r>
            <w:r>
              <w:rPr>
                <w:kern w:val="0"/>
                <w:sz w:val="24"/>
              </w:rPr>
              <w:t>。</w:t>
            </w:r>
          </w:p>
          <w:p w14:paraId="2337B036">
            <w:pPr>
              <w:spacing w:line="480" w:lineRule="exact"/>
              <w:ind w:firstLine="482" w:firstLineChars="200"/>
              <w:rPr>
                <w:b/>
                <w:bCs/>
                <w:sz w:val="24"/>
              </w:rPr>
            </w:pPr>
            <w:r>
              <w:rPr>
                <w:b/>
                <w:bCs/>
                <w:sz w:val="24"/>
              </w:rPr>
              <w:t>3.4植被多样性调查</w:t>
            </w:r>
          </w:p>
          <w:p w14:paraId="4D6270D3">
            <w:pPr>
              <w:spacing w:line="480" w:lineRule="exact"/>
              <w:ind w:firstLine="480" w:firstLineChars="200"/>
              <w:rPr>
                <w:sz w:val="24"/>
              </w:rPr>
            </w:pPr>
            <w:r>
              <w:rPr>
                <w:sz w:val="24"/>
              </w:rPr>
              <w:t xml:space="preserve">唐山市属暖温带落叶阔叶林植被区，处于华北、东北两植物区系的边缘，东西部植物系的各种植物兼有。全市野生植物共有204科、568属、1524种。野生动物有530余种，其中鸟类420种，哺乳类80种，两栖类和爬行类较少，分别为8种和23种；全市有省级以上重点保护动物91种，其中国家一级保护动物18种，国家二级保护动物、省级重点保护动物共73种。 </w:t>
            </w:r>
          </w:p>
          <w:p w14:paraId="43D9B85C">
            <w:pPr>
              <w:widowControl/>
              <w:spacing w:line="480" w:lineRule="exact"/>
              <w:ind w:firstLine="480" w:firstLineChars="200"/>
              <w:jc w:val="left"/>
              <w:rPr>
                <w:kern w:val="0"/>
                <w:sz w:val="24"/>
              </w:rPr>
            </w:pPr>
            <w:r>
              <w:rPr>
                <w:kern w:val="0"/>
                <w:sz w:val="24"/>
              </w:rPr>
              <w:t>项目位于曹妃甸区，项目选址区域为平原区，地面无较大起伏变化。本项目所在区域植被类型主要为人工林和耕地。人工林以杨树、刺槐、榆树、柳树等落叶阔叶树种为主。主要的粮食作物有：玉米、水稻；果树有：桃、葡萄等。项目区域不涉及公益生态林、名木古树、名胜古迹和重点文物等。</w:t>
            </w:r>
          </w:p>
          <w:p w14:paraId="6C95D0C6">
            <w:pPr>
              <w:widowControl/>
              <w:spacing w:line="480" w:lineRule="exact"/>
              <w:ind w:firstLine="482" w:firstLineChars="200"/>
              <w:jc w:val="left"/>
              <w:rPr>
                <w:b/>
                <w:bCs/>
                <w:kern w:val="0"/>
                <w:sz w:val="24"/>
              </w:rPr>
            </w:pPr>
            <w:r>
              <w:rPr>
                <w:b/>
                <w:bCs/>
                <w:kern w:val="0"/>
                <w:sz w:val="24"/>
              </w:rPr>
              <w:t>3.5动物多样性调查</w:t>
            </w:r>
          </w:p>
          <w:p w14:paraId="0BC75140">
            <w:pPr>
              <w:widowControl/>
              <w:spacing w:line="480" w:lineRule="exact"/>
              <w:ind w:firstLine="482" w:firstLineChars="200"/>
              <w:jc w:val="left"/>
              <w:rPr>
                <w:b/>
                <w:bCs/>
                <w:kern w:val="0"/>
                <w:sz w:val="24"/>
              </w:rPr>
            </w:pPr>
            <w:r>
              <w:rPr>
                <w:rFonts w:hint="eastAsia"/>
                <w:b/>
                <w:bCs/>
                <w:kern w:val="0"/>
                <w:sz w:val="24"/>
              </w:rPr>
              <w:t>3.5.</w:t>
            </w:r>
            <w:r>
              <w:rPr>
                <w:b/>
                <w:bCs/>
                <w:kern w:val="0"/>
                <w:sz w:val="24"/>
              </w:rPr>
              <w:t>1陆生动物</w:t>
            </w:r>
          </w:p>
          <w:p w14:paraId="4D0DA29C">
            <w:pPr>
              <w:widowControl/>
              <w:spacing w:line="480" w:lineRule="exact"/>
              <w:ind w:firstLine="480" w:firstLineChars="200"/>
              <w:jc w:val="left"/>
              <w:rPr>
                <w:kern w:val="0"/>
                <w:sz w:val="24"/>
              </w:rPr>
            </w:pPr>
            <w:r>
              <w:rPr>
                <w:kern w:val="0"/>
                <w:sz w:val="24"/>
              </w:rPr>
              <w:t>经过查阅资料可知，本项目周边很少有大型野生动物，野生动物的种类主要为野兔、田鼠等常见动物，均为常见的物种。本项目评价范围内未发现国家重点保护野生动植物及其栖息地、繁殖地、觅食、活动区域等。</w:t>
            </w:r>
          </w:p>
          <w:p w14:paraId="314BD797">
            <w:pPr>
              <w:widowControl/>
              <w:spacing w:line="480" w:lineRule="exact"/>
              <w:ind w:firstLine="482" w:firstLineChars="200"/>
              <w:jc w:val="left"/>
              <w:rPr>
                <w:b/>
                <w:bCs/>
                <w:kern w:val="0"/>
                <w:sz w:val="24"/>
              </w:rPr>
            </w:pPr>
            <w:r>
              <w:rPr>
                <w:b/>
                <w:bCs/>
                <w:kern w:val="0"/>
                <w:sz w:val="24"/>
              </w:rPr>
              <w:t>3.5.2鸟类现状调查</w:t>
            </w:r>
          </w:p>
          <w:p w14:paraId="19EBD457">
            <w:pPr>
              <w:adjustRightInd w:val="0"/>
              <w:snapToGrid w:val="0"/>
              <w:spacing w:line="480" w:lineRule="exact"/>
              <w:ind w:firstLine="482" w:firstLineChars="200"/>
              <w:rPr>
                <w:b/>
                <w:bCs/>
                <w:sz w:val="24"/>
              </w:rPr>
            </w:pPr>
            <w:r>
              <w:rPr>
                <w:b/>
                <w:bCs/>
                <w:sz w:val="24"/>
              </w:rPr>
              <w:t>（1）调查方法</w:t>
            </w:r>
          </w:p>
          <w:p w14:paraId="74A15E46">
            <w:pPr>
              <w:adjustRightInd w:val="0"/>
              <w:snapToGrid w:val="0"/>
              <w:spacing w:line="480" w:lineRule="exact"/>
              <w:ind w:firstLine="480" w:firstLineChars="200"/>
              <w:rPr>
                <w:sz w:val="24"/>
              </w:rPr>
            </w:pPr>
            <w:r>
              <w:rPr>
                <w:sz w:val="24"/>
              </w:rPr>
              <w:t>在对调查区域进行现场踏勘的基础上，根据调查区域生境现状和道路通行条件，以及不同类群鸟类的分布特征和代表性，采用样线调查和定点观察相结合的方法进行。样线布设综合考虑生境类型与代表性、交通便利性和项目风机布设等，最终在调查区域形成2</w:t>
            </w:r>
            <w:r>
              <w:rPr>
                <w:rFonts w:hint="eastAsia"/>
                <w:sz w:val="24"/>
              </w:rPr>
              <w:t>2</w:t>
            </w:r>
            <w:r>
              <w:rPr>
                <w:sz w:val="24"/>
              </w:rPr>
              <w:t>条样线（表</w:t>
            </w:r>
            <w:r>
              <w:rPr>
                <w:rFonts w:hint="eastAsia"/>
                <w:sz w:val="24"/>
              </w:rPr>
              <w:t>3-1</w:t>
            </w:r>
            <w:r>
              <w:rPr>
                <w:sz w:val="24"/>
              </w:rPr>
              <w:t>），调查样线分布图</w:t>
            </w:r>
            <w:r>
              <w:rPr>
                <w:rFonts w:hint="eastAsia"/>
                <w:sz w:val="24"/>
              </w:rPr>
              <w:t>见附图8。</w:t>
            </w:r>
            <w:r>
              <w:rPr>
                <w:sz w:val="24"/>
              </w:rPr>
              <w:t>样线涵盖了调查区域内的典型生境，包括稻田、村庄、林带、养殖塘、沟渠、河流等生态景观，样线总长度为113.24km。样点布设均位于样线，在鸟类分布较为集中的区域进行定点观察。</w:t>
            </w:r>
          </w:p>
          <w:p w14:paraId="1553E9D1">
            <w:pPr>
              <w:adjustRightInd w:val="0"/>
              <w:snapToGrid w:val="0"/>
              <w:spacing w:line="480" w:lineRule="exact"/>
              <w:jc w:val="center"/>
              <w:rPr>
                <w:b/>
                <w:bCs/>
                <w:szCs w:val="21"/>
              </w:rPr>
            </w:pPr>
            <w:r>
              <w:rPr>
                <w:b/>
                <w:bCs/>
                <w:szCs w:val="21"/>
              </w:rPr>
              <w:t>表</w:t>
            </w:r>
            <w:r>
              <w:rPr>
                <w:rFonts w:hint="eastAsia"/>
                <w:b/>
                <w:bCs/>
                <w:szCs w:val="21"/>
              </w:rPr>
              <w:t>3</w:t>
            </w:r>
            <w:r>
              <w:rPr>
                <w:b/>
                <w:bCs/>
                <w:szCs w:val="21"/>
              </w:rPr>
              <w:t xml:space="preserve">-1 </w:t>
            </w:r>
            <w:r>
              <w:rPr>
                <w:rFonts w:hint="eastAsia"/>
                <w:b/>
                <w:bCs/>
                <w:szCs w:val="21"/>
              </w:rPr>
              <w:t xml:space="preserve">   </w:t>
            </w:r>
            <w:r>
              <w:rPr>
                <w:b/>
                <w:bCs/>
                <w:szCs w:val="21"/>
              </w:rPr>
              <w:t>调查样线基本信息</w:t>
            </w:r>
          </w:p>
          <w:tbl>
            <w:tblPr>
              <w:tblStyle w:val="32"/>
              <w:tblW w:w="7937" w:type="dxa"/>
              <w:tblInd w:w="0" w:type="dxa"/>
              <w:tblLayout w:type="fixed"/>
              <w:tblCellMar>
                <w:top w:w="0" w:type="dxa"/>
                <w:left w:w="57" w:type="dxa"/>
                <w:bottom w:w="0" w:type="dxa"/>
                <w:right w:w="57" w:type="dxa"/>
              </w:tblCellMar>
            </w:tblPr>
            <w:tblGrid>
              <w:gridCol w:w="681"/>
              <w:gridCol w:w="682"/>
              <w:gridCol w:w="135"/>
              <w:gridCol w:w="2167"/>
              <w:gridCol w:w="4272"/>
            </w:tblGrid>
            <w:tr w14:paraId="6EA69E3D">
              <w:tblPrEx>
                <w:tblCellMar>
                  <w:top w:w="0" w:type="dxa"/>
                  <w:left w:w="57" w:type="dxa"/>
                  <w:bottom w:w="0" w:type="dxa"/>
                  <w:right w:w="57" w:type="dxa"/>
                </w:tblCellMar>
              </w:tblPrEx>
              <w:trPr>
                <w:trHeight w:val="300" w:hRule="atLeast"/>
              </w:trPr>
              <w:tc>
                <w:tcPr>
                  <w:tcW w:w="709" w:type="dxa"/>
                  <w:tcBorders>
                    <w:top w:val="single" w:color="auto" w:sz="4" w:space="0"/>
                    <w:bottom w:val="single" w:color="auto" w:sz="4" w:space="0"/>
                  </w:tcBorders>
                  <w:shd w:val="clear" w:color="auto" w:fill="auto"/>
                  <w:noWrap/>
                  <w:vAlign w:val="center"/>
                </w:tcPr>
                <w:p w14:paraId="0A7A7801">
                  <w:pPr>
                    <w:widowControl/>
                    <w:jc w:val="center"/>
                    <w:rPr>
                      <w:rFonts w:eastAsia="等线"/>
                      <w:kern w:val="0"/>
                      <w:sz w:val="22"/>
                    </w:rPr>
                  </w:pPr>
                  <w:r>
                    <w:rPr>
                      <w:rFonts w:hint="eastAsia" w:ascii="宋体" w:hAnsi="宋体"/>
                      <w:kern w:val="0"/>
                      <w:sz w:val="22"/>
                    </w:rPr>
                    <w:t>样线编号</w:t>
                  </w:r>
                </w:p>
              </w:tc>
              <w:tc>
                <w:tcPr>
                  <w:tcW w:w="851" w:type="dxa"/>
                  <w:gridSpan w:val="2"/>
                  <w:tcBorders>
                    <w:top w:val="single" w:color="auto" w:sz="4" w:space="0"/>
                    <w:bottom w:val="single" w:color="auto" w:sz="4" w:space="0"/>
                  </w:tcBorders>
                  <w:shd w:val="clear" w:color="auto" w:fill="auto"/>
                  <w:noWrap/>
                  <w:vAlign w:val="center"/>
                </w:tcPr>
                <w:p w14:paraId="613CEAAB">
                  <w:pPr>
                    <w:widowControl/>
                    <w:jc w:val="center"/>
                    <w:rPr>
                      <w:rFonts w:eastAsia="等线"/>
                      <w:kern w:val="0"/>
                      <w:sz w:val="22"/>
                    </w:rPr>
                  </w:pPr>
                  <w:r>
                    <w:rPr>
                      <w:rFonts w:hint="eastAsia" w:ascii="宋体" w:hAnsi="宋体"/>
                      <w:kern w:val="0"/>
                      <w:sz w:val="22"/>
                    </w:rPr>
                    <w:t>样线长度(km)</w:t>
                  </w:r>
                </w:p>
              </w:tc>
              <w:tc>
                <w:tcPr>
                  <w:tcW w:w="2268" w:type="dxa"/>
                  <w:tcBorders>
                    <w:top w:val="single" w:color="auto" w:sz="4" w:space="0"/>
                    <w:bottom w:val="single" w:color="auto" w:sz="4" w:space="0"/>
                  </w:tcBorders>
                  <w:shd w:val="clear" w:color="auto" w:fill="auto"/>
                  <w:noWrap/>
                  <w:vAlign w:val="center"/>
                </w:tcPr>
                <w:p w14:paraId="0147A6B4">
                  <w:pPr>
                    <w:widowControl/>
                    <w:jc w:val="center"/>
                    <w:rPr>
                      <w:rFonts w:eastAsia="等线"/>
                      <w:kern w:val="0"/>
                      <w:sz w:val="22"/>
                    </w:rPr>
                  </w:pPr>
                  <w:r>
                    <w:rPr>
                      <w:rFonts w:hint="eastAsia" w:ascii="宋体" w:hAnsi="宋体"/>
                      <w:kern w:val="0"/>
                      <w:sz w:val="22"/>
                    </w:rPr>
                    <w:t>样线生境</w:t>
                  </w:r>
                </w:p>
              </w:tc>
              <w:tc>
                <w:tcPr>
                  <w:tcW w:w="4478" w:type="dxa"/>
                  <w:tcBorders>
                    <w:top w:val="single" w:color="auto" w:sz="4" w:space="0"/>
                    <w:bottom w:val="single" w:color="auto" w:sz="4" w:space="0"/>
                  </w:tcBorders>
                  <w:shd w:val="clear" w:color="auto" w:fill="auto"/>
                  <w:noWrap/>
                  <w:vAlign w:val="center"/>
                </w:tcPr>
                <w:p w14:paraId="03362CA9">
                  <w:pPr>
                    <w:widowControl/>
                    <w:jc w:val="center"/>
                    <w:rPr>
                      <w:rFonts w:eastAsia="等线"/>
                      <w:kern w:val="0"/>
                      <w:sz w:val="22"/>
                    </w:rPr>
                  </w:pPr>
                  <w:r>
                    <w:rPr>
                      <w:rFonts w:hint="eastAsia" w:ascii="宋体" w:hAnsi="宋体"/>
                      <w:kern w:val="0"/>
                      <w:sz w:val="22"/>
                    </w:rPr>
                    <w:t>样线坐标</w:t>
                  </w:r>
                </w:p>
              </w:tc>
            </w:tr>
            <w:tr w14:paraId="14740E40">
              <w:tblPrEx>
                <w:tblCellMar>
                  <w:top w:w="0" w:type="dxa"/>
                  <w:left w:w="57" w:type="dxa"/>
                  <w:bottom w:w="0" w:type="dxa"/>
                  <w:right w:w="57" w:type="dxa"/>
                </w:tblCellMar>
              </w:tblPrEx>
              <w:trPr>
                <w:trHeight w:val="300" w:hRule="atLeast"/>
              </w:trPr>
              <w:tc>
                <w:tcPr>
                  <w:tcW w:w="709" w:type="dxa"/>
                  <w:tcBorders>
                    <w:top w:val="single" w:color="auto" w:sz="4" w:space="0"/>
                  </w:tcBorders>
                  <w:shd w:val="clear" w:color="auto" w:fill="auto"/>
                  <w:noWrap/>
                  <w:vAlign w:val="center"/>
                </w:tcPr>
                <w:p w14:paraId="5CF0D3FE">
                  <w:pPr>
                    <w:widowControl/>
                    <w:jc w:val="center"/>
                    <w:rPr>
                      <w:rFonts w:eastAsia="等线"/>
                      <w:kern w:val="0"/>
                      <w:sz w:val="22"/>
                    </w:rPr>
                  </w:pPr>
                  <w:r>
                    <w:rPr>
                      <w:rFonts w:eastAsia="等线"/>
                      <w:kern w:val="0"/>
                      <w:sz w:val="22"/>
                    </w:rPr>
                    <w:t>1</w:t>
                  </w:r>
                </w:p>
              </w:tc>
              <w:tc>
                <w:tcPr>
                  <w:tcW w:w="709" w:type="dxa"/>
                  <w:tcBorders>
                    <w:top w:val="single" w:color="auto" w:sz="4" w:space="0"/>
                  </w:tcBorders>
                  <w:shd w:val="clear" w:color="auto" w:fill="auto"/>
                  <w:noWrap/>
                  <w:vAlign w:val="center"/>
                </w:tcPr>
                <w:p w14:paraId="65AEDABA">
                  <w:pPr>
                    <w:widowControl/>
                    <w:jc w:val="center"/>
                    <w:rPr>
                      <w:rFonts w:eastAsia="等线"/>
                      <w:kern w:val="0"/>
                      <w:sz w:val="20"/>
                      <w:szCs w:val="20"/>
                    </w:rPr>
                  </w:pPr>
                  <w:r>
                    <w:rPr>
                      <w:rFonts w:eastAsia="等线"/>
                      <w:kern w:val="0"/>
                      <w:sz w:val="20"/>
                      <w:szCs w:val="20"/>
                    </w:rPr>
                    <w:t>6.62</w:t>
                  </w:r>
                </w:p>
              </w:tc>
              <w:tc>
                <w:tcPr>
                  <w:tcW w:w="2410" w:type="dxa"/>
                  <w:gridSpan w:val="2"/>
                  <w:tcBorders>
                    <w:top w:val="single" w:color="auto" w:sz="4" w:space="0"/>
                  </w:tcBorders>
                  <w:shd w:val="clear" w:color="auto" w:fill="auto"/>
                  <w:noWrap/>
                  <w:vAlign w:val="center"/>
                </w:tcPr>
                <w:p w14:paraId="485BD367">
                  <w:pPr>
                    <w:widowControl/>
                    <w:rPr>
                      <w:rFonts w:eastAsia="等线"/>
                      <w:kern w:val="0"/>
                      <w:sz w:val="22"/>
                    </w:rPr>
                  </w:pPr>
                  <w:r>
                    <w:rPr>
                      <w:rFonts w:hint="eastAsia" w:ascii="宋体" w:hAnsi="宋体"/>
                      <w:kern w:val="0"/>
                      <w:sz w:val="22"/>
                    </w:rPr>
                    <w:t>稻田</w:t>
                  </w:r>
                </w:p>
              </w:tc>
              <w:tc>
                <w:tcPr>
                  <w:tcW w:w="4478" w:type="dxa"/>
                  <w:tcBorders>
                    <w:top w:val="single" w:color="auto" w:sz="4" w:space="0"/>
                  </w:tcBorders>
                  <w:shd w:val="clear" w:color="auto" w:fill="auto"/>
                  <w:noWrap/>
                  <w:vAlign w:val="center"/>
                </w:tcPr>
                <w:p w14:paraId="51CDB422">
                  <w:pPr>
                    <w:widowControl/>
                    <w:rPr>
                      <w:rFonts w:eastAsia="等线"/>
                      <w:kern w:val="0"/>
                      <w:sz w:val="20"/>
                      <w:szCs w:val="20"/>
                    </w:rPr>
                  </w:pPr>
                  <w:r>
                    <w:rPr>
                      <w:rFonts w:eastAsia="等线"/>
                      <w:kern w:val="0"/>
                      <w:sz w:val="20"/>
                      <w:szCs w:val="20"/>
                    </w:rPr>
                    <w:t>118.212544°</w:t>
                  </w:r>
                  <w:r>
                    <w:rPr>
                      <w:rFonts w:hint="eastAsia" w:ascii="宋体" w:hAnsi="宋体"/>
                      <w:kern w:val="0"/>
                      <w:sz w:val="20"/>
                      <w:szCs w:val="20"/>
                    </w:rPr>
                    <w:t>,</w:t>
                  </w:r>
                  <w:r>
                    <w:rPr>
                      <w:rFonts w:eastAsia="等线"/>
                      <w:kern w:val="0"/>
                      <w:sz w:val="20"/>
                      <w:szCs w:val="20"/>
                    </w:rPr>
                    <w:t>39.419824°-118.234677°</w:t>
                  </w:r>
                  <w:r>
                    <w:rPr>
                      <w:rFonts w:hint="eastAsia" w:ascii="宋体" w:hAnsi="宋体"/>
                      <w:kern w:val="0"/>
                      <w:sz w:val="20"/>
                      <w:szCs w:val="20"/>
                    </w:rPr>
                    <w:t>,</w:t>
                  </w:r>
                  <w:r>
                    <w:rPr>
                      <w:rFonts w:eastAsia="等线"/>
                      <w:kern w:val="0"/>
                      <w:sz w:val="20"/>
                      <w:szCs w:val="20"/>
                    </w:rPr>
                    <w:t>39.368859°</w:t>
                  </w:r>
                </w:p>
              </w:tc>
            </w:tr>
            <w:tr w14:paraId="16C8488C">
              <w:tblPrEx>
                <w:tblCellMar>
                  <w:top w:w="0" w:type="dxa"/>
                  <w:left w:w="57" w:type="dxa"/>
                  <w:bottom w:w="0" w:type="dxa"/>
                  <w:right w:w="57" w:type="dxa"/>
                </w:tblCellMar>
              </w:tblPrEx>
              <w:trPr>
                <w:trHeight w:val="300" w:hRule="atLeast"/>
              </w:trPr>
              <w:tc>
                <w:tcPr>
                  <w:tcW w:w="709" w:type="dxa"/>
                  <w:shd w:val="clear" w:color="auto" w:fill="auto"/>
                  <w:noWrap/>
                  <w:vAlign w:val="center"/>
                </w:tcPr>
                <w:p w14:paraId="0F69BBFA">
                  <w:pPr>
                    <w:widowControl/>
                    <w:jc w:val="center"/>
                    <w:rPr>
                      <w:rFonts w:eastAsia="等线"/>
                      <w:kern w:val="0"/>
                      <w:sz w:val="22"/>
                    </w:rPr>
                  </w:pPr>
                  <w:r>
                    <w:rPr>
                      <w:rFonts w:eastAsia="等线"/>
                      <w:kern w:val="0"/>
                      <w:sz w:val="22"/>
                    </w:rPr>
                    <w:t>2</w:t>
                  </w:r>
                </w:p>
              </w:tc>
              <w:tc>
                <w:tcPr>
                  <w:tcW w:w="709" w:type="dxa"/>
                  <w:shd w:val="clear" w:color="auto" w:fill="auto"/>
                  <w:noWrap/>
                  <w:vAlign w:val="center"/>
                </w:tcPr>
                <w:p w14:paraId="14EE85BD">
                  <w:pPr>
                    <w:widowControl/>
                    <w:jc w:val="center"/>
                    <w:rPr>
                      <w:rFonts w:eastAsia="等线"/>
                      <w:kern w:val="0"/>
                      <w:sz w:val="20"/>
                      <w:szCs w:val="20"/>
                    </w:rPr>
                  </w:pPr>
                  <w:r>
                    <w:rPr>
                      <w:rFonts w:eastAsia="等线"/>
                      <w:kern w:val="0"/>
                      <w:sz w:val="20"/>
                      <w:szCs w:val="20"/>
                    </w:rPr>
                    <w:t>5.25</w:t>
                  </w:r>
                </w:p>
              </w:tc>
              <w:tc>
                <w:tcPr>
                  <w:tcW w:w="2410" w:type="dxa"/>
                  <w:gridSpan w:val="2"/>
                  <w:shd w:val="clear" w:color="auto" w:fill="auto"/>
                  <w:noWrap/>
                  <w:vAlign w:val="center"/>
                </w:tcPr>
                <w:p w14:paraId="144B0815">
                  <w:pPr>
                    <w:widowControl/>
                    <w:rPr>
                      <w:rFonts w:eastAsia="等线"/>
                      <w:kern w:val="0"/>
                      <w:sz w:val="22"/>
                    </w:rPr>
                  </w:pPr>
                  <w:r>
                    <w:rPr>
                      <w:rFonts w:hint="eastAsia" w:ascii="宋体" w:hAnsi="宋体"/>
                      <w:kern w:val="0"/>
                      <w:sz w:val="22"/>
                    </w:rPr>
                    <w:t>稻田、村庄、养殖塘</w:t>
                  </w:r>
                </w:p>
              </w:tc>
              <w:tc>
                <w:tcPr>
                  <w:tcW w:w="4478" w:type="dxa"/>
                  <w:shd w:val="clear" w:color="auto" w:fill="auto"/>
                  <w:noWrap/>
                  <w:vAlign w:val="center"/>
                </w:tcPr>
                <w:p w14:paraId="6D84BB70">
                  <w:pPr>
                    <w:widowControl/>
                    <w:rPr>
                      <w:rFonts w:eastAsia="等线"/>
                      <w:kern w:val="0"/>
                      <w:sz w:val="20"/>
                      <w:szCs w:val="20"/>
                    </w:rPr>
                  </w:pPr>
                  <w:r>
                    <w:rPr>
                      <w:rFonts w:eastAsia="等线"/>
                      <w:kern w:val="0"/>
                      <w:sz w:val="20"/>
                      <w:szCs w:val="20"/>
                    </w:rPr>
                    <w:t>118.293913°</w:t>
                  </w:r>
                  <w:r>
                    <w:rPr>
                      <w:rFonts w:hint="eastAsia" w:ascii="宋体" w:hAnsi="宋体"/>
                      <w:kern w:val="0"/>
                      <w:sz w:val="20"/>
                      <w:szCs w:val="20"/>
                    </w:rPr>
                    <w:t>,</w:t>
                  </w:r>
                  <w:r>
                    <w:rPr>
                      <w:rFonts w:eastAsia="等线"/>
                      <w:kern w:val="0"/>
                      <w:sz w:val="20"/>
                      <w:szCs w:val="20"/>
                    </w:rPr>
                    <w:t>39.403346°-118.234432°</w:t>
                  </w:r>
                  <w:r>
                    <w:rPr>
                      <w:rFonts w:hint="eastAsia" w:ascii="宋体" w:hAnsi="宋体"/>
                      <w:kern w:val="0"/>
                      <w:sz w:val="20"/>
                      <w:szCs w:val="20"/>
                    </w:rPr>
                    <w:t>,</w:t>
                  </w:r>
                  <w:r>
                    <w:rPr>
                      <w:rFonts w:eastAsia="等线"/>
                      <w:kern w:val="0"/>
                      <w:sz w:val="20"/>
                      <w:szCs w:val="20"/>
                    </w:rPr>
                    <w:t>39.395237°</w:t>
                  </w:r>
                </w:p>
              </w:tc>
            </w:tr>
            <w:tr w14:paraId="623256FE">
              <w:tblPrEx>
                <w:tblCellMar>
                  <w:top w:w="0" w:type="dxa"/>
                  <w:left w:w="57" w:type="dxa"/>
                  <w:bottom w:w="0" w:type="dxa"/>
                  <w:right w:w="57" w:type="dxa"/>
                </w:tblCellMar>
              </w:tblPrEx>
              <w:trPr>
                <w:trHeight w:val="300" w:hRule="atLeast"/>
              </w:trPr>
              <w:tc>
                <w:tcPr>
                  <w:tcW w:w="709" w:type="dxa"/>
                  <w:shd w:val="clear" w:color="auto" w:fill="auto"/>
                  <w:noWrap/>
                  <w:vAlign w:val="center"/>
                </w:tcPr>
                <w:p w14:paraId="21C82872">
                  <w:pPr>
                    <w:widowControl/>
                    <w:jc w:val="center"/>
                    <w:rPr>
                      <w:rFonts w:eastAsia="等线"/>
                      <w:kern w:val="0"/>
                      <w:sz w:val="22"/>
                    </w:rPr>
                  </w:pPr>
                  <w:r>
                    <w:rPr>
                      <w:rFonts w:eastAsia="等线"/>
                      <w:kern w:val="0"/>
                      <w:sz w:val="22"/>
                    </w:rPr>
                    <w:t>3</w:t>
                  </w:r>
                </w:p>
              </w:tc>
              <w:tc>
                <w:tcPr>
                  <w:tcW w:w="709" w:type="dxa"/>
                  <w:shd w:val="clear" w:color="auto" w:fill="auto"/>
                  <w:noWrap/>
                  <w:vAlign w:val="center"/>
                </w:tcPr>
                <w:p w14:paraId="77EAE44D">
                  <w:pPr>
                    <w:widowControl/>
                    <w:jc w:val="center"/>
                    <w:rPr>
                      <w:rFonts w:eastAsia="等线"/>
                      <w:kern w:val="0"/>
                      <w:sz w:val="20"/>
                      <w:szCs w:val="20"/>
                    </w:rPr>
                  </w:pPr>
                  <w:r>
                    <w:rPr>
                      <w:rFonts w:eastAsia="等线"/>
                      <w:kern w:val="0"/>
                      <w:sz w:val="20"/>
                      <w:szCs w:val="20"/>
                    </w:rPr>
                    <w:t>2.52</w:t>
                  </w:r>
                </w:p>
              </w:tc>
              <w:tc>
                <w:tcPr>
                  <w:tcW w:w="2410" w:type="dxa"/>
                  <w:gridSpan w:val="2"/>
                  <w:shd w:val="clear" w:color="auto" w:fill="auto"/>
                  <w:noWrap/>
                  <w:vAlign w:val="center"/>
                </w:tcPr>
                <w:p w14:paraId="6366B9EA">
                  <w:pPr>
                    <w:widowControl/>
                    <w:rPr>
                      <w:rFonts w:eastAsia="等线"/>
                      <w:kern w:val="0"/>
                      <w:sz w:val="22"/>
                    </w:rPr>
                  </w:pPr>
                  <w:r>
                    <w:rPr>
                      <w:rFonts w:hint="eastAsia" w:ascii="宋体" w:hAnsi="宋体"/>
                      <w:kern w:val="0"/>
                      <w:sz w:val="22"/>
                    </w:rPr>
                    <w:t>稻田、建筑</w:t>
                  </w:r>
                </w:p>
              </w:tc>
              <w:tc>
                <w:tcPr>
                  <w:tcW w:w="4478" w:type="dxa"/>
                  <w:shd w:val="clear" w:color="auto" w:fill="auto"/>
                  <w:noWrap/>
                  <w:vAlign w:val="center"/>
                </w:tcPr>
                <w:p w14:paraId="0BABC5EB">
                  <w:pPr>
                    <w:widowControl/>
                    <w:rPr>
                      <w:rFonts w:eastAsia="等线"/>
                      <w:kern w:val="0"/>
                      <w:sz w:val="20"/>
                      <w:szCs w:val="20"/>
                    </w:rPr>
                  </w:pPr>
                  <w:r>
                    <w:rPr>
                      <w:rFonts w:eastAsia="等线"/>
                      <w:kern w:val="0"/>
                      <w:sz w:val="20"/>
                      <w:szCs w:val="20"/>
                    </w:rPr>
                    <w:t>118.254471°</w:t>
                  </w:r>
                  <w:r>
                    <w:rPr>
                      <w:rFonts w:hint="eastAsia" w:ascii="宋体" w:hAnsi="宋体"/>
                      <w:kern w:val="0"/>
                      <w:sz w:val="20"/>
                      <w:szCs w:val="20"/>
                    </w:rPr>
                    <w:t>,</w:t>
                  </w:r>
                  <w:r>
                    <w:rPr>
                      <w:rFonts w:eastAsia="等线"/>
                      <w:kern w:val="0"/>
                      <w:sz w:val="20"/>
                      <w:szCs w:val="20"/>
                    </w:rPr>
                    <w:t>39.372828°-118.251332°</w:t>
                  </w:r>
                  <w:r>
                    <w:rPr>
                      <w:rFonts w:hint="eastAsia" w:ascii="宋体" w:hAnsi="宋体"/>
                      <w:kern w:val="0"/>
                      <w:sz w:val="20"/>
                      <w:szCs w:val="20"/>
                    </w:rPr>
                    <w:t>,</w:t>
                  </w:r>
                  <w:r>
                    <w:rPr>
                      <w:rFonts w:eastAsia="等线"/>
                      <w:kern w:val="0"/>
                      <w:sz w:val="20"/>
                      <w:szCs w:val="20"/>
                    </w:rPr>
                    <w:t>39.395368°</w:t>
                  </w:r>
                </w:p>
              </w:tc>
            </w:tr>
            <w:tr w14:paraId="365440C5">
              <w:tblPrEx>
                <w:tblCellMar>
                  <w:top w:w="0" w:type="dxa"/>
                  <w:left w:w="57" w:type="dxa"/>
                  <w:bottom w:w="0" w:type="dxa"/>
                  <w:right w:w="57" w:type="dxa"/>
                </w:tblCellMar>
              </w:tblPrEx>
              <w:trPr>
                <w:trHeight w:val="300" w:hRule="atLeast"/>
              </w:trPr>
              <w:tc>
                <w:tcPr>
                  <w:tcW w:w="709" w:type="dxa"/>
                  <w:shd w:val="clear" w:color="auto" w:fill="auto"/>
                  <w:noWrap/>
                  <w:vAlign w:val="center"/>
                </w:tcPr>
                <w:p w14:paraId="3A584FDC">
                  <w:pPr>
                    <w:widowControl/>
                    <w:jc w:val="center"/>
                    <w:rPr>
                      <w:rFonts w:eastAsia="等线"/>
                      <w:kern w:val="0"/>
                      <w:sz w:val="22"/>
                    </w:rPr>
                  </w:pPr>
                  <w:r>
                    <w:rPr>
                      <w:rFonts w:eastAsia="等线"/>
                      <w:kern w:val="0"/>
                      <w:sz w:val="22"/>
                    </w:rPr>
                    <w:t>4</w:t>
                  </w:r>
                </w:p>
              </w:tc>
              <w:tc>
                <w:tcPr>
                  <w:tcW w:w="709" w:type="dxa"/>
                  <w:shd w:val="clear" w:color="auto" w:fill="auto"/>
                  <w:noWrap/>
                  <w:vAlign w:val="center"/>
                </w:tcPr>
                <w:p w14:paraId="0BFC2508">
                  <w:pPr>
                    <w:widowControl/>
                    <w:jc w:val="center"/>
                    <w:rPr>
                      <w:rFonts w:eastAsia="等线"/>
                      <w:kern w:val="0"/>
                      <w:sz w:val="20"/>
                      <w:szCs w:val="20"/>
                    </w:rPr>
                  </w:pPr>
                  <w:r>
                    <w:rPr>
                      <w:rFonts w:eastAsia="等线"/>
                      <w:kern w:val="0"/>
                      <w:sz w:val="20"/>
                      <w:szCs w:val="20"/>
                    </w:rPr>
                    <w:t>5.33</w:t>
                  </w:r>
                </w:p>
              </w:tc>
              <w:tc>
                <w:tcPr>
                  <w:tcW w:w="2410" w:type="dxa"/>
                  <w:gridSpan w:val="2"/>
                  <w:shd w:val="clear" w:color="auto" w:fill="auto"/>
                  <w:noWrap/>
                  <w:vAlign w:val="center"/>
                </w:tcPr>
                <w:p w14:paraId="12ACE322">
                  <w:pPr>
                    <w:widowControl/>
                    <w:rPr>
                      <w:rFonts w:eastAsia="等线"/>
                      <w:kern w:val="0"/>
                      <w:sz w:val="22"/>
                    </w:rPr>
                  </w:pPr>
                  <w:r>
                    <w:rPr>
                      <w:rFonts w:hint="eastAsia" w:ascii="宋体" w:hAnsi="宋体"/>
                      <w:kern w:val="0"/>
                      <w:sz w:val="22"/>
                    </w:rPr>
                    <w:t>稻田、林带</w:t>
                  </w:r>
                </w:p>
              </w:tc>
              <w:tc>
                <w:tcPr>
                  <w:tcW w:w="4478" w:type="dxa"/>
                  <w:shd w:val="clear" w:color="auto" w:fill="auto"/>
                  <w:noWrap/>
                  <w:vAlign w:val="center"/>
                </w:tcPr>
                <w:p w14:paraId="6BD618AA">
                  <w:pPr>
                    <w:widowControl/>
                    <w:rPr>
                      <w:rFonts w:eastAsia="等线"/>
                      <w:kern w:val="0"/>
                      <w:sz w:val="20"/>
                      <w:szCs w:val="20"/>
                    </w:rPr>
                  </w:pPr>
                  <w:r>
                    <w:rPr>
                      <w:rFonts w:eastAsia="等线"/>
                      <w:kern w:val="0"/>
                      <w:sz w:val="20"/>
                      <w:szCs w:val="20"/>
                    </w:rPr>
                    <w:t>118.240885°</w:t>
                  </w:r>
                  <w:r>
                    <w:rPr>
                      <w:rFonts w:hint="eastAsia" w:ascii="宋体" w:hAnsi="宋体"/>
                      <w:kern w:val="0"/>
                      <w:sz w:val="20"/>
                      <w:szCs w:val="20"/>
                    </w:rPr>
                    <w:t>,</w:t>
                  </w:r>
                  <w:r>
                    <w:rPr>
                      <w:rFonts w:eastAsia="等线"/>
                      <w:kern w:val="0"/>
                      <w:sz w:val="20"/>
                      <w:szCs w:val="20"/>
                    </w:rPr>
                    <w:t>39.368756°-118.300157°</w:t>
                  </w:r>
                  <w:r>
                    <w:rPr>
                      <w:rFonts w:hint="eastAsia" w:ascii="宋体" w:hAnsi="宋体"/>
                      <w:kern w:val="0"/>
                      <w:sz w:val="20"/>
                      <w:szCs w:val="20"/>
                    </w:rPr>
                    <w:t>,</w:t>
                  </w:r>
                  <w:r>
                    <w:rPr>
                      <w:rFonts w:eastAsia="等线"/>
                      <w:kern w:val="0"/>
                      <w:sz w:val="20"/>
                      <w:szCs w:val="20"/>
                    </w:rPr>
                    <w:t>39.373683°</w:t>
                  </w:r>
                </w:p>
              </w:tc>
            </w:tr>
            <w:tr w14:paraId="7BC78A84">
              <w:tblPrEx>
                <w:tblCellMar>
                  <w:top w:w="0" w:type="dxa"/>
                  <w:left w:w="57" w:type="dxa"/>
                  <w:bottom w:w="0" w:type="dxa"/>
                  <w:right w:w="57" w:type="dxa"/>
                </w:tblCellMar>
              </w:tblPrEx>
              <w:trPr>
                <w:trHeight w:val="300" w:hRule="atLeast"/>
              </w:trPr>
              <w:tc>
                <w:tcPr>
                  <w:tcW w:w="709" w:type="dxa"/>
                  <w:shd w:val="clear" w:color="auto" w:fill="auto"/>
                  <w:noWrap/>
                  <w:vAlign w:val="center"/>
                </w:tcPr>
                <w:p w14:paraId="4E3F860E">
                  <w:pPr>
                    <w:widowControl/>
                    <w:jc w:val="center"/>
                    <w:rPr>
                      <w:rFonts w:eastAsia="等线"/>
                      <w:kern w:val="0"/>
                      <w:sz w:val="22"/>
                    </w:rPr>
                  </w:pPr>
                  <w:r>
                    <w:rPr>
                      <w:rFonts w:eastAsia="等线"/>
                      <w:kern w:val="0"/>
                      <w:sz w:val="22"/>
                    </w:rPr>
                    <w:t>5</w:t>
                  </w:r>
                </w:p>
              </w:tc>
              <w:tc>
                <w:tcPr>
                  <w:tcW w:w="709" w:type="dxa"/>
                  <w:shd w:val="clear" w:color="auto" w:fill="auto"/>
                  <w:noWrap/>
                  <w:vAlign w:val="center"/>
                </w:tcPr>
                <w:p w14:paraId="58E30F2E">
                  <w:pPr>
                    <w:widowControl/>
                    <w:jc w:val="center"/>
                    <w:rPr>
                      <w:rFonts w:eastAsia="等线"/>
                      <w:kern w:val="0"/>
                      <w:sz w:val="20"/>
                      <w:szCs w:val="20"/>
                    </w:rPr>
                  </w:pPr>
                  <w:r>
                    <w:rPr>
                      <w:rFonts w:eastAsia="等线"/>
                      <w:kern w:val="0"/>
                      <w:sz w:val="20"/>
                      <w:szCs w:val="20"/>
                    </w:rPr>
                    <w:t>4.99</w:t>
                  </w:r>
                </w:p>
              </w:tc>
              <w:tc>
                <w:tcPr>
                  <w:tcW w:w="2410" w:type="dxa"/>
                  <w:gridSpan w:val="2"/>
                  <w:shd w:val="clear" w:color="auto" w:fill="auto"/>
                  <w:noWrap/>
                  <w:vAlign w:val="center"/>
                </w:tcPr>
                <w:p w14:paraId="47153DAD">
                  <w:pPr>
                    <w:widowControl/>
                    <w:rPr>
                      <w:rFonts w:eastAsia="等线"/>
                      <w:kern w:val="0"/>
                      <w:sz w:val="22"/>
                    </w:rPr>
                  </w:pPr>
                  <w:r>
                    <w:rPr>
                      <w:rFonts w:hint="eastAsia" w:ascii="宋体" w:hAnsi="宋体"/>
                      <w:kern w:val="0"/>
                      <w:sz w:val="22"/>
                    </w:rPr>
                    <w:t>稻田、村庄、养殖塘</w:t>
                  </w:r>
                </w:p>
              </w:tc>
              <w:tc>
                <w:tcPr>
                  <w:tcW w:w="4478" w:type="dxa"/>
                  <w:shd w:val="clear" w:color="auto" w:fill="auto"/>
                  <w:noWrap/>
                  <w:vAlign w:val="center"/>
                </w:tcPr>
                <w:p w14:paraId="7CE35088">
                  <w:pPr>
                    <w:widowControl/>
                    <w:rPr>
                      <w:rFonts w:eastAsia="等线"/>
                      <w:kern w:val="0"/>
                      <w:sz w:val="20"/>
                      <w:szCs w:val="20"/>
                    </w:rPr>
                  </w:pPr>
                  <w:r>
                    <w:rPr>
                      <w:rFonts w:eastAsia="等线"/>
                      <w:kern w:val="0"/>
                      <w:sz w:val="20"/>
                      <w:szCs w:val="20"/>
                    </w:rPr>
                    <w:t>118.27561°</w:t>
                  </w:r>
                  <w:r>
                    <w:rPr>
                      <w:rFonts w:hint="eastAsia" w:ascii="宋体" w:hAnsi="宋体"/>
                      <w:kern w:val="0"/>
                      <w:sz w:val="20"/>
                      <w:szCs w:val="20"/>
                    </w:rPr>
                    <w:t>,</w:t>
                  </w:r>
                  <w:r>
                    <w:rPr>
                      <w:rFonts w:eastAsia="等线"/>
                      <w:kern w:val="0"/>
                      <w:sz w:val="20"/>
                      <w:szCs w:val="20"/>
                    </w:rPr>
                    <w:t>39.392579°-118.317014°</w:t>
                  </w:r>
                  <w:r>
                    <w:rPr>
                      <w:rFonts w:hint="eastAsia" w:ascii="宋体" w:hAnsi="宋体"/>
                      <w:kern w:val="0"/>
                      <w:sz w:val="20"/>
                      <w:szCs w:val="20"/>
                    </w:rPr>
                    <w:t>,</w:t>
                  </w:r>
                  <w:r>
                    <w:rPr>
                      <w:rFonts w:eastAsia="等线"/>
                      <w:kern w:val="0"/>
                      <w:sz w:val="20"/>
                      <w:szCs w:val="20"/>
                    </w:rPr>
                    <w:t>39.402597°</w:t>
                  </w:r>
                </w:p>
              </w:tc>
            </w:tr>
            <w:tr w14:paraId="3D918515">
              <w:tblPrEx>
                <w:tblCellMar>
                  <w:top w:w="0" w:type="dxa"/>
                  <w:left w:w="57" w:type="dxa"/>
                  <w:bottom w:w="0" w:type="dxa"/>
                  <w:right w:w="57" w:type="dxa"/>
                </w:tblCellMar>
              </w:tblPrEx>
              <w:trPr>
                <w:trHeight w:val="300" w:hRule="atLeast"/>
              </w:trPr>
              <w:tc>
                <w:tcPr>
                  <w:tcW w:w="709" w:type="dxa"/>
                  <w:shd w:val="clear" w:color="auto" w:fill="auto"/>
                  <w:noWrap/>
                  <w:vAlign w:val="center"/>
                </w:tcPr>
                <w:p w14:paraId="22FA6CA1">
                  <w:pPr>
                    <w:widowControl/>
                    <w:jc w:val="center"/>
                    <w:rPr>
                      <w:rFonts w:eastAsia="等线"/>
                      <w:kern w:val="0"/>
                      <w:sz w:val="22"/>
                    </w:rPr>
                  </w:pPr>
                  <w:r>
                    <w:rPr>
                      <w:rFonts w:eastAsia="等线"/>
                      <w:kern w:val="0"/>
                      <w:sz w:val="22"/>
                    </w:rPr>
                    <w:t>6</w:t>
                  </w:r>
                </w:p>
              </w:tc>
              <w:tc>
                <w:tcPr>
                  <w:tcW w:w="709" w:type="dxa"/>
                  <w:shd w:val="clear" w:color="auto" w:fill="auto"/>
                  <w:noWrap/>
                  <w:vAlign w:val="center"/>
                </w:tcPr>
                <w:p w14:paraId="3B2409EE">
                  <w:pPr>
                    <w:widowControl/>
                    <w:jc w:val="center"/>
                    <w:rPr>
                      <w:rFonts w:eastAsia="等线"/>
                      <w:kern w:val="0"/>
                      <w:sz w:val="20"/>
                      <w:szCs w:val="20"/>
                    </w:rPr>
                  </w:pPr>
                  <w:r>
                    <w:rPr>
                      <w:rFonts w:eastAsia="等线"/>
                      <w:kern w:val="0"/>
                      <w:sz w:val="20"/>
                      <w:szCs w:val="20"/>
                    </w:rPr>
                    <w:t>8.92</w:t>
                  </w:r>
                </w:p>
              </w:tc>
              <w:tc>
                <w:tcPr>
                  <w:tcW w:w="2410" w:type="dxa"/>
                  <w:gridSpan w:val="2"/>
                  <w:shd w:val="clear" w:color="auto" w:fill="auto"/>
                  <w:noWrap/>
                  <w:vAlign w:val="center"/>
                </w:tcPr>
                <w:p w14:paraId="527C802D">
                  <w:pPr>
                    <w:widowControl/>
                    <w:rPr>
                      <w:rFonts w:eastAsia="等线"/>
                      <w:kern w:val="0"/>
                      <w:sz w:val="22"/>
                    </w:rPr>
                  </w:pPr>
                  <w:r>
                    <w:rPr>
                      <w:rFonts w:hint="eastAsia" w:ascii="宋体" w:hAnsi="宋体"/>
                      <w:kern w:val="0"/>
                      <w:sz w:val="22"/>
                    </w:rPr>
                    <w:t>稻田、林带、沟渠</w:t>
                  </w:r>
                </w:p>
              </w:tc>
              <w:tc>
                <w:tcPr>
                  <w:tcW w:w="4478" w:type="dxa"/>
                  <w:shd w:val="clear" w:color="auto" w:fill="auto"/>
                  <w:noWrap/>
                  <w:vAlign w:val="center"/>
                </w:tcPr>
                <w:p w14:paraId="6BA42823">
                  <w:pPr>
                    <w:widowControl/>
                    <w:rPr>
                      <w:rFonts w:eastAsia="等线"/>
                      <w:kern w:val="0"/>
                      <w:sz w:val="20"/>
                      <w:szCs w:val="20"/>
                    </w:rPr>
                  </w:pPr>
                  <w:r>
                    <w:rPr>
                      <w:rFonts w:eastAsia="等线"/>
                      <w:kern w:val="0"/>
                      <w:sz w:val="20"/>
                      <w:szCs w:val="20"/>
                    </w:rPr>
                    <w:t>118.309994°</w:t>
                  </w:r>
                  <w:r>
                    <w:rPr>
                      <w:rFonts w:hint="eastAsia" w:ascii="宋体" w:hAnsi="宋体"/>
                      <w:kern w:val="0"/>
                      <w:sz w:val="20"/>
                      <w:szCs w:val="20"/>
                    </w:rPr>
                    <w:t>,</w:t>
                  </w:r>
                  <w:r>
                    <w:rPr>
                      <w:rFonts w:eastAsia="等线"/>
                      <w:kern w:val="0"/>
                      <w:sz w:val="20"/>
                      <w:szCs w:val="20"/>
                    </w:rPr>
                    <w:t>39.395127°-118.309604°</w:t>
                  </w:r>
                  <w:r>
                    <w:rPr>
                      <w:rFonts w:hint="eastAsia" w:ascii="宋体" w:hAnsi="宋体"/>
                      <w:kern w:val="0"/>
                      <w:sz w:val="20"/>
                      <w:szCs w:val="20"/>
                    </w:rPr>
                    <w:t>,</w:t>
                  </w:r>
                  <w:r>
                    <w:rPr>
                      <w:rFonts w:eastAsia="等线"/>
                      <w:kern w:val="0"/>
                      <w:sz w:val="20"/>
                      <w:szCs w:val="20"/>
                    </w:rPr>
                    <w:t>39.341661°</w:t>
                  </w:r>
                </w:p>
              </w:tc>
            </w:tr>
            <w:tr w14:paraId="2E1BD185">
              <w:tblPrEx>
                <w:tblCellMar>
                  <w:top w:w="0" w:type="dxa"/>
                  <w:left w:w="57" w:type="dxa"/>
                  <w:bottom w:w="0" w:type="dxa"/>
                  <w:right w:w="57" w:type="dxa"/>
                </w:tblCellMar>
              </w:tblPrEx>
              <w:trPr>
                <w:trHeight w:val="300" w:hRule="atLeast"/>
              </w:trPr>
              <w:tc>
                <w:tcPr>
                  <w:tcW w:w="709" w:type="dxa"/>
                  <w:shd w:val="clear" w:color="auto" w:fill="auto"/>
                  <w:noWrap/>
                  <w:vAlign w:val="center"/>
                </w:tcPr>
                <w:p w14:paraId="759A4B3A">
                  <w:pPr>
                    <w:widowControl/>
                    <w:jc w:val="center"/>
                    <w:rPr>
                      <w:rFonts w:eastAsia="等线"/>
                      <w:kern w:val="0"/>
                      <w:sz w:val="22"/>
                    </w:rPr>
                  </w:pPr>
                  <w:r>
                    <w:rPr>
                      <w:rFonts w:eastAsia="等线"/>
                      <w:kern w:val="0"/>
                      <w:sz w:val="22"/>
                    </w:rPr>
                    <w:t>7</w:t>
                  </w:r>
                </w:p>
              </w:tc>
              <w:tc>
                <w:tcPr>
                  <w:tcW w:w="709" w:type="dxa"/>
                  <w:shd w:val="clear" w:color="auto" w:fill="auto"/>
                  <w:noWrap/>
                  <w:vAlign w:val="center"/>
                </w:tcPr>
                <w:p w14:paraId="455686D5">
                  <w:pPr>
                    <w:widowControl/>
                    <w:jc w:val="center"/>
                    <w:rPr>
                      <w:rFonts w:eastAsia="等线"/>
                      <w:kern w:val="0"/>
                      <w:sz w:val="20"/>
                      <w:szCs w:val="20"/>
                    </w:rPr>
                  </w:pPr>
                  <w:r>
                    <w:rPr>
                      <w:rFonts w:eastAsia="等线"/>
                      <w:kern w:val="0"/>
                      <w:sz w:val="20"/>
                      <w:szCs w:val="20"/>
                    </w:rPr>
                    <w:t>5.11</w:t>
                  </w:r>
                </w:p>
              </w:tc>
              <w:tc>
                <w:tcPr>
                  <w:tcW w:w="2410" w:type="dxa"/>
                  <w:gridSpan w:val="2"/>
                  <w:shd w:val="clear" w:color="auto" w:fill="auto"/>
                  <w:noWrap/>
                  <w:vAlign w:val="center"/>
                </w:tcPr>
                <w:p w14:paraId="62DE6B80">
                  <w:pPr>
                    <w:widowControl/>
                    <w:rPr>
                      <w:rFonts w:eastAsia="等线"/>
                      <w:kern w:val="0"/>
                      <w:sz w:val="22"/>
                    </w:rPr>
                  </w:pPr>
                  <w:r>
                    <w:rPr>
                      <w:rFonts w:hint="eastAsia" w:ascii="宋体" w:hAnsi="宋体"/>
                      <w:kern w:val="0"/>
                      <w:sz w:val="22"/>
                    </w:rPr>
                    <w:t>稻田、村庄、养殖塘</w:t>
                  </w:r>
                </w:p>
              </w:tc>
              <w:tc>
                <w:tcPr>
                  <w:tcW w:w="4478" w:type="dxa"/>
                  <w:shd w:val="clear" w:color="auto" w:fill="auto"/>
                  <w:noWrap/>
                  <w:vAlign w:val="center"/>
                </w:tcPr>
                <w:p w14:paraId="7249B182">
                  <w:pPr>
                    <w:widowControl/>
                    <w:rPr>
                      <w:rFonts w:eastAsia="等线"/>
                      <w:kern w:val="0"/>
                      <w:sz w:val="20"/>
                      <w:szCs w:val="20"/>
                    </w:rPr>
                  </w:pPr>
                  <w:r>
                    <w:rPr>
                      <w:rFonts w:eastAsia="等线"/>
                      <w:kern w:val="0"/>
                      <w:sz w:val="20"/>
                      <w:szCs w:val="20"/>
                    </w:rPr>
                    <w:t>118.271229°</w:t>
                  </w:r>
                  <w:r>
                    <w:rPr>
                      <w:rFonts w:hint="eastAsia" w:ascii="宋体" w:hAnsi="宋体"/>
                      <w:kern w:val="0"/>
                      <w:sz w:val="20"/>
                      <w:szCs w:val="20"/>
                    </w:rPr>
                    <w:t>,</w:t>
                  </w:r>
                  <w:r>
                    <w:rPr>
                      <w:rFonts w:eastAsia="等线"/>
                      <w:kern w:val="0"/>
                      <w:sz w:val="20"/>
                      <w:szCs w:val="20"/>
                    </w:rPr>
                    <w:t>39.30007°-118.264294°</w:t>
                  </w:r>
                  <w:r>
                    <w:rPr>
                      <w:rFonts w:hint="eastAsia" w:ascii="宋体" w:hAnsi="宋体"/>
                      <w:kern w:val="0"/>
                      <w:sz w:val="20"/>
                      <w:szCs w:val="20"/>
                    </w:rPr>
                    <w:t>,</w:t>
                  </w:r>
                  <w:r>
                    <w:rPr>
                      <w:rFonts w:eastAsia="等线"/>
                      <w:kern w:val="0"/>
                      <w:sz w:val="20"/>
                      <w:szCs w:val="20"/>
                    </w:rPr>
                    <w:t>39.341583°</w:t>
                  </w:r>
                </w:p>
              </w:tc>
            </w:tr>
            <w:tr w14:paraId="6AD834C8">
              <w:tblPrEx>
                <w:tblCellMar>
                  <w:top w:w="0" w:type="dxa"/>
                  <w:left w:w="57" w:type="dxa"/>
                  <w:bottom w:w="0" w:type="dxa"/>
                  <w:right w:w="57" w:type="dxa"/>
                </w:tblCellMar>
              </w:tblPrEx>
              <w:trPr>
                <w:trHeight w:val="300" w:hRule="atLeast"/>
              </w:trPr>
              <w:tc>
                <w:tcPr>
                  <w:tcW w:w="709" w:type="dxa"/>
                  <w:shd w:val="clear" w:color="auto" w:fill="auto"/>
                  <w:noWrap/>
                  <w:vAlign w:val="center"/>
                </w:tcPr>
                <w:p w14:paraId="7401E1B2">
                  <w:pPr>
                    <w:widowControl/>
                    <w:jc w:val="center"/>
                    <w:rPr>
                      <w:rFonts w:eastAsia="等线"/>
                      <w:kern w:val="0"/>
                      <w:sz w:val="22"/>
                    </w:rPr>
                  </w:pPr>
                  <w:r>
                    <w:rPr>
                      <w:rFonts w:eastAsia="等线"/>
                      <w:kern w:val="0"/>
                      <w:sz w:val="22"/>
                    </w:rPr>
                    <w:t>8</w:t>
                  </w:r>
                </w:p>
              </w:tc>
              <w:tc>
                <w:tcPr>
                  <w:tcW w:w="709" w:type="dxa"/>
                  <w:shd w:val="clear" w:color="auto" w:fill="auto"/>
                  <w:noWrap/>
                  <w:vAlign w:val="center"/>
                </w:tcPr>
                <w:p w14:paraId="2A2556C2">
                  <w:pPr>
                    <w:widowControl/>
                    <w:jc w:val="center"/>
                    <w:rPr>
                      <w:rFonts w:eastAsia="等线"/>
                      <w:kern w:val="0"/>
                      <w:sz w:val="20"/>
                      <w:szCs w:val="20"/>
                    </w:rPr>
                  </w:pPr>
                  <w:r>
                    <w:rPr>
                      <w:rFonts w:eastAsia="等线"/>
                      <w:kern w:val="0"/>
                      <w:sz w:val="20"/>
                      <w:szCs w:val="20"/>
                    </w:rPr>
                    <w:t>7.35</w:t>
                  </w:r>
                </w:p>
              </w:tc>
              <w:tc>
                <w:tcPr>
                  <w:tcW w:w="2410" w:type="dxa"/>
                  <w:gridSpan w:val="2"/>
                  <w:shd w:val="clear" w:color="auto" w:fill="auto"/>
                  <w:noWrap/>
                  <w:vAlign w:val="center"/>
                </w:tcPr>
                <w:p w14:paraId="1E4A9271">
                  <w:pPr>
                    <w:widowControl/>
                    <w:rPr>
                      <w:rFonts w:eastAsia="等线"/>
                      <w:kern w:val="0"/>
                      <w:sz w:val="22"/>
                    </w:rPr>
                  </w:pPr>
                  <w:r>
                    <w:rPr>
                      <w:rFonts w:hint="eastAsia" w:ascii="宋体" w:hAnsi="宋体"/>
                      <w:kern w:val="0"/>
                      <w:sz w:val="22"/>
                    </w:rPr>
                    <w:t>稻田、林带</w:t>
                  </w:r>
                </w:p>
              </w:tc>
              <w:tc>
                <w:tcPr>
                  <w:tcW w:w="4478" w:type="dxa"/>
                  <w:shd w:val="clear" w:color="auto" w:fill="auto"/>
                  <w:noWrap/>
                  <w:vAlign w:val="center"/>
                </w:tcPr>
                <w:p w14:paraId="17AF2CFA">
                  <w:pPr>
                    <w:widowControl/>
                    <w:rPr>
                      <w:rFonts w:eastAsia="等线"/>
                      <w:kern w:val="0"/>
                      <w:sz w:val="20"/>
                      <w:szCs w:val="20"/>
                    </w:rPr>
                  </w:pPr>
                  <w:r>
                    <w:rPr>
                      <w:rFonts w:eastAsia="等线"/>
                      <w:kern w:val="0"/>
                      <w:sz w:val="20"/>
                      <w:szCs w:val="20"/>
                    </w:rPr>
                    <w:t>118.314991°</w:t>
                  </w:r>
                  <w:r>
                    <w:rPr>
                      <w:rFonts w:hint="eastAsia" w:ascii="宋体" w:hAnsi="宋体"/>
                      <w:kern w:val="0"/>
                      <w:sz w:val="20"/>
                      <w:szCs w:val="20"/>
                    </w:rPr>
                    <w:t>,</w:t>
                  </w:r>
                  <w:r>
                    <w:rPr>
                      <w:rFonts w:eastAsia="等线"/>
                      <w:kern w:val="0"/>
                      <w:sz w:val="20"/>
                      <w:szCs w:val="20"/>
                    </w:rPr>
                    <w:t>39.278305°-118.278036°</w:t>
                  </w:r>
                  <w:r>
                    <w:rPr>
                      <w:rFonts w:hint="eastAsia" w:ascii="宋体" w:hAnsi="宋体"/>
                      <w:kern w:val="0"/>
                      <w:sz w:val="20"/>
                      <w:szCs w:val="20"/>
                    </w:rPr>
                    <w:t>,</w:t>
                  </w:r>
                  <w:r>
                    <w:rPr>
                      <w:rFonts w:eastAsia="等线"/>
                      <w:kern w:val="0"/>
                      <w:sz w:val="20"/>
                      <w:szCs w:val="20"/>
                    </w:rPr>
                    <w:t>39.312309°</w:t>
                  </w:r>
                </w:p>
              </w:tc>
            </w:tr>
            <w:tr w14:paraId="7D06563C">
              <w:tblPrEx>
                <w:tblCellMar>
                  <w:top w:w="0" w:type="dxa"/>
                  <w:left w:w="57" w:type="dxa"/>
                  <w:bottom w:w="0" w:type="dxa"/>
                  <w:right w:w="57" w:type="dxa"/>
                </w:tblCellMar>
              </w:tblPrEx>
              <w:trPr>
                <w:trHeight w:val="300" w:hRule="atLeast"/>
              </w:trPr>
              <w:tc>
                <w:tcPr>
                  <w:tcW w:w="709" w:type="dxa"/>
                  <w:shd w:val="clear" w:color="auto" w:fill="auto"/>
                  <w:noWrap/>
                  <w:vAlign w:val="center"/>
                </w:tcPr>
                <w:p w14:paraId="6EAACCAE">
                  <w:pPr>
                    <w:widowControl/>
                    <w:jc w:val="center"/>
                    <w:rPr>
                      <w:rFonts w:eastAsia="等线"/>
                      <w:kern w:val="0"/>
                      <w:sz w:val="22"/>
                    </w:rPr>
                  </w:pPr>
                  <w:r>
                    <w:rPr>
                      <w:rFonts w:eastAsia="等线"/>
                      <w:kern w:val="0"/>
                      <w:sz w:val="22"/>
                    </w:rPr>
                    <w:t>9</w:t>
                  </w:r>
                </w:p>
              </w:tc>
              <w:tc>
                <w:tcPr>
                  <w:tcW w:w="709" w:type="dxa"/>
                  <w:shd w:val="clear" w:color="auto" w:fill="auto"/>
                  <w:noWrap/>
                  <w:vAlign w:val="center"/>
                </w:tcPr>
                <w:p w14:paraId="163CC3F1">
                  <w:pPr>
                    <w:widowControl/>
                    <w:jc w:val="center"/>
                    <w:rPr>
                      <w:rFonts w:eastAsia="等线"/>
                      <w:kern w:val="0"/>
                      <w:sz w:val="20"/>
                      <w:szCs w:val="20"/>
                    </w:rPr>
                  </w:pPr>
                  <w:r>
                    <w:rPr>
                      <w:rFonts w:eastAsia="等线"/>
                      <w:kern w:val="0"/>
                      <w:sz w:val="20"/>
                      <w:szCs w:val="20"/>
                    </w:rPr>
                    <w:t>5.5</w:t>
                  </w:r>
                </w:p>
              </w:tc>
              <w:tc>
                <w:tcPr>
                  <w:tcW w:w="2410" w:type="dxa"/>
                  <w:gridSpan w:val="2"/>
                  <w:shd w:val="clear" w:color="auto" w:fill="auto"/>
                  <w:noWrap/>
                  <w:vAlign w:val="center"/>
                </w:tcPr>
                <w:p w14:paraId="35CE95D0">
                  <w:pPr>
                    <w:widowControl/>
                    <w:rPr>
                      <w:rFonts w:eastAsia="等线"/>
                      <w:kern w:val="0"/>
                      <w:sz w:val="22"/>
                    </w:rPr>
                  </w:pPr>
                  <w:r>
                    <w:rPr>
                      <w:rFonts w:hint="eastAsia" w:ascii="宋体" w:hAnsi="宋体"/>
                      <w:kern w:val="0"/>
                      <w:sz w:val="22"/>
                    </w:rPr>
                    <w:t>河流、林地、农田</w:t>
                  </w:r>
                </w:p>
              </w:tc>
              <w:tc>
                <w:tcPr>
                  <w:tcW w:w="4478" w:type="dxa"/>
                  <w:shd w:val="clear" w:color="auto" w:fill="auto"/>
                  <w:noWrap/>
                  <w:vAlign w:val="center"/>
                </w:tcPr>
                <w:p w14:paraId="58CD702B">
                  <w:pPr>
                    <w:widowControl/>
                    <w:rPr>
                      <w:rFonts w:eastAsia="等线"/>
                      <w:kern w:val="0"/>
                      <w:sz w:val="20"/>
                      <w:szCs w:val="20"/>
                    </w:rPr>
                  </w:pPr>
                  <w:r>
                    <w:rPr>
                      <w:rFonts w:eastAsia="等线"/>
                      <w:kern w:val="0"/>
                      <w:sz w:val="20"/>
                      <w:szCs w:val="20"/>
                    </w:rPr>
                    <w:t>118.365715°</w:t>
                  </w:r>
                  <w:r>
                    <w:rPr>
                      <w:rFonts w:hint="eastAsia" w:ascii="宋体" w:hAnsi="宋体"/>
                      <w:kern w:val="0"/>
                      <w:sz w:val="20"/>
                      <w:szCs w:val="20"/>
                    </w:rPr>
                    <w:t>,</w:t>
                  </w:r>
                  <w:r>
                    <w:rPr>
                      <w:rFonts w:eastAsia="等线"/>
                      <w:kern w:val="0"/>
                      <w:sz w:val="20"/>
                      <w:szCs w:val="20"/>
                    </w:rPr>
                    <w:t>39.351332°-118.341918°</w:t>
                  </w:r>
                  <w:r>
                    <w:rPr>
                      <w:rFonts w:hint="eastAsia" w:ascii="宋体" w:hAnsi="宋体"/>
                      <w:kern w:val="0"/>
                      <w:sz w:val="20"/>
                      <w:szCs w:val="20"/>
                    </w:rPr>
                    <w:t>,</w:t>
                  </w:r>
                  <w:r>
                    <w:rPr>
                      <w:rFonts w:eastAsia="等线"/>
                      <w:kern w:val="0"/>
                      <w:sz w:val="20"/>
                      <w:szCs w:val="20"/>
                    </w:rPr>
                    <w:t>39.372694°</w:t>
                  </w:r>
                </w:p>
              </w:tc>
            </w:tr>
            <w:tr w14:paraId="667F1182">
              <w:tblPrEx>
                <w:tblCellMar>
                  <w:top w:w="0" w:type="dxa"/>
                  <w:left w:w="57" w:type="dxa"/>
                  <w:bottom w:w="0" w:type="dxa"/>
                  <w:right w:w="57" w:type="dxa"/>
                </w:tblCellMar>
              </w:tblPrEx>
              <w:trPr>
                <w:trHeight w:val="300" w:hRule="atLeast"/>
              </w:trPr>
              <w:tc>
                <w:tcPr>
                  <w:tcW w:w="709" w:type="dxa"/>
                  <w:shd w:val="clear" w:color="auto" w:fill="auto"/>
                  <w:noWrap/>
                  <w:vAlign w:val="center"/>
                </w:tcPr>
                <w:p w14:paraId="4D767B19">
                  <w:pPr>
                    <w:widowControl/>
                    <w:jc w:val="center"/>
                    <w:rPr>
                      <w:rFonts w:eastAsia="等线"/>
                      <w:kern w:val="0"/>
                      <w:sz w:val="22"/>
                    </w:rPr>
                  </w:pPr>
                  <w:r>
                    <w:rPr>
                      <w:rFonts w:eastAsia="等线"/>
                      <w:kern w:val="0"/>
                      <w:sz w:val="22"/>
                    </w:rPr>
                    <w:t>10</w:t>
                  </w:r>
                </w:p>
              </w:tc>
              <w:tc>
                <w:tcPr>
                  <w:tcW w:w="709" w:type="dxa"/>
                  <w:shd w:val="clear" w:color="auto" w:fill="auto"/>
                  <w:noWrap/>
                  <w:vAlign w:val="center"/>
                </w:tcPr>
                <w:p w14:paraId="5035AF66">
                  <w:pPr>
                    <w:widowControl/>
                    <w:jc w:val="center"/>
                    <w:rPr>
                      <w:rFonts w:eastAsia="等线"/>
                      <w:kern w:val="0"/>
                      <w:sz w:val="20"/>
                      <w:szCs w:val="20"/>
                    </w:rPr>
                  </w:pPr>
                  <w:r>
                    <w:rPr>
                      <w:rFonts w:eastAsia="等线"/>
                      <w:kern w:val="0"/>
                      <w:sz w:val="20"/>
                      <w:szCs w:val="20"/>
                    </w:rPr>
                    <w:t>1.84</w:t>
                  </w:r>
                </w:p>
              </w:tc>
              <w:tc>
                <w:tcPr>
                  <w:tcW w:w="2410" w:type="dxa"/>
                  <w:gridSpan w:val="2"/>
                  <w:shd w:val="clear" w:color="auto" w:fill="auto"/>
                  <w:noWrap/>
                  <w:vAlign w:val="center"/>
                </w:tcPr>
                <w:p w14:paraId="75DCBA5D">
                  <w:pPr>
                    <w:widowControl/>
                    <w:rPr>
                      <w:rFonts w:eastAsia="等线"/>
                      <w:kern w:val="0"/>
                      <w:sz w:val="22"/>
                    </w:rPr>
                  </w:pPr>
                  <w:r>
                    <w:rPr>
                      <w:rFonts w:hint="eastAsia" w:ascii="宋体" w:hAnsi="宋体"/>
                      <w:kern w:val="0"/>
                      <w:sz w:val="22"/>
                    </w:rPr>
                    <w:t>稻田、养殖塘</w:t>
                  </w:r>
                </w:p>
              </w:tc>
              <w:tc>
                <w:tcPr>
                  <w:tcW w:w="4478" w:type="dxa"/>
                  <w:shd w:val="clear" w:color="auto" w:fill="auto"/>
                  <w:noWrap/>
                  <w:vAlign w:val="center"/>
                </w:tcPr>
                <w:p w14:paraId="57444A5F">
                  <w:pPr>
                    <w:widowControl/>
                    <w:rPr>
                      <w:rFonts w:eastAsia="等线"/>
                      <w:kern w:val="0"/>
                      <w:sz w:val="20"/>
                      <w:szCs w:val="20"/>
                    </w:rPr>
                  </w:pPr>
                  <w:r>
                    <w:rPr>
                      <w:rFonts w:eastAsia="等线"/>
                      <w:kern w:val="0"/>
                      <w:sz w:val="20"/>
                      <w:szCs w:val="20"/>
                    </w:rPr>
                    <w:t>118.349757°</w:t>
                  </w:r>
                  <w:r>
                    <w:rPr>
                      <w:rFonts w:hint="eastAsia" w:ascii="宋体" w:hAnsi="宋体"/>
                      <w:kern w:val="0"/>
                      <w:sz w:val="20"/>
                      <w:szCs w:val="20"/>
                    </w:rPr>
                    <w:t>,</w:t>
                  </w:r>
                  <w:r>
                    <w:rPr>
                      <w:rFonts w:eastAsia="等线"/>
                      <w:kern w:val="0"/>
                      <w:sz w:val="20"/>
                      <w:szCs w:val="20"/>
                    </w:rPr>
                    <w:t>39.333645°-118.363248°</w:t>
                  </w:r>
                  <w:r>
                    <w:rPr>
                      <w:rFonts w:hint="eastAsia" w:ascii="宋体" w:hAnsi="宋体"/>
                      <w:kern w:val="0"/>
                      <w:sz w:val="20"/>
                      <w:szCs w:val="20"/>
                    </w:rPr>
                    <w:t>,</w:t>
                  </w:r>
                  <w:r>
                    <w:rPr>
                      <w:rFonts w:eastAsia="等线"/>
                      <w:kern w:val="0"/>
                      <w:sz w:val="20"/>
                      <w:szCs w:val="20"/>
                    </w:rPr>
                    <w:t>39.341281°</w:t>
                  </w:r>
                </w:p>
              </w:tc>
            </w:tr>
            <w:tr w14:paraId="4E62C024">
              <w:tblPrEx>
                <w:tblCellMar>
                  <w:top w:w="0" w:type="dxa"/>
                  <w:left w:w="57" w:type="dxa"/>
                  <w:bottom w:w="0" w:type="dxa"/>
                  <w:right w:w="57" w:type="dxa"/>
                </w:tblCellMar>
              </w:tblPrEx>
              <w:trPr>
                <w:trHeight w:val="300" w:hRule="atLeast"/>
              </w:trPr>
              <w:tc>
                <w:tcPr>
                  <w:tcW w:w="709" w:type="dxa"/>
                  <w:shd w:val="clear" w:color="auto" w:fill="auto"/>
                  <w:noWrap/>
                  <w:vAlign w:val="center"/>
                </w:tcPr>
                <w:p w14:paraId="5B22B06A">
                  <w:pPr>
                    <w:widowControl/>
                    <w:jc w:val="center"/>
                    <w:rPr>
                      <w:rFonts w:eastAsia="等线"/>
                      <w:kern w:val="0"/>
                      <w:sz w:val="22"/>
                    </w:rPr>
                  </w:pPr>
                  <w:r>
                    <w:rPr>
                      <w:rFonts w:eastAsia="等线"/>
                      <w:kern w:val="0"/>
                      <w:sz w:val="22"/>
                    </w:rPr>
                    <w:t>11</w:t>
                  </w:r>
                </w:p>
              </w:tc>
              <w:tc>
                <w:tcPr>
                  <w:tcW w:w="709" w:type="dxa"/>
                  <w:shd w:val="clear" w:color="auto" w:fill="auto"/>
                  <w:noWrap/>
                  <w:vAlign w:val="center"/>
                </w:tcPr>
                <w:p w14:paraId="01BEE134">
                  <w:pPr>
                    <w:widowControl/>
                    <w:jc w:val="center"/>
                    <w:rPr>
                      <w:rFonts w:eastAsia="等线"/>
                      <w:kern w:val="0"/>
                      <w:sz w:val="20"/>
                      <w:szCs w:val="20"/>
                    </w:rPr>
                  </w:pPr>
                  <w:r>
                    <w:rPr>
                      <w:rFonts w:eastAsia="等线"/>
                      <w:kern w:val="0"/>
                      <w:sz w:val="20"/>
                      <w:szCs w:val="20"/>
                    </w:rPr>
                    <w:t>2.45</w:t>
                  </w:r>
                </w:p>
              </w:tc>
              <w:tc>
                <w:tcPr>
                  <w:tcW w:w="2410" w:type="dxa"/>
                  <w:gridSpan w:val="2"/>
                  <w:shd w:val="clear" w:color="auto" w:fill="auto"/>
                  <w:noWrap/>
                  <w:vAlign w:val="center"/>
                </w:tcPr>
                <w:p w14:paraId="0010F141">
                  <w:pPr>
                    <w:widowControl/>
                    <w:rPr>
                      <w:rFonts w:eastAsia="等线"/>
                      <w:kern w:val="0"/>
                      <w:sz w:val="22"/>
                    </w:rPr>
                  </w:pPr>
                  <w:r>
                    <w:rPr>
                      <w:rFonts w:hint="eastAsia" w:ascii="宋体" w:hAnsi="宋体"/>
                      <w:kern w:val="0"/>
                      <w:sz w:val="22"/>
                    </w:rPr>
                    <w:t>稻田、沟渠、河流、养殖塘</w:t>
                  </w:r>
                </w:p>
              </w:tc>
              <w:tc>
                <w:tcPr>
                  <w:tcW w:w="4478" w:type="dxa"/>
                  <w:shd w:val="clear" w:color="auto" w:fill="auto"/>
                  <w:noWrap/>
                  <w:vAlign w:val="center"/>
                </w:tcPr>
                <w:p w14:paraId="70F5727C">
                  <w:pPr>
                    <w:widowControl/>
                    <w:rPr>
                      <w:rFonts w:eastAsia="等线"/>
                      <w:kern w:val="0"/>
                      <w:sz w:val="20"/>
                      <w:szCs w:val="20"/>
                    </w:rPr>
                  </w:pPr>
                  <w:r>
                    <w:rPr>
                      <w:rFonts w:eastAsia="等线"/>
                      <w:kern w:val="0"/>
                      <w:sz w:val="20"/>
                      <w:szCs w:val="20"/>
                    </w:rPr>
                    <w:t>118.353037°</w:t>
                  </w:r>
                  <w:r>
                    <w:rPr>
                      <w:rFonts w:hint="eastAsia" w:ascii="宋体" w:hAnsi="宋体"/>
                      <w:kern w:val="0"/>
                      <w:sz w:val="20"/>
                      <w:szCs w:val="20"/>
                    </w:rPr>
                    <w:t>,</w:t>
                  </w:r>
                  <w:r>
                    <w:rPr>
                      <w:rFonts w:eastAsia="等线"/>
                      <w:kern w:val="0"/>
                      <w:sz w:val="20"/>
                      <w:szCs w:val="20"/>
                    </w:rPr>
                    <w:t>39.31716°-118.376194°</w:t>
                  </w:r>
                  <w:r>
                    <w:rPr>
                      <w:rFonts w:hint="eastAsia" w:ascii="宋体" w:hAnsi="宋体"/>
                      <w:kern w:val="0"/>
                      <w:sz w:val="20"/>
                      <w:szCs w:val="20"/>
                    </w:rPr>
                    <w:t>,</w:t>
                  </w:r>
                  <w:r>
                    <w:rPr>
                      <w:rFonts w:eastAsia="等线"/>
                      <w:kern w:val="0"/>
                      <w:sz w:val="20"/>
                      <w:szCs w:val="20"/>
                    </w:rPr>
                    <w:t>39.322549°</w:t>
                  </w:r>
                </w:p>
              </w:tc>
            </w:tr>
            <w:tr w14:paraId="7976CB38">
              <w:tblPrEx>
                <w:tblCellMar>
                  <w:top w:w="0" w:type="dxa"/>
                  <w:left w:w="57" w:type="dxa"/>
                  <w:bottom w:w="0" w:type="dxa"/>
                  <w:right w:w="57" w:type="dxa"/>
                </w:tblCellMar>
              </w:tblPrEx>
              <w:trPr>
                <w:trHeight w:val="300" w:hRule="atLeast"/>
              </w:trPr>
              <w:tc>
                <w:tcPr>
                  <w:tcW w:w="709" w:type="dxa"/>
                  <w:shd w:val="clear" w:color="auto" w:fill="auto"/>
                  <w:noWrap/>
                  <w:vAlign w:val="center"/>
                </w:tcPr>
                <w:p w14:paraId="44145083">
                  <w:pPr>
                    <w:widowControl/>
                    <w:jc w:val="center"/>
                    <w:rPr>
                      <w:rFonts w:eastAsia="等线"/>
                      <w:kern w:val="0"/>
                      <w:sz w:val="22"/>
                    </w:rPr>
                  </w:pPr>
                  <w:r>
                    <w:rPr>
                      <w:rFonts w:eastAsia="等线"/>
                      <w:kern w:val="0"/>
                      <w:sz w:val="22"/>
                    </w:rPr>
                    <w:t>12</w:t>
                  </w:r>
                </w:p>
              </w:tc>
              <w:tc>
                <w:tcPr>
                  <w:tcW w:w="709" w:type="dxa"/>
                  <w:shd w:val="clear" w:color="auto" w:fill="auto"/>
                  <w:noWrap/>
                  <w:vAlign w:val="center"/>
                </w:tcPr>
                <w:p w14:paraId="5573A4F6">
                  <w:pPr>
                    <w:widowControl/>
                    <w:jc w:val="center"/>
                    <w:rPr>
                      <w:rFonts w:eastAsia="等线"/>
                      <w:kern w:val="0"/>
                      <w:sz w:val="20"/>
                      <w:szCs w:val="20"/>
                    </w:rPr>
                  </w:pPr>
                  <w:r>
                    <w:rPr>
                      <w:rFonts w:eastAsia="等线"/>
                      <w:kern w:val="0"/>
                      <w:sz w:val="20"/>
                      <w:szCs w:val="20"/>
                    </w:rPr>
                    <w:t>3.65</w:t>
                  </w:r>
                </w:p>
              </w:tc>
              <w:tc>
                <w:tcPr>
                  <w:tcW w:w="2410" w:type="dxa"/>
                  <w:gridSpan w:val="2"/>
                  <w:shd w:val="clear" w:color="auto" w:fill="auto"/>
                  <w:noWrap/>
                  <w:vAlign w:val="center"/>
                </w:tcPr>
                <w:p w14:paraId="55F1CD2B">
                  <w:pPr>
                    <w:widowControl/>
                    <w:rPr>
                      <w:rFonts w:eastAsia="等线"/>
                      <w:kern w:val="0"/>
                      <w:sz w:val="22"/>
                    </w:rPr>
                  </w:pPr>
                  <w:r>
                    <w:rPr>
                      <w:rFonts w:hint="eastAsia" w:ascii="宋体" w:hAnsi="宋体"/>
                      <w:kern w:val="0"/>
                      <w:sz w:val="22"/>
                    </w:rPr>
                    <w:t>稻田、养殖塘、林带</w:t>
                  </w:r>
                </w:p>
              </w:tc>
              <w:tc>
                <w:tcPr>
                  <w:tcW w:w="4478" w:type="dxa"/>
                  <w:shd w:val="clear" w:color="auto" w:fill="auto"/>
                  <w:noWrap/>
                  <w:vAlign w:val="center"/>
                </w:tcPr>
                <w:p w14:paraId="3ED31B95">
                  <w:pPr>
                    <w:widowControl/>
                    <w:rPr>
                      <w:rFonts w:eastAsia="等线"/>
                      <w:kern w:val="0"/>
                      <w:sz w:val="20"/>
                      <w:szCs w:val="20"/>
                    </w:rPr>
                  </w:pPr>
                  <w:r>
                    <w:rPr>
                      <w:rFonts w:eastAsia="等线"/>
                      <w:kern w:val="0"/>
                      <w:sz w:val="20"/>
                      <w:szCs w:val="20"/>
                    </w:rPr>
                    <w:t>118.413714°</w:t>
                  </w:r>
                  <w:r>
                    <w:rPr>
                      <w:rFonts w:hint="eastAsia" w:ascii="宋体" w:hAnsi="宋体"/>
                      <w:kern w:val="0"/>
                      <w:sz w:val="20"/>
                      <w:szCs w:val="20"/>
                    </w:rPr>
                    <w:t>,</w:t>
                  </w:r>
                  <w:r>
                    <w:rPr>
                      <w:rFonts w:eastAsia="等线"/>
                      <w:kern w:val="0"/>
                      <w:sz w:val="20"/>
                      <w:szCs w:val="20"/>
                    </w:rPr>
                    <w:t>39.312862°-118.378662°</w:t>
                  </w:r>
                  <w:r>
                    <w:rPr>
                      <w:rFonts w:hint="eastAsia" w:ascii="宋体" w:hAnsi="宋体"/>
                      <w:kern w:val="0"/>
                      <w:sz w:val="20"/>
                      <w:szCs w:val="20"/>
                    </w:rPr>
                    <w:t>,</w:t>
                  </w:r>
                  <w:r>
                    <w:rPr>
                      <w:rFonts w:eastAsia="等线"/>
                      <w:kern w:val="0"/>
                      <w:sz w:val="20"/>
                      <w:szCs w:val="20"/>
                    </w:rPr>
                    <w:t>39.316967°</w:t>
                  </w:r>
                </w:p>
              </w:tc>
            </w:tr>
            <w:tr w14:paraId="43E20F4E">
              <w:tblPrEx>
                <w:tblCellMar>
                  <w:top w:w="0" w:type="dxa"/>
                  <w:left w:w="57" w:type="dxa"/>
                  <w:bottom w:w="0" w:type="dxa"/>
                  <w:right w:w="57" w:type="dxa"/>
                </w:tblCellMar>
              </w:tblPrEx>
              <w:trPr>
                <w:trHeight w:val="300" w:hRule="atLeast"/>
              </w:trPr>
              <w:tc>
                <w:tcPr>
                  <w:tcW w:w="709" w:type="dxa"/>
                  <w:shd w:val="clear" w:color="auto" w:fill="auto"/>
                  <w:noWrap/>
                  <w:vAlign w:val="center"/>
                </w:tcPr>
                <w:p w14:paraId="5A84FC59">
                  <w:pPr>
                    <w:widowControl/>
                    <w:jc w:val="center"/>
                    <w:rPr>
                      <w:rFonts w:eastAsia="等线"/>
                      <w:kern w:val="0"/>
                      <w:sz w:val="22"/>
                    </w:rPr>
                  </w:pPr>
                  <w:r>
                    <w:rPr>
                      <w:rFonts w:eastAsia="等线"/>
                      <w:kern w:val="0"/>
                      <w:sz w:val="22"/>
                    </w:rPr>
                    <w:t>13</w:t>
                  </w:r>
                </w:p>
              </w:tc>
              <w:tc>
                <w:tcPr>
                  <w:tcW w:w="709" w:type="dxa"/>
                  <w:shd w:val="clear" w:color="auto" w:fill="auto"/>
                  <w:noWrap/>
                  <w:vAlign w:val="center"/>
                </w:tcPr>
                <w:p w14:paraId="3804D4C7">
                  <w:pPr>
                    <w:widowControl/>
                    <w:jc w:val="center"/>
                    <w:rPr>
                      <w:rFonts w:eastAsia="等线"/>
                      <w:kern w:val="0"/>
                      <w:sz w:val="20"/>
                      <w:szCs w:val="20"/>
                    </w:rPr>
                  </w:pPr>
                  <w:r>
                    <w:rPr>
                      <w:rFonts w:eastAsia="等线"/>
                      <w:kern w:val="0"/>
                      <w:sz w:val="20"/>
                      <w:szCs w:val="20"/>
                    </w:rPr>
                    <w:t>6.98</w:t>
                  </w:r>
                </w:p>
              </w:tc>
              <w:tc>
                <w:tcPr>
                  <w:tcW w:w="2410" w:type="dxa"/>
                  <w:gridSpan w:val="2"/>
                  <w:shd w:val="clear" w:color="auto" w:fill="auto"/>
                  <w:noWrap/>
                  <w:vAlign w:val="center"/>
                </w:tcPr>
                <w:p w14:paraId="42E46D4F">
                  <w:pPr>
                    <w:widowControl/>
                    <w:rPr>
                      <w:rFonts w:eastAsia="等线"/>
                      <w:kern w:val="0"/>
                      <w:sz w:val="22"/>
                    </w:rPr>
                  </w:pPr>
                  <w:r>
                    <w:rPr>
                      <w:rFonts w:hint="eastAsia" w:ascii="宋体" w:hAnsi="宋体"/>
                      <w:kern w:val="0"/>
                      <w:sz w:val="22"/>
                    </w:rPr>
                    <w:t>稻田、河流、林带、养殖塘</w:t>
                  </w:r>
                </w:p>
              </w:tc>
              <w:tc>
                <w:tcPr>
                  <w:tcW w:w="4478" w:type="dxa"/>
                  <w:shd w:val="clear" w:color="auto" w:fill="auto"/>
                  <w:noWrap/>
                  <w:vAlign w:val="center"/>
                </w:tcPr>
                <w:p w14:paraId="4092E7C7">
                  <w:pPr>
                    <w:widowControl/>
                    <w:rPr>
                      <w:rFonts w:eastAsia="等线"/>
                      <w:kern w:val="0"/>
                      <w:sz w:val="20"/>
                      <w:szCs w:val="20"/>
                    </w:rPr>
                  </w:pPr>
                  <w:r>
                    <w:rPr>
                      <w:rFonts w:eastAsia="等线"/>
                      <w:kern w:val="0"/>
                      <w:sz w:val="20"/>
                      <w:szCs w:val="20"/>
                    </w:rPr>
                    <w:t>118.373071°</w:t>
                  </w:r>
                  <w:r>
                    <w:rPr>
                      <w:rFonts w:hint="eastAsia" w:ascii="宋体" w:hAnsi="宋体"/>
                      <w:kern w:val="0"/>
                      <w:sz w:val="20"/>
                      <w:szCs w:val="20"/>
                    </w:rPr>
                    <w:t>,</w:t>
                  </w:r>
                  <w:r>
                    <w:rPr>
                      <w:rFonts w:eastAsia="等线"/>
                      <w:kern w:val="0"/>
                      <w:sz w:val="20"/>
                      <w:szCs w:val="20"/>
                    </w:rPr>
                    <w:t>39.2749°-118.370121°</w:t>
                  </w:r>
                  <w:r>
                    <w:rPr>
                      <w:rFonts w:hint="eastAsia" w:ascii="宋体" w:hAnsi="宋体"/>
                      <w:kern w:val="0"/>
                      <w:sz w:val="20"/>
                      <w:szCs w:val="20"/>
                    </w:rPr>
                    <w:t>,</w:t>
                  </w:r>
                  <w:r>
                    <w:rPr>
                      <w:rFonts w:eastAsia="等线"/>
                      <w:kern w:val="0"/>
                      <w:sz w:val="20"/>
                      <w:szCs w:val="20"/>
                    </w:rPr>
                    <w:t>39.304603°</w:t>
                  </w:r>
                </w:p>
              </w:tc>
            </w:tr>
            <w:tr w14:paraId="45C752BA">
              <w:tblPrEx>
                <w:tblCellMar>
                  <w:top w:w="0" w:type="dxa"/>
                  <w:left w:w="57" w:type="dxa"/>
                  <w:bottom w:w="0" w:type="dxa"/>
                  <w:right w:w="57" w:type="dxa"/>
                </w:tblCellMar>
              </w:tblPrEx>
              <w:trPr>
                <w:trHeight w:val="300" w:hRule="atLeast"/>
              </w:trPr>
              <w:tc>
                <w:tcPr>
                  <w:tcW w:w="709" w:type="dxa"/>
                  <w:shd w:val="clear" w:color="auto" w:fill="auto"/>
                  <w:noWrap/>
                  <w:vAlign w:val="center"/>
                </w:tcPr>
                <w:p w14:paraId="0E78FC3A">
                  <w:pPr>
                    <w:widowControl/>
                    <w:jc w:val="center"/>
                    <w:rPr>
                      <w:rFonts w:eastAsia="等线"/>
                      <w:kern w:val="0"/>
                      <w:sz w:val="22"/>
                    </w:rPr>
                  </w:pPr>
                  <w:r>
                    <w:rPr>
                      <w:rFonts w:eastAsia="等线"/>
                      <w:kern w:val="0"/>
                      <w:sz w:val="22"/>
                    </w:rPr>
                    <w:t>14</w:t>
                  </w:r>
                </w:p>
              </w:tc>
              <w:tc>
                <w:tcPr>
                  <w:tcW w:w="709" w:type="dxa"/>
                  <w:shd w:val="clear" w:color="auto" w:fill="auto"/>
                  <w:noWrap/>
                  <w:vAlign w:val="center"/>
                </w:tcPr>
                <w:p w14:paraId="34F5D8A8">
                  <w:pPr>
                    <w:widowControl/>
                    <w:jc w:val="center"/>
                    <w:rPr>
                      <w:rFonts w:eastAsia="等线"/>
                      <w:kern w:val="0"/>
                      <w:sz w:val="20"/>
                      <w:szCs w:val="20"/>
                    </w:rPr>
                  </w:pPr>
                  <w:r>
                    <w:rPr>
                      <w:rFonts w:hint="eastAsia" w:eastAsia="等线"/>
                      <w:kern w:val="0"/>
                      <w:sz w:val="20"/>
                      <w:szCs w:val="20"/>
                    </w:rPr>
                    <w:t>6.98</w:t>
                  </w:r>
                </w:p>
              </w:tc>
              <w:tc>
                <w:tcPr>
                  <w:tcW w:w="2410" w:type="dxa"/>
                  <w:gridSpan w:val="2"/>
                  <w:shd w:val="clear" w:color="auto" w:fill="auto"/>
                  <w:noWrap/>
                  <w:vAlign w:val="center"/>
                </w:tcPr>
                <w:p w14:paraId="3EDF1B30">
                  <w:pPr>
                    <w:widowControl/>
                    <w:rPr>
                      <w:rFonts w:eastAsia="等线"/>
                      <w:kern w:val="0"/>
                      <w:sz w:val="22"/>
                    </w:rPr>
                  </w:pPr>
                  <w:r>
                    <w:rPr>
                      <w:rFonts w:hint="eastAsia" w:ascii="宋体" w:hAnsi="宋体"/>
                      <w:kern w:val="0"/>
                      <w:sz w:val="22"/>
                    </w:rPr>
                    <w:t>稻田、林带、村庄、养殖塘</w:t>
                  </w:r>
                </w:p>
              </w:tc>
              <w:tc>
                <w:tcPr>
                  <w:tcW w:w="4478" w:type="dxa"/>
                  <w:shd w:val="clear" w:color="auto" w:fill="auto"/>
                  <w:noWrap/>
                  <w:vAlign w:val="center"/>
                </w:tcPr>
                <w:p w14:paraId="01D3B4E0">
                  <w:pPr>
                    <w:widowControl/>
                    <w:rPr>
                      <w:rFonts w:eastAsia="等线"/>
                      <w:kern w:val="0"/>
                      <w:sz w:val="20"/>
                      <w:szCs w:val="20"/>
                    </w:rPr>
                  </w:pPr>
                  <w:r>
                    <w:rPr>
                      <w:rFonts w:eastAsia="等线"/>
                      <w:kern w:val="0"/>
                      <w:sz w:val="20"/>
                      <w:szCs w:val="20"/>
                    </w:rPr>
                    <w:t>1</w:t>
                  </w:r>
                  <w:r>
                    <w:rPr>
                      <w:rFonts w:hint="eastAsia" w:eastAsia="等线"/>
                      <w:kern w:val="0"/>
                      <w:sz w:val="20"/>
                      <w:szCs w:val="20"/>
                    </w:rPr>
                    <w:t>18.399306°,39.231444°-118.446457°,39.265184°</w:t>
                  </w:r>
                </w:p>
              </w:tc>
            </w:tr>
            <w:tr w14:paraId="73F50462">
              <w:tblPrEx>
                <w:tblCellMar>
                  <w:top w:w="0" w:type="dxa"/>
                  <w:left w:w="57" w:type="dxa"/>
                  <w:bottom w:w="0" w:type="dxa"/>
                  <w:right w:w="57" w:type="dxa"/>
                </w:tblCellMar>
              </w:tblPrEx>
              <w:trPr>
                <w:trHeight w:val="300" w:hRule="atLeast"/>
              </w:trPr>
              <w:tc>
                <w:tcPr>
                  <w:tcW w:w="709" w:type="dxa"/>
                  <w:shd w:val="clear" w:color="auto" w:fill="auto"/>
                  <w:noWrap/>
                  <w:vAlign w:val="center"/>
                </w:tcPr>
                <w:p w14:paraId="412A21A9">
                  <w:pPr>
                    <w:widowControl/>
                    <w:jc w:val="center"/>
                    <w:rPr>
                      <w:rFonts w:eastAsia="等线"/>
                      <w:kern w:val="0"/>
                      <w:sz w:val="22"/>
                    </w:rPr>
                  </w:pPr>
                  <w:r>
                    <w:rPr>
                      <w:rFonts w:eastAsia="等线"/>
                      <w:kern w:val="0"/>
                      <w:sz w:val="22"/>
                    </w:rPr>
                    <w:t>15</w:t>
                  </w:r>
                </w:p>
              </w:tc>
              <w:tc>
                <w:tcPr>
                  <w:tcW w:w="709" w:type="dxa"/>
                  <w:shd w:val="clear" w:color="auto" w:fill="auto"/>
                  <w:noWrap/>
                  <w:vAlign w:val="center"/>
                </w:tcPr>
                <w:p w14:paraId="1A3A908B">
                  <w:pPr>
                    <w:widowControl/>
                    <w:jc w:val="center"/>
                    <w:rPr>
                      <w:rFonts w:eastAsia="等线"/>
                      <w:kern w:val="0"/>
                      <w:sz w:val="20"/>
                      <w:szCs w:val="20"/>
                    </w:rPr>
                  </w:pPr>
                  <w:r>
                    <w:rPr>
                      <w:rFonts w:eastAsia="等线"/>
                      <w:kern w:val="0"/>
                      <w:sz w:val="20"/>
                      <w:szCs w:val="20"/>
                    </w:rPr>
                    <w:t>5.88</w:t>
                  </w:r>
                </w:p>
              </w:tc>
              <w:tc>
                <w:tcPr>
                  <w:tcW w:w="2410" w:type="dxa"/>
                  <w:gridSpan w:val="2"/>
                  <w:shd w:val="clear" w:color="auto" w:fill="auto"/>
                  <w:noWrap/>
                  <w:vAlign w:val="center"/>
                </w:tcPr>
                <w:p w14:paraId="5BE3218A">
                  <w:pPr>
                    <w:widowControl/>
                    <w:rPr>
                      <w:rFonts w:eastAsia="等线"/>
                      <w:kern w:val="0"/>
                      <w:sz w:val="22"/>
                    </w:rPr>
                  </w:pPr>
                  <w:r>
                    <w:rPr>
                      <w:rFonts w:hint="eastAsia" w:ascii="宋体" w:hAnsi="宋体"/>
                      <w:kern w:val="0"/>
                      <w:sz w:val="22"/>
                    </w:rPr>
                    <w:t>稻田、沟渠、林带、养殖塘</w:t>
                  </w:r>
                </w:p>
              </w:tc>
              <w:tc>
                <w:tcPr>
                  <w:tcW w:w="4478" w:type="dxa"/>
                  <w:shd w:val="clear" w:color="auto" w:fill="auto"/>
                  <w:noWrap/>
                  <w:vAlign w:val="center"/>
                </w:tcPr>
                <w:p w14:paraId="336B7817">
                  <w:pPr>
                    <w:widowControl/>
                    <w:rPr>
                      <w:rFonts w:eastAsia="等线"/>
                      <w:kern w:val="0"/>
                      <w:sz w:val="20"/>
                      <w:szCs w:val="20"/>
                    </w:rPr>
                  </w:pPr>
                  <w:r>
                    <w:rPr>
                      <w:rFonts w:eastAsia="等线"/>
                      <w:kern w:val="0"/>
                      <w:sz w:val="20"/>
                      <w:szCs w:val="20"/>
                    </w:rPr>
                    <w:t>118.450571°</w:t>
                  </w:r>
                  <w:r>
                    <w:rPr>
                      <w:rFonts w:hint="eastAsia" w:ascii="宋体" w:hAnsi="宋体"/>
                      <w:kern w:val="0"/>
                      <w:sz w:val="20"/>
                      <w:szCs w:val="20"/>
                    </w:rPr>
                    <w:t>,</w:t>
                  </w:r>
                  <w:r>
                    <w:rPr>
                      <w:rFonts w:eastAsia="等线"/>
                      <w:kern w:val="0"/>
                      <w:sz w:val="20"/>
                      <w:szCs w:val="20"/>
                    </w:rPr>
                    <w:t>39.215594°-118.4022°</w:t>
                  </w:r>
                  <w:r>
                    <w:rPr>
                      <w:rFonts w:hint="eastAsia" w:ascii="宋体" w:hAnsi="宋体"/>
                      <w:kern w:val="0"/>
                      <w:sz w:val="20"/>
                      <w:szCs w:val="20"/>
                    </w:rPr>
                    <w:t>,</w:t>
                  </w:r>
                  <w:r>
                    <w:rPr>
                      <w:rFonts w:eastAsia="等线"/>
                      <w:kern w:val="0"/>
                      <w:sz w:val="20"/>
                      <w:szCs w:val="20"/>
                    </w:rPr>
                    <w:t>39.224722°</w:t>
                  </w:r>
                </w:p>
              </w:tc>
            </w:tr>
            <w:tr w14:paraId="71F38BC7">
              <w:tblPrEx>
                <w:tblCellMar>
                  <w:top w:w="0" w:type="dxa"/>
                  <w:left w:w="57" w:type="dxa"/>
                  <w:bottom w:w="0" w:type="dxa"/>
                  <w:right w:w="57" w:type="dxa"/>
                </w:tblCellMar>
              </w:tblPrEx>
              <w:trPr>
                <w:trHeight w:val="300" w:hRule="atLeast"/>
              </w:trPr>
              <w:tc>
                <w:tcPr>
                  <w:tcW w:w="709" w:type="dxa"/>
                  <w:shd w:val="clear" w:color="auto" w:fill="auto"/>
                  <w:noWrap/>
                  <w:vAlign w:val="center"/>
                </w:tcPr>
                <w:p w14:paraId="05292942">
                  <w:pPr>
                    <w:widowControl/>
                    <w:jc w:val="center"/>
                    <w:rPr>
                      <w:rFonts w:eastAsia="等线"/>
                      <w:kern w:val="0"/>
                      <w:sz w:val="22"/>
                    </w:rPr>
                  </w:pPr>
                  <w:r>
                    <w:rPr>
                      <w:rFonts w:eastAsia="等线"/>
                      <w:kern w:val="0"/>
                      <w:sz w:val="22"/>
                    </w:rPr>
                    <w:t>16</w:t>
                  </w:r>
                </w:p>
              </w:tc>
              <w:tc>
                <w:tcPr>
                  <w:tcW w:w="709" w:type="dxa"/>
                  <w:shd w:val="clear" w:color="auto" w:fill="auto"/>
                  <w:noWrap/>
                  <w:vAlign w:val="center"/>
                </w:tcPr>
                <w:p w14:paraId="6B41ADFC">
                  <w:pPr>
                    <w:widowControl/>
                    <w:jc w:val="center"/>
                    <w:rPr>
                      <w:rFonts w:eastAsia="等线"/>
                      <w:kern w:val="0"/>
                      <w:sz w:val="20"/>
                      <w:szCs w:val="20"/>
                    </w:rPr>
                  </w:pPr>
                  <w:r>
                    <w:rPr>
                      <w:rFonts w:hint="eastAsia" w:eastAsia="等线"/>
                      <w:kern w:val="0"/>
                      <w:sz w:val="20"/>
                      <w:szCs w:val="20"/>
                    </w:rPr>
                    <w:t>4.45</w:t>
                  </w:r>
                </w:p>
              </w:tc>
              <w:tc>
                <w:tcPr>
                  <w:tcW w:w="2410" w:type="dxa"/>
                  <w:gridSpan w:val="2"/>
                  <w:shd w:val="clear" w:color="auto" w:fill="auto"/>
                  <w:noWrap/>
                  <w:vAlign w:val="center"/>
                </w:tcPr>
                <w:p w14:paraId="30652776">
                  <w:pPr>
                    <w:widowControl/>
                    <w:rPr>
                      <w:rFonts w:eastAsia="等线"/>
                      <w:kern w:val="0"/>
                      <w:sz w:val="22"/>
                    </w:rPr>
                  </w:pPr>
                  <w:r>
                    <w:rPr>
                      <w:rFonts w:hint="eastAsia" w:ascii="宋体" w:hAnsi="宋体"/>
                      <w:kern w:val="0"/>
                      <w:sz w:val="22"/>
                    </w:rPr>
                    <w:t>稻田、养殖场、光伏电厂</w:t>
                  </w:r>
                </w:p>
              </w:tc>
              <w:tc>
                <w:tcPr>
                  <w:tcW w:w="4478" w:type="dxa"/>
                  <w:shd w:val="clear" w:color="auto" w:fill="auto"/>
                  <w:noWrap/>
                  <w:vAlign w:val="center"/>
                </w:tcPr>
                <w:p w14:paraId="2D8A9B6D">
                  <w:pPr>
                    <w:widowControl/>
                    <w:rPr>
                      <w:rFonts w:eastAsia="等线"/>
                      <w:kern w:val="0"/>
                      <w:sz w:val="20"/>
                      <w:szCs w:val="20"/>
                    </w:rPr>
                  </w:pPr>
                  <w:r>
                    <w:rPr>
                      <w:rFonts w:eastAsia="等线"/>
                      <w:kern w:val="0"/>
                      <w:sz w:val="20"/>
                      <w:szCs w:val="20"/>
                    </w:rPr>
                    <w:t>118.</w:t>
                  </w:r>
                  <w:r>
                    <w:rPr>
                      <w:rFonts w:hint="eastAsia" w:eastAsia="等线"/>
                      <w:kern w:val="0"/>
                      <w:sz w:val="20"/>
                      <w:szCs w:val="20"/>
                    </w:rPr>
                    <w:t>436565</w:t>
                  </w:r>
                  <w:r>
                    <w:rPr>
                      <w:rFonts w:eastAsia="等线"/>
                      <w:kern w:val="0"/>
                      <w:sz w:val="20"/>
                      <w:szCs w:val="20"/>
                    </w:rPr>
                    <w:t>°</w:t>
                  </w:r>
                  <w:r>
                    <w:rPr>
                      <w:rFonts w:hint="eastAsia" w:ascii="宋体" w:hAnsi="宋体"/>
                      <w:kern w:val="0"/>
                      <w:sz w:val="20"/>
                      <w:szCs w:val="20"/>
                    </w:rPr>
                    <w:t>,</w:t>
                  </w:r>
                  <w:r>
                    <w:rPr>
                      <w:rFonts w:eastAsia="等线"/>
                      <w:kern w:val="0"/>
                      <w:sz w:val="20"/>
                      <w:szCs w:val="20"/>
                    </w:rPr>
                    <w:t>39.</w:t>
                  </w:r>
                  <w:r>
                    <w:rPr>
                      <w:rFonts w:hint="eastAsia" w:eastAsia="等线"/>
                      <w:kern w:val="0"/>
                      <w:sz w:val="20"/>
                      <w:szCs w:val="20"/>
                    </w:rPr>
                    <w:t>202063</w:t>
                  </w:r>
                  <w:r>
                    <w:rPr>
                      <w:rFonts w:eastAsia="等线"/>
                      <w:kern w:val="0"/>
                      <w:sz w:val="20"/>
                      <w:szCs w:val="20"/>
                    </w:rPr>
                    <w:t>°-118.</w:t>
                  </w:r>
                  <w:r>
                    <w:rPr>
                      <w:rFonts w:hint="eastAsia" w:eastAsia="等线"/>
                      <w:kern w:val="0"/>
                      <w:sz w:val="20"/>
                      <w:szCs w:val="20"/>
                    </w:rPr>
                    <w:t>445900</w:t>
                  </w:r>
                  <w:r>
                    <w:rPr>
                      <w:rFonts w:eastAsia="等线"/>
                      <w:kern w:val="0"/>
                      <w:sz w:val="20"/>
                      <w:szCs w:val="20"/>
                    </w:rPr>
                    <w:t>°</w:t>
                  </w:r>
                  <w:r>
                    <w:rPr>
                      <w:rFonts w:hint="eastAsia" w:ascii="宋体" w:hAnsi="宋体"/>
                      <w:kern w:val="0"/>
                      <w:sz w:val="20"/>
                      <w:szCs w:val="20"/>
                    </w:rPr>
                    <w:t>,</w:t>
                  </w:r>
                  <w:r>
                    <w:rPr>
                      <w:rFonts w:eastAsia="等线"/>
                      <w:kern w:val="0"/>
                      <w:sz w:val="20"/>
                      <w:szCs w:val="20"/>
                    </w:rPr>
                    <w:t>39.</w:t>
                  </w:r>
                  <w:r>
                    <w:rPr>
                      <w:rFonts w:hint="eastAsia" w:eastAsia="等线"/>
                      <w:kern w:val="0"/>
                      <w:sz w:val="20"/>
                      <w:szCs w:val="20"/>
                    </w:rPr>
                    <w:t>173723</w:t>
                  </w:r>
                  <w:r>
                    <w:rPr>
                      <w:rFonts w:eastAsia="等线"/>
                      <w:kern w:val="0"/>
                      <w:sz w:val="20"/>
                      <w:szCs w:val="20"/>
                    </w:rPr>
                    <w:t>°</w:t>
                  </w:r>
                </w:p>
              </w:tc>
            </w:tr>
            <w:tr w14:paraId="40996413">
              <w:tblPrEx>
                <w:tblCellMar>
                  <w:top w:w="0" w:type="dxa"/>
                  <w:left w:w="57" w:type="dxa"/>
                  <w:bottom w:w="0" w:type="dxa"/>
                  <w:right w:w="57" w:type="dxa"/>
                </w:tblCellMar>
              </w:tblPrEx>
              <w:trPr>
                <w:trHeight w:val="300" w:hRule="atLeast"/>
              </w:trPr>
              <w:tc>
                <w:tcPr>
                  <w:tcW w:w="709" w:type="dxa"/>
                  <w:shd w:val="clear" w:color="auto" w:fill="auto"/>
                  <w:noWrap/>
                  <w:vAlign w:val="center"/>
                </w:tcPr>
                <w:p w14:paraId="38EEB522">
                  <w:pPr>
                    <w:widowControl/>
                    <w:jc w:val="center"/>
                    <w:rPr>
                      <w:rFonts w:eastAsia="等线"/>
                      <w:kern w:val="0"/>
                      <w:sz w:val="22"/>
                    </w:rPr>
                  </w:pPr>
                  <w:r>
                    <w:rPr>
                      <w:rFonts w:eastAsia="等线"/>
                      <w:kern w:val="0"/>
                      <w:sz w:val="22"/>
                    </w:rPr>
                    <w:t>17</w:t>
                  </w:r>
                </w:p>
              </w:tc>
              <w:tc>
                <w:tcPr>
                  <w:tcW w:w="709" w:type="dxa"/>
                  <w:shd w:val="clear" w:color="auto" w:fill="auto"/>
                  <w:noWrap/>
                  <w:vAlign w:val="center"/>
                </w:tcPr>
                <w:p w14:paraId="1E2450CA">
                  <w:pPr>
                    <w:widowControl/>
                    <w:jc w:val="center"/>
                    <w:rPr>
                      <w:rFonts w:eastAsia="等线"/>
                      <w:kern w:val="0"/>
                      <w:sz w:val="20"/>
                      <w:szCs w:val="20"/>
                    </w:rPr>
                  </w:pPr>
                  <w:r>
                    <w:rPr>
                      <w:rFonts w:eastAsia="等线"/>
                      <w:kern w:val="0"/>
                      <w:sz w:val="20"/>
                      <w:szCs w:val="20"/>
                    </w:rPr>
                    <w:t>3.54</w:t>
                  </w:r>
                </w:p>
              </w:tc>
              <w:tc>
                <w:tcPr>
                  <w:tcW w:w="2410" w:type="dxa"/>
                  <w:gridSpan w:val="2"/>
                  <w:shd w:val="clear" w:color="auto" w:fill="auto"/>
                  <w:noWrap/>
                  <w:vAlign w:val="center"/>
                </w:tcPr>
                <w:p w14:paraId="72225BD7">
                  <w:pPr>
                    <w:widowControl/>
                    <w:rPr>
                      <w:rFonts w:eastAsia="等线"/>
                      <w:kern w:val="0"/>
                      <w:sz w:val="22"/>
                    </w:rPr>
                  </w:pPr>
                  <w:r>
                    <w:rPr>
                      <w:rFonts w:hint="eastAsia" w:ascii="宋体" w:hAnsi="宋体"/>
                      <w:kern w:val="0"/>
                      <w:sz w:val="22"/>
                    </w:rPr>
                    <w:t>河流、稻田</w:t>
                  </w:r>
                </w:p>
              </w:tc>
              <w:tc>
                <w:tcPr>
                  <w:tcW w:w="4478" w:type="dxa"/>
                  <w:shd w:val="clear" w:color="auto" w:fill="auto"/>
                  <w:noWrap/>
                  <w:vAlign w:val="center"/>
                </w:tcPr>
                <w:p w14:paraId="602AD4A2">
                  <w:pPr>
                    <w:widowControl/>
                    <w:rPr>
                      <w:rFonts w:eastAsia="等线"/>
                      <w:kern w:val="0"/>
                      <w:sz w:val="20"/>
                      <w:szCs w:val="20"/>
                    </w:rPr>
                  </w:pPr>
                  <w:r>
                    <w:rPr>
                      <w:rFonts w:eastAsia="等线"/>
                      <w:kern w:val="0"/>
                      <w:sz w:val="20"/>
                      <w:szCs w:val="20"/>
                    </w:rPr>
                    <w:t>118.52681°</w:t>
                  </w:r>
                  <w:r>
                    <w:rPr>
                      <w:rFonts w:hint="eastAsia" w:ascii="宋体" w:hAnsi="宋体"/>
                      <w:kern w:val="0"/>
                      <w:sz w:val="20"/>
                      <w:szCs w:val="20"/>
                    </w:rPr>
                    <w:t>,</w:t>
                  </w:r>
                  <w:r>
                    <w:rPr>
                      <w:rFonts w:eastAsia="等线"/>
                      <w:kern w:val="0"/>
                      <w:sz w:val="20"/>
                      <w:szCs w:val="20"/>
                    </w:rPr>
                    <w:t>39.231649°-118.526165°</w:t>
                  </w:r>
                  <w:r>
                    <w:rPr>
                      <w:rFonts w:hint="eastAsia" w:ascii="宋体" w:hAnsi="宋体"/>
                      <w:kern w:val="0"/>
                      <w:sz w:val="20"/>
                      <w:szCs w:val="20"/>
                    </w:rPr>
                    <w:t>,</w:t>
                  </w:r>
                  <w:r>
                    <w:rPr>
                      <w:rFonts w:eastAsia="等线"/>
                      <w:kern w:val="0"/>
                      <w:sz w:val="20"/>
                      <w:szCs w:val="20"/>
                    </w:rPr>
                    <w:t>39.200005°</w:t>
                  </w:r>
                </w:p>
              </w:tc>
            </w:tr>
            <w:tr w14:paraId="6DF49153">
              <w:tblPrEx>
                <w:tblCellMar>
                  <w:top w:w="0" w:type="dxa"/>
                  <w:left w:w="57" w:type="dxa"/>
                  <w:bottom w:w="0" w:type="dxa"/>
                  <w:right w:w="57" w:type="dxa"/>
                </w:tblCellMar>
              </w:tblPrEx>
              <w:trPr>
                <w:trHeight w:val="300" w:hRule="atLeast"/>
              </w:trPr>
              <w:tc>
                <w:tcPr>
                  <w:tcW w:w="709" w:type="dxa"/>
                  <w:shd w:val="clear" w:color="auto" w:fill="auto"/>
                  <w:noWrap/>
                  <w:vAlign w:val="center"/>
                </w:tcPr>
                <w:p w14:paraId="69E221F7">
                  <w:pPr>
                    <w:widowControl/>
                    <w:jc w:val="center"/>
                    <w:rPr>
                      <w:rFonts w:eastAsia="等线"/>
                      <w:kern w:val="0"/>
                      <w:sz w:val="22"/>
                    </w:rPr>
                  </w:pPr>
                  <w:r>
                    <w:rPr>
                      <w:rFonts w:eastAsia="等线"/>
                      <w:kern w:val="0"/>
                      <w:sz w:val="22"/>
                    </w:rPr>
                    <w:t>18</w:t>
                  </w:r>
                </w:p>
              </w:tc>
              <w:tc>
                <w:tcPr>
                  <w:tcW w:w="709" w:type="dxa"/>
                  <w:shd w:val="clear" w:color="auto" w:fill="auto"/>
                  <w:noWrap/>
                  <w:vAlign w:val="center"/>
                </w:tcPr>
                <w:p w14:paraId="151DB1F3">
                  <w:pPr>
                    <w:widowControl/>
                    <w:jc w:val="center"/>
                    <w:rPr>
                      <w:rFonts w:eastAsia="等线"/>
                      <w:kern w:val="0"/>
                      <w:sz w:val="20"/>
                      <w:szCs w:val="20"/>
                    </w:rPr>
                  </w:pPr>
                  <w:r>
                    <w:rPr>
                      <w:rFonts w:eastAsia="等线"/>
                      <w:kern w:val="0"/>
                      <w:sz w:val="20"/>
                      <w:szCs w:val="20"/>
                    </w:rPr>
                    <w:t>8.09</w:t>
                  </w:r>
                </w:p>
              </w:tc>
              <w:tc>
                <w:tcPr>
                  <w:tcW w:w="2410" w:type="dxa"/>
                  <w:gridSpan w:val="2"/>
                  <w:shd w:val="clear" w:color="auto" w:fill="auto"/>
                  <w:noWrap/>
                  <w:vAlign w:val="center"/>
                </w:tcPr>
                <w:p w14:paraId="292766F4">
                  <w:pPr>
                    <w:widowControl/>
                    <w:rPr>
                      <w:rFonts w:eastAsia="等线"/>
                      <w:kern w:val="0"/>
                      <w:sz w:val="22"/>
                    </w:rPr>
                  </w:pPr>
                  <w:r>
                    <w:rPr>
                      <w:rFonts w:hint="eastAsia" w:ascii="宋体" w:hAnsi="宋体"/>
                      <w:kern w:val="0"/>
                      <w:sz w:val="22"/>
                    </w:rPr>
                    <w:t>沟渠、稻田、养殖塘、林带、大棚</w:t>
                  </w:r>
                </w:p>
              </w:tc>
              <w:tc>
                <w:tcPr>
                  <w:tcW w:w="4478" w:type="dxa"/>
                  <w:shd w:val="clear" w:color="auto" w:fill="auto"/>
                  <w:noWrap/>
                  <w:vAlign w:val="center"/>
                </w:tcPr>
                <w:p w14:paraId="70C24EEF">
                  <w:pPr>
                    <w:widowControl/>
                    <w:rPr>
                      <w:rFonts w:eastAsia="等线"/>
                      <w:kern w:val="0"/>
                      <w:sz w:val="20"/>
                      <w:szCs w:val="20"/>
                    </w:rPr>
                  </w:pPr>
                  <w:r>
                    <w:rPr>
                      <w:rFonts w:eastAsia="等线"/>
                      <w:kern w:val="0"/>
                      <w:sz w:val="20"/>
                      <w:szCs w:val="20"/>
                    </w:rPr>
                    <w:t>118.47409°</w:t>
                  </w:r>
                  <w:r>
                    <w:rPr>
                      <w:rFonts w:hint="eastAsia" w:ascii="宋体" w:hAnsi="宋体"/>
                      <w:kern w:val="0"/>
                      <w:sz w:val="20"/>
                      <w:szCs w:val="20"/>
                    </w:rPr>
                    <w:t>,</w:t>
                  </w:r>
                  <w:r>
                    <w:rPr>
                      <w:rFonts w:eastAsia="等线"/>
                      <w:kern w:val="0"/>
                      <w:sz w:val="20"/>
                      <w:szCs w:val="20"/>
                    </w:rPr>
                    <w:t>39.199221°-118.453752°</w:t>
                  </w:r>
                  <w:r>
                    <w:rPr>
                      <w:rFonts w:hint="eastAsia" w:ascii="宋体" w:hAnsi="宋体"/>
                      <w:kern w:val="0"/>
                      <w:sz w:val="20"/>
                      <w:szCs w:val="20"/>
                    </w:rPr>
                    <w:t>,</w:t>
                  </w:r>
                  <w:r>
                    <w:rPr>
                      <w:rFonts w:eastAsia="等线"/>
                      <w:kern w:val="0"/>
                      <w:sz w:val="20"/>
                      <w:szCs w:val="20"/>
                    </w:rPr>
                    <w:t>39.175097°</w:t>
                  </w:r>
                </w:p>
              </w:tc>
            </w:tr>
            <w:tr w14:paraId="4984FDF2">
              <w:tblPrEx>
                <w:tblCellMar>
                  <w:top w:w="0" w:type="dxa"/>
                  <w:left w:w="57" w:type="dxa"/>
                  <w:bottom w:w="0" w:type="dxa"/>
                  <w:right w:w="57" w:type="dxa"/>
                </w:tblCellMar>
              </w:tblPrEx>
              <w:trPr>
                <w:trHeight w:val="300" w:hRule="atLeast"/>
              </w:trPr>
              <w:tc>
                <w:tcPr>
                  <w:tcW w:w="709" w:type="dxa"/>
                  <w:shd w:val="clear" w:color="auto" w:fill="auto"/>
                  <w:noWrap/>
                  <w:vAlign w:val="center"/>
                </w:tcPr>
                <w:p w14:paraId="3C80C10D">
                  <w:pPr>
                    <w:widowControl/>
                    <w:jc w:val="center"/>
                    <w:rPr>
                      <w:rFonts w:eastAsia="等线"/>
                      <w:kern w:val="0"/>
                      <w:sz w:val="22"/>
                    </w:rPr>
                  </w:pPr>
                  <w:r>
                    <w:rPr>
                      <w:rFonts w:eastAsia="等线"/>
                      <w:kern w:val="0"/>
                      <w:sz w:val="22"/>
                    </w:rPr>
                    <w:t>19</w:t>
                  </w:r>
                </w:p>
              </w:tc>
              <w:tc>
                <w:tcPr>
                  <w:tcW w:w="709" w:type="dxa"/>
                  <w:shd w:val="clear" w:color="auto" w:fill="auto"/>
                  <w:noWrap/>
                  <w:vAlign w:val="center"/>
                </w:tcPr>
                <w:p w14:paraId="5D10F4F6">
                  <w:pPr>
                    <w:widowControl/>
                    <w:jc w:val="center"/>
                    <w:rPr>
                      <w:rFonts w:eastAsia="等线"/>
                      <w:kern w:val="0"/>
                      <w:sz w:val="20"/>
                      <w:szCs w:val="20"/>
                    </w:rPr>
                  </w:pPr>
                  <w:r>
                    <w:rPr>
                      <w:rFonts w:eastAsia="等线"/>
                      <w:kern w:val="0"/>
                      <w:sz w:val="20"/>
                      <w:szCs w:val="20"/>
                    </w:rPr>
                    <w:t>3.32</w:t>
                  </w:r>
                </w:p>
              </w:tc>
              <w:tc>
                <w:tcPr>
                  <w:tcW w:w="2410" w:type="dxa"/>
                  <w:gridSpan w:val="2"/>
                  <w:shd w:val="clear" w:color="auto" w:fill="auto"/>
                  <w:noWrap/>
                  <w:vAlign w:val="center"/>
                </w:tcPr>
                <w:p w14:paraId="6F74ABB0">
                  <w:pPr>
                    <w:widowControl/>
                    <w:rPr>
                      <w:rFonts w:eastAsia="等线"/>
                      <w:kern w:val="0"/>
                      <w:sz w:val="22"/>
                    </w:rPr>
                  </w:pPr>
                  <w:r>
                    <w:rPr>
                      <w:rFonts w:hint="eastAsia" w:ascii="宋体" w:hAnsi="宋体"/>
                      <w:kern w:val="0"/>
                      <w:sz w:val="22"/>
                    </w:rPr>
                    <w:t>养殖塘、沟渠、林地</w:t>
                  </w:r>
                </w:p>
              </w:tc>
              <w:tc>
                <w:tcPr>
                  <w:tcW w:w="4478" w:type="dxa"/>
                  <w:shd w:val="clear" w:color="auto" w:fill="auto"/>
                  <w:noWrap/>
                  <w:vAlign w:val="center"/>
                </w:tcPr>
                <w:p w14:paraId="458780B2">
                  <w:pPr>
                    <w:widowControl/>
                    <w:rPr>
                      <w:rFonts w:eastAsia="等线"/>
                      <w:kern w:val="0"/>
                      <w:sz w:val="20"/>
                      <w:szCs w:val="20"/>
                    </w:rPr>
                  </w:pPr>
                  <w:r>
                    <w:rPr>
                      <w:rFonts w:eastAsia="等线"/>
                      <w:kern w:val="0"/>
                      <w:sz w:val="20"/>
                      <w:szCs w:val="20"/>
                    </w:rPr>
                    <w:t>118.499587°</w:t>
                  </w:r>
                  <w:r>
                    <w:rPr>
                      <w:rFonts w:hint="eastAsia" w:ascii="宋体" w:hAnsi="宋体"/>
                      <w:kern w:val="0"/>
                      <w:sz w:val="20"/>
                      <w:szCs w:val="20"/>
                    </w:rPr>
                    <w:t>,</w:t>
                  </w:r>
                  <w:r>
                    <w:rPr>
                      <w:rFonts w:eastAsia="等线"/>
                      <w:kern w:val="0"/>
                      <w:sz w:val="20"/>
                      <w:szCs w:val="20"/>
                    </w:rPr>
                    <w:t>39.1795°-118.472278°</w:t>
                  </w:r>
                  <w:r>
                    <w:rPr>
                      <w:rFonts w:hint="eastAsia" w:ascii="宋体" w:hAnsi="宋体"/>
                      <w:kern w:val="0"/>
                      <w:sz w:val="20"/>
                      <w:szCs w:val="20"/>
                    </w:rPr>
                    <w:t>,</w:t>
                  </w:r>
                  <w:r>
                    <w:rPr>
                      <w:rFonts w:eastAsia="等线"/>
                      <w:kern w:val="0"/>
                      <w:sz w:val="20"/>
                      <w:szCs w:val="20"/>
                    </w:rPr>
                    <w:t>39.165136°</w:t>
                  </w:r>
                </w:p>
              </w:tc>
            </w:tr>
            <w:tr w14:paraId="13C1D8A0">
              <w:tblPrEx>
                <w:tblCellMar>
                  <w:top w:w="0" w:type="dxa"/>
                  <w:left w:w="57" w:type="dxa"/>
                  <w:bottom w:w="0" w:type="dxa"/>
                  <w:right w:w="57" w:type="dxa"/>
                </w:tblCellMar>
              </w:tblPrEx>
              <w:trPr>
                <w:trHeight w:val="300" w:hRule="atLeast"/>
              </w:trPr>
              <w:tc>
                <w:tcPr>
                  <w:tcW w:w="709" w:type="dxa"/>
                  <w:shd w:val="clear" w:color="auto" w:fill="auto"/>
                  <w:noWrap/>
                  <w:vAlign w:val="center"/>
                </w:tcPr>
                <w:p w14:paraId="043689D4">
                  <w:pPr>
                    <w:widowControl/>
                    <w:jc w:val="center"/>
                    <w:rPr>
                      <w:rFonts w:eastAsia="等线"/>
                      <w:kern w:val="0"/>
                      <w:sz w:val="22"/>
                    </w:rPr>
                  </w:pPr>
                  <w:r>
                    <w:rPr>
                      <w:rFonts w:eastAsia="等线"/>
                      <w:kern w:val="0"/>
                      <w:sz w:val="22"/>
                    </w:rPr>
                    <w:t>20</w:t>
                  </w:r>
                </w:p>
              </w:tc>
              <w:tc>
                <w:tcPr>
                  <w:tcW w:w="709" w:type="dxa"/>
                  <w:shd w:val="clear" w:color="auto" w:fill="auto"/>
                  <w:noWrap/>
                  <w:vAlign w:val="center"/>
                </w:tcPr>
                <w:p w14:paraId="04C4059F">
                  <w:pPr>
                    <w:widowControl/>
                    <w:jc w:val="center"/>
                    <w:rPr>
                      <w:rFonts w:eastAsia="等线"/>
                      <w:kern w:val="0"/>
                      <w:sz w:val="20"/>
                      <w:szCs w:val="20"/>
                    </w:rPr>
                  </w:pPr>
                  <w:r>
                    <w:rPr>
                      <w:rFonts w:eastAsia="等线"/>
                      <w:kern w:val="0"/>
                      <w:sz w:val="20"/>
                      <w:szCs w:val="20"/>
                    </w:rPr>
                    <w:t>2.69</w:t>
                  </w:r>
                </w:p>
              </w:tc>
              <w:tc>
                <w:tcPr>
                  <w:tcW w:w="2410" w:type="dxa"/>
                  <w:gridSpan w:val="2"/>
                  <w:shd w:val="clear" w:color="auto" w:fill="auto"/>
                  <w:noWrap/>
                  <w:vAlign w:val="center"/>
                </w:tcPr>
                <w:p w14:paraId="1BBF9675">
                  <w:pPr>
                    <w:widowControl/>
                    <w:rPr>
                      <w:rFonts w:eastAsia="等线"/>
                      <w:kern w:val="0"/>
                      <w:sz w:val="22"/>
                    </w:rPr>
                  </w:pPr>
                  <w:r>
                    <w:rPr>
                      <w:rFonts w:hint="eastAsia" w:ascii="宋体" w:hAnsi="宋体"/>
                      <w:kern w:val="0"/>
                      <w:sz w:val="22"/>
                    </w:rPr>
                    <w:t>养殖塘、沟渠</w:t>
                  </w:r>
                </w:p>
              </w:tc>
              <w:tc>
                <w:tcPr>
                  <w:tcW w:w="4478" w:type="dxa"/>
                  <w:shd w:val="clear" w:color="auto" w:fill="auto"/>
                  <w:noWrap/>
                  <w:vAlign w:val="center"/>
                </w:tcPr>
                <w:p w14:paraId="21A2F174">
                  <w:pPr>
                    <w:widowControl/>
                    <w:rPr>
                      <w:rFonts w:eastAsia="等线"/>
                      <w:kern w:val="0"/>
                      <w:sz w:val="20"/>
                      <w:szCs w:val="20"/>
                    </w:rPr>
                  </w:pPr>
                  <w:r>
                    <w:rPr>
                      <w:rFonts w:eastAsia="等线"/>
                      <w:kern w:val="0"/>
                      <w:sz w:val="20"/>
                      <w:szCs w:val="20"/>
                    </w:rPr>
                    <w:t>118.500486°</w:t>
                  </w:r>
                  <w:r>
                    <w:rPr>
                      <w:rFonts w:hint="eastAsia" w:ascii="宋体" w:hAnsi="宋体"/>
                      <w:kern w:val="0"/>
                      <w:sz w:val="20"/>
                      <w:szCs w:val="20"/>
                    </w:rPr>
                    <w:t>,</w:t>
                  </w:r>
                  <w:r>
                    <w:rPr>
                      <w:rFonts w:eastAsia="等线"/>
                      <w:kern w:val="0"/>
                      <w:sz w:val="20"/>
                      <w:szCs w:val="20"/>
                    </w:rPr>
                    <w:t>39.176802°-118.521107°</w:t>
                  </w:r>
                  <w:r>
                    <w:rPr>
                      <w:rFonts w:hint="eastAsia" w:ascii="宋体" w:hAnsi="宋体"/>
                      <w:kern w:val="0"/>
                      <w:sz w:val="20"/>
                      <w:szCs w:val="20"/>
                    </w:rPr>
                    <w:t>,</w:t>
                  </w:r>
                  <w:r>
                    <w:rPr>
                      <w:rFonts w:eastAsia="等线"/>
                      <w:kern w:val="0"/>
                      <w:sz w:val="20"/>
                      <w:szCs w:val="20"/>
                    </w:rPr>
                    <w:t>39.158678°</w:t>
                  </w:r>
                </w:p>
              </w:tc>
            </w:tr>
            <w:tr w14:paraId="32ECD07F">
              <w:tblPrEx>
                <w:tblCellMar>
                  <w:top w:w="0" w:type="dxa"/>
                  <w:left w:w="57" w:type="dxa"/>
                  <w:bottom w:w="0" w:type="dxa"/>
                  <w:right w:w="57" w:type="dxa"/>
                </w:tblCellMar>
              </w:tblPrEx>
              <w:trPr>
                <w:trHeight w:val="300" w:hRule="atLeast"/>
              </w:trPr>
              <w:tc>
                <w:tcPr>
                  <w:tcW w:w="709" w:type="dxa"/>
                  <w:shd w:val="clear" w:color="auto" w:fill="auto"/>
                  <w:noWrap/>
                  <w:vAlign w:val="center"/>
                </w:tcPr>
                <w:p w14:paraId="34B02B16">
                  <w:pPr>
                    <w:widowControl/>
                    <w:jc w:val="center"/>
                    <w:rPr>
                      <w:rFonts w:eastAsia="等线"/>
                      <w:kern w:val="0"/>
                      <w:sz w:val="22"/>
                    </w:rPr>
                  </w:pPr>
                  <w:r>
                    <w:rPr>
                      <w:rFonts w:eastAsia="等线"/>
                      <w:kern w:val="0"/>
                      <w:sz w:val="22"/>
                    </w:rPr>
                    <w:t>21</w:t>
                  </w:r>
                </w:p>
              </w:tc>
              <w:tc>
                <w:tcPr>
                  <w:tcW w:w="709" w:type="dxa"/>
                  <w:shd w:val="clear" w:color="auto" w:fill="auto"/>
                  <w:noWrap/>
                  <w:vAlign w:val="center"/>
                </w:tcPr>
                <w:p w14:paraId="1D5AE126">
                  <w:pPr>
                    <w:widowControl/>
                    <w:jc w:val="center"/>
                    <w:rPr>
                      <w:rFonts w:eastAsia="等线"/>
                      <w:kern w:val="0"/>
                      <w:sz w:val="20"/>
                      <w:szCs w:val="20"/>
                    </w:rPr>
                  </w:pPr>
                  <w:r>
                    <w:rPr>
                      <w:rFonts w:eastAsia="等线"/>
                      <w:kern w:val="0"/>
                      <w:sz w:val="20"/>
                      <w:szCs w:val="20"/>
                    </w:rPr>
                    <w:t>1.98</w:t>
                  </w:r>
                </w:p>
              </w:tc>
              <w:tc>
                <w:tcPr>
                  <w:tcW w:w="2410" w:type="dxa"/>
                  <w:gridSpan w:val="2"/>
                  <w:shd w:val="clear" w:color="auto" w:fill="auto"/>
                  <w:noWrap/>
                  <w:vAlign w:val="center"/>
                </w:tcPr>
                <w:p w14:paraId="514619E8">
                  <w:pPr>
                    <w:widowControl/>
                    <w:rPr>
                      <w:rFonts w:eastAsia="等线"/>
                      <w:kern w:val="0"/>
                      <w:sz w:val="22"/>
                    </w:rPr>
                  </w:pPr>
                  <w:r>
                    <w:rPr>
                      <w:rFonts w:hint="eastAsia" w:ascii="宋体" w:hAnsi="宋体"/>
                      <w:kern w:val="0"/>
                      <w:sz w:val="22"/>
                    </w:rPr>
                    <w:t>养殖塘、沟渠</w:t>
                  </w:r>
                </w:p>
              </w:tc>
              <w:tc>
                <w:tcPr>
                  <w:tcW w:w="4478" w:type="dxa"/>
                  <w:shd w:val="clear" w:color="auto" w:fill="auto"/>
                  <w:noWrap/>
                  <w:vAlign w:val="center"/>
                </w:tcPr>
                <w:p w14:paraId="68BC4687">
                  <w:pPr>
                    <w:widowControl/>
                    <w:rPr>
                      <w:rFonts w:eastAsia="等线"/>
                      <w:kern w:val="0"/>
                      <w:sz w:val="20"/>
                      <w:szCs w:val="20"/>
                    </w:rPr>
                  </w:pPr>
                  <w:r>
                    <w:rPr>
                      <w:rFonts w:eastAsia="等线"/>
                      <w:kern w:val="0"/>
                      <w:sz w:val="20"/>
                      <w:szCs w:val="20"/>
                    </w:rPr>
                    <w:t>118.49445°</w:t>
                  </w:r>
                  <w:r>
                    <w:rPr>
                      <w:rFonts w:hint="eastAsia" w:ascii="宋体" w:hAnsi="宋体"/>
                      <w:kern w:val="0"/>
                      <w:sz w:val="20"/>
                      <w:szCs w:val="20"/>
                    </w:rPr>
                    <w:t>,</w:t>
                  </w:r>
                  <w:r>
                    <w:rPr>
                      <w:rFonts w:eastAsia="等线"/>
                      <w:kern w:val="0"/>
                      <w:sz w:val="20"/>
                      <w:szCs w:val="20"/>
                    </w:rPr>
                    <w:t>39.170841°-118.505455°</w:t>
                  </w:r>
                  <w:r>
                    <w:rPr>
                      <w:rFonts w:hint="eastAsia" w:ascii="宋体" w:hAnsi="宋体"/>
                      <w:kern w:val="0"/>
                      <w:sz w:val="20"/>
                      <w:szCs w:val="20"/>
                    </w:rPr>
                    <w:t>,</w:t>
                  </w:r>
                  <w:r>
                    <w:rPr>
                      <w:rFonts w:eastAsia="等线"/>
                      <w:kern w:val="0"/>
                      <w:sz w:val="20"/>
                      <w:szCs w:val="20"/>
                    </w:rPr>
                    <w:t>39.155233°</w:t>
                  </w:r>
                </w:p>
              </w:tc>
            </w:tr>
            <w:tr w14:paraId="2CFD05F2">
              <w:tblPrEx>
                <w:tblCellMar>
                  <w:top w:w="0" w:type="dxa"/>
                  <w:left w:w="57" w:type="dxa"/>
                  <w:bottom w:w="0" w:type="dxa"/>
                  <w:right w:w="57" w:type="dxa"/>
                </w:tblCellMar>
              </w:tblPrEx>
              <w:trPr>
                <w:trHeight w:val="300" w:hRule="atLeast"/>
              </w:trPr>
              <w:tc>
                <w:tcPr>
                  <w:tcW w:w="709" w:type="dxa"/>
                  <w:shd w:val="clear" w:color="auto" w:fill="auto"/>
                  <w:noWrap/>
                  <w:vAlign w:val="center"/>
                </w:tcPr>
                <w:p w14:paraId="19B9E31D">
                  <w:pPr>
                    <w:widowControl/>
                    <w:jc w:val="center"/>
                    <w:rPr>
                      <w:rFonts w:eastAsia="等线"/>
                      <w:kern w:val="0"/>
                      <w:sz w:val="22"/>
                    </w:rPr>
                  </w:pPr>
                  <w:r>
                    <w:rPr>
                      <w:rFonts w:eastAsia="等线"/>
                      <w:kern w:val="0"/>
                      <w:sz w:val="22"/>
                    </w:rPr>
                    <w:t>22</w:t>
                  </w:r>
                </w:p>
              </w:tc>
              <w:tc>
                <w:tcPr>
                  <w:tcW w:w="709" w:type="dxa"/>
                  <w:shd w:val="clear" w:color="auto" w:fill="auto"/>
                  <w:noWrap/>
                  <w:vAlign w:val="center"/>
                </w:tcPr>
                <w:p w14:paraId="39156219">
                  <w:pPr>
                    <w:widowControl/>
                    <w:jc w:val="center"/>
                    <w:rPr>
                      <w:rFonts w:eastAsia="等线"/>
                      <w:kern w:val="0"/>
                      <w:sz w:val="20"/>
                      <w:szCs w:val="20"/>
                    </w:rPr>
                  </w:pPr>
                  <w:r>
                    <w:rPr>
                      <w:rFonts w:eastAsia="等线"/>
                      <w:kern w:val="0"/>
                      <w:sz w:val="20"/>
                      <w:szCs w:val="20"/>
                    </w:rPr>
                    <w:t>4.48</w:t>
                  </w:r>
                </w:p>
              </w:tc>
              <w:tc>
                <w:tcPr>
                  <w:tcW w:w="2410" w:type="dxa"/>
                  <w:gridSpan w:val="2"/>
                  <w:shd w:val="clear" w:color="auto" w:fill="auto"/>
                  <w:noWrap/>
                  <w:vAlign w:val="center"/>
                </w:tcPr>
                <w:p w14:paraId="5EC16B1C">
                  <w:pPr>
                    <w:widowControl/>
                    <w:rPr>
                      <w:rFonts w:eastAsia="等线"/>
                      <w:kern w:val="0"/>
                      <w:sz w:val="22"/>
                    </w:rPr>
                  </w:pPr>
                  <w:r>
                    <w:rPr>
                      <w:rFonts w:hint="eastAsia" w:ascii="宋体" w:hAnsi="宋体"/>
                      <w:kern w:val="0"/>
                      <w:sz w:val="22"/>
                    </w:rPr>
                    <w:t>养殖塘、沟渠</w:t>
                  </w:r>
                </w:p>
              </w:tc>
              <w:tc>
                <w:tcPr>
                  <w:tcW w:w="4478" w:type="dxa"/>
                  <w:shd w:val="clear" w:color="auto" w:fill="auto"/>
                  <w:noWrap/>
                  <w:vAlign w:val="center"/>
                </w:tcPr>
                <w:p w14:paraId="7C20DE83">
                  <w:pPr>
                    <w:widowControl/>
                    <w:rPr>
                      <w:rFonts w:eastAsia="等线"/>
                      <w:kern w:val="0"/>
                      <w:sz w:val="20"/>
                      <w:szCs w:val="20"/>
                    </w:rPr>
                  </w:pPr>
                  <w:r>
                    <w:rPr>
                      <w:rFonts w:eastAsia="等线"/>
                      <w:kern w:val="0"/>
                      <w:sz w:val="20"/>
                      <w:szCs w:val="20"/>
                    </w:rPr>
                    <w:t>118.483875°</w:t>
                  </w:r>
                  <w:r>
                    <w:rPr>
                      <w:rFonts w:hint="eastAsia" w:ascii="宋体" w:hAnsi="宋体"/>
                      <w:kern w:val="0"/>
                      <w:sz w:val="20"/>
                      <w:szCs w:val="20"/>
                    </w:rPr>
                    <w:t>,</w:t>
                  </w:r>
                  <w:r>
                    <w:rPr>
                      <w:rFonts w:eastAsia="等线"/>
                      <w:kern w:val="0"/>
                      <w:sz w:val="20"/>
                      <w:szCs w:val="20"/>
                    </w:rPr>
                    <w:t>39.166289°-118.518815°</w:t>
                  </w:r>
                  <w:r>
                    <w:rPr>
                      <w:rFonts w:hint="eastAsia" w:ascii="宋体" w:hAnsi="宋体"/>
                      <w:kern w:val="0"/>
                      <w:sz w:val="20"/>
                      <w:szCs w:val="20"/>
                    </w:rPr>
                    <w:t>,</w:t>
                  </w:r>
                  <w:r>
                    <w:rPr>
                      <w:rFonts w:eastAsia="等线"/>
                      <w:kern w:val="0"/>
                      <w:sz w:val="20"/>
                      <w:szCs w:val="20"/>
                    </w:rPr>
                    <w:t>39.157821°</w:t>
                  </w:r>
                </w:p>
              </w:tc>
            </w:tr>
            <w:tr w14:paraId="71CA4C29">
              <w:tblPrEx>
                <w:tblCellMar>
                  <w:top w:w="0" w:type="dxa"/>
                  <w:left w:w="57" w:type="dxa"/>
                  <w:bottom w:w="0" w:type="dxa"/>
                  <w:right w:w="57" w:type="dxa"/>
                </w:tblCellMar>
              </w:tblPrEx>
              <w:trPr>
                <w:trHeight w:val="300" w:hRule="atLeast"/>
              </w:trPr>
              <w:tc>
                <w:tcPr>
                  <w:tcW w:w="709" w:type="dxa"/>
                  <w:tcBorders>
                    <w:bottom w:val="single" w:color="auto" w:sz="4" w:space="0"/>
                  </w:tcBorders>
                  <w:shd w:val="clear" w:color="auto" w:fill="auto"/>
                  <w:noWrap/>
                  <w:vAlign w:val="center"/>
                </w:tcPr>
                <w:p w14:paraId="4ABFB2A3">
                  <w:pPr>
                    <w:widowControl/>
                    <w:jc w:val="center"/>
                    <w:rPr>
                      <w:rFonts w:eastAsia="等线"/>
                      <w:kern w:val="0"/>
                      <w:sz w:val="22"/>
                    </w:rPr>
                  </w:pPr>
                  <w:r>
                    <w:rPr>
                      <w:rFonts w:hint="eastAsia" w:eastAsia="等线"/>
                      <w:kern w:val="0"/>
                      <w:sz w:val="22"/>
                    </w:rPr>
                    <w:t>23</w:t>
                  </w:r>
                </w:p>
              </w:tc>
              <w:tc>
                <w:tcPr>
                  <w:tcW w:w="709" w:type="dxa"/>
                  <w:tcBorders>
                    <w:bottom w:val="single" w:color="auto" w:sz="4" w:space="0"/>
                  </w:tcBorders>
                  <w:shd w:val="clear" w:color="auto" w:fill="auto"/>
                  <w:noWrap/>
                  <w:vAlign w:val="center"/>
                </w:tcPr>
                <w:p w14:paraId="1E0E4810">
                  <w:pPr>
                    <w:widowControl/>
                    <w:jc w:val="center"/>
                    <w:rPr>
                      <w:rFonts w:eastAsia="等线"/>
                      <w:kern w:val="0"/>
                      <w:sz w:val="20"/>
                      <w:szCs w:val="20"/>
                    </w:rPr>
                  </w:pPr>
                  <w:r>
                    <w:rPr>
                      <w:rFonts w:hint="eastAsia" w:eastAsia="等线"/>
                      <w:kern w:val="0"/>
                      <w:sz w:val="20"/>
                      <w:szCs w:val="20"/>
                    </w:rPr>
                    <w:t>5.32</w:t>
                  </w:r>
                </w:p>
              </w:tc>
              <w:tc>
                <w:tcPr>
                  <w:tcW w:w="2410" w:type="dxa"/>
                  <w:gridSpan w:val="2"/>
                  <w:tcBorders>
                    <w:bottom w:val="single" w:color="auto" w:sz="4" w:space="0"/>
                  </w:tcBorders>
                  <w:shd w:val="clear" w:color="auto" w:fill="auto"/>
                  <w:noWrap/>
                  <w:vAlign w:val="center"/>
                </w:tcPr>
                <w:p w14:paraId="6171F984">
                  <w:pPr>
                    <w:widowControl/>
                    <w:rPr>
                      <w:rFonts w:ascii="宋体" w:hAnsi="宋体"/>
                      <w:kern w:val="0"/>
                      <w:sz w:val="22"/>
                    </w:rPr>
                  </w:pPr>
                  <w:r>
                    <w:rPr>
                      <w:rFonts w:hint="eastAsia" w:ascii="宋体" w:hAnsi="宋体"/>
                      <w:kern w:val="0"/>
                      <w:sz w:val="22"/>
                    </w:rPr>
                    <w:t>沟渠、稻田、养殖塘、林带、</w:t>
                  </w:r>
                </w:p>
              </w:tc>
              <w:tc>
                <w:tcPr>
                  <w:tcW w:w="4478" w:type="dxa"/>
                  <w:tcBorders>
                    <w:bottom w:val="single" w:color="auto" w:sz="4" w:space="0"/>
                  </w:tcBorders>
                  <w:shd w:val="clear" w:color="auto" w:fill="auto"/>
                  <w:noWrap/>
                  <w:vAlign w:val="center"/>
                </w:tcPr>
                <w:p w14:paraId="2991690B">
                  <w:pPr>
                    <w:widowControl/>
                    <w:rPr>
                      <w:rFonts w:eastAsia="等线"/>
                      <w:kern w:val="0"/>
                      <w:sz w:val="20"/>
                      <w:szCs w:val="20"/>
                    </w:rPr>
                  </w:pPr>
                  <w:r>
                    <w:rPr>
                      <w:rFonts w:eastAsia="等线"/>
                      <w:kern w:val="0"/>
                      <w:sz w:val="20"/>
                      <w:szCs w:val="20"/>
                    </w:rPr>
                    <w:t>118.4</w:t>
                  </w:r>
                  <w:r>
                    <w:rPr>
                      <w:rFonts w:hint="eastAsia" w:eastAsia="等线"/>
                      <w:kern w:val="0"/>
                      <w:sz w:val="20"/>
                      <w:szCs w:val="20"/>
                    </w:rPr>
                    <w:t>1263</w:t>
                  </w:r>
                  <w:r>
                    <w:rPr>
                      <w:rFonts w:eastAsia="等线"/>
                      <w:kern w:val="0"/>
                      <w:sz w:val="20"/>
                      <w:szCs w:val="20"/>
                    </w:rPr>
                    <w:t>°</w:t>
                  </w:r>
                  <w:r>
                    <w:rPr>
                      <w:rFonts w:hint="eastAsia" w:ascii="宋体" w:hAnsi="宋体"/>
                      <w:kern w:val="0"/>
                      <w:sz w:val="20"/>
                      <w:szCs w:val="20"/>
                    </w:rPr>
                    <w:t>,</w:t>
                  </w:r>
                  <w:r>
                    <w:rPr>
                      <w:rFonts w:eastAsia="等线"/>
                      <w:kern w:val="0"/>
                      <w:sz w:val="20"/>
                      <w:szCs w:val="20"/>
                    </w:rPr>
                    <w:t>39.</w:t>
                  </w:r>
                  <w:r>
                    <w:rPr>
                      <w:rFonts w:hint="eastAsia" w:eastAsia="等线"/>
                      <w:kern w:val="0"/>
                      <w:sz w:val="20"/>
                      <w:szCs w:val="20"/>
                    </w:rPr>
                    <w:t>257823</w:t>
                  </w:r>
                  <w:r>
                    <w:rPr>
                      <w:rFonts w:eastAsia="等线"/>
                      <w:kern w:val="0"/>
                      <w:sz w:val="20"/>
                      <w:szCs w:val="20"/>
                    </w:rPr>
                    <w:t>°-118.</w:t>
                  </w:r>
                  <w:r>
                    <w:rPr>
                      <w:rFonts w:hint="eastAsia" w:eastAsia="等线"/>
                      <w:kern w:val="0"/>
                      <w:sz w:val="20"/>
                      <w:szCs w:val="20"/>
                    </w:rPr>
                    <w:t>474071</w:t>
                  </w:r>
                  <w:r>
                    <w:rPr>
                      <w:rFonts w:eastAsia="等线"/>
                      <w:kern w:val="0"/>
                      <w:sz w:val="20"/>
                      <w:szCs w:val="20"/>
                    </w:rPr>
                    <w:t>°</w:t>
                  </w:r>
                  <w:r>
                    <w:rPr>
                      <w:rFonts w:hint="eastAsia" w:ascii="宋体" w:hAnsi="宋体"/>
                      <w:kern w:val="0"/>
                      <w:sz w:val="20"/>
                      <w:szCs w:val="20"/>
                    </w:rPr>
                    <w:t>,</w:t>
                  </w:r>
                  <w:r>
                    <w:rPr>
                      <w:rFonts w:eastAsia="等线"/>
                      <w:kern w:val="0"/>
                      <w:sz w:val="20"/>
                      <w:szCs w:val="20"/>
                    </w:rPr>
                    <w:t>39.</w:t>
                  </w:r>
                  <w:r>
                    <w:rPr>
                      <w:rFonts w:hint="eastAsia" w:eastAsia="等线"/>
                      <w:kern w:val="0"/>
                      <w:sz w:val="20"/>
                      <w:szCs w:val="20"/>
                    </w:rPr>
                    <w:t>26062</w:t>
                  </w:r>
                  <w:r>
                    <w:rPr>
                      <w:rFonts w:eastAsia="等线"/>
                      <w:kern w:val="0"/>
                      <w:sz w:val="20"/>
                      <w:szCs w:val="20"/>
                    </w:rPr>
                    <w:t>°</w:t>
                  </w:r>
                </w:p>
              </w:tc>
            </w:tr>
          </w:tbl>
          <w:p w14:paraId="5A8B31A1">
            <w:pPr>
              <w:adjustRightInd w:val="0"/>
              <w:snapToGrid w:val="0"/>
              <w:spacing w:line="480" w:lineRule="exact"/>
              <w:ind w:firstLine="480" w:firstLineChars="200"/>
              <w:rPr>
                <w:sz w:val="24"/>
              </w:rPr>
            </w:pPr>
            <w:r>
              <w:rPr>
                <w:sz w:val="24"/>
              </w:rPr>
              <w:t>样线调查以2-3km/h步行和车行10km/h左右的速度。定点观察时，每一定位观察点调查时间以能查清调查对象的种类和数量为准，不少于15min。</w:t>
            </w:r>
          </w:p>
          <w:p w14:paraId="41F897FE">
            <w:pPr>
              <w:adjustRightInd w:val="0"/>
              <w:snapToGrid w:val="0"/>
              <w:spacing w:line="480" w:lineRule="exact"/>
              <w:ind w:firstLine="480" w:firstLineChars="200"/>
              <w:rPr>
                <w:sz w:val="24"/>
              </w:rPr>
            </w:pPr>
            <w:r>
              <w:rPr>
                <w:sz w:val="24"/>
              </w:rPr>
              <w:t>观察设备为施华洛世奇20-60X75单筒望远镜、蔡司10X42双筒望远镜、博士能10X50双筒望远镜。拍摄设备为佳能EOS-1DX照相机，佳能800mm定焦镜头、100-400mm变焦镜头。手持GPS定位器，计数采用直数法，直接记录样线和样点范围内所观察到的鸟类的种类和数量。</w:t>
            </w:r>
          </w:p>
          <w:p w14:paraId="0F1D3BF5">
            <w:pPr>
              <w:adjustRightInd w:val="0"/>
              <w:snapToGrid w:val="0"/>
              <w:spacing w:line="480" w:lineRule="exact"/>
              <w:ind w:firstLine="480" w:firstLineChars="200"/>
              <w:rPr>
                <w:sz w:val="24"/>
              </w:rPr>
            </w:pPr>
            <w:r>
              <w:rPr>
                <w:sz w:val="24"/>
              </w:rPr>
              <w:t>鸟类调查时，根据大多数鸟类活动高峰期在早、晚两个时间段的活动规律，确定鸟类调查的最佳观察时段在日出后3小时和日落前3小时。样线调查范围为线路两侧宽度100m，记录线路两侧见到的所有鸟类及其数量。定点观察时记录双筒和单筒望远镜观察范围内识别出的鸟类及其数量。采用频率指数估计法评估进行鸟类优势种分析。</w:t>
            </w:r>
          </w:p>
          <w:p w14:paraId="3244E38D">
            <w:pPr>
              <w:adjustRightInd w:val="0"/>
              <w:snapToGrid w:val="0"/>
              <w:spacing w:line="480" w:lineRule="exact"/>
              <w:ind w:firstLine="482" w:firstLineChars="200"/>
              <w:outlineLvl w:val="1"/>
              <w:rPr>
                <w:b/>
                <w:bCs/>
                <w:sz w:val="24"/>
              </w:rPr>
            </w:pPr>
            <w:bookmarkStart w:id="13" w:name="_Toc192768214"/>
            <w:r>
              <w:rPr>
                <w:b/>
                <w:bCs/>
                <w:sz w:val="24"/>
              </w:rPr>
              <w:t>（2）调查时间与频次</w:t>
            </w:r>
            <w:bookmarkEnd w:id="13"/>
          </w:p>
          <w:p w14:paraId="6C9C8201">
            <w:pPr>
              <w:adjustRightInd w:val="0"/>
              <w:snapToGrid w:val="0"/>
              <w:spacing w:line="480" w:lineRule="exact"/>
              <w:ind w:firstLine="480" w:firstLineChars="200"/>
              <w:rPr>
                <w:sz w:val="24"/>
              </w:rPr>
            </w:pPr>
            <w:r>
              <w:rPr>
                <w:sz w:val="24"/>
              </w:rPr>
              <w:t>根据鸟类活动的季节规律和《生物多样性观测技术导则 鸟类》的要求，分别于2024年11月2-4日、11月22-23日、1月6-7日、3月4日和6-7日对评价区鸟类进行了现场调查，共计调查4次。每次调查均覆盖所有样线（点），调查方式均保持一致。根据调查区域的地理位置、气候特点和鸟类迁徙规律，8-11月为秋季迁徙期，12月-2月为越冬期，3-5月为春季迁徙期。因此，项目评价所选取的调查时间覆盖了鸟类越冬期和春、秋季迁徙期，保障了鸟类多样性调查结果的代表性。</w:t>
            </w:r>
          </w:p>
          <w:p w14:paraId="40DD2563">
            <w:pPr>
              <w:spacing w:line="480" w:lineRule="exact"/>
              <w:ind w:firstLine="482" w:firstLineChars="200"/>
              <w:rPr>
                <w:sz w:val="24"/>
              </w:rPr>
            </w:pPr>
            <w:bookmarkStart w:id="14" w:name="_Toc192768215"/>
            <w:r>
              <w:rPr>
                <w:b/>
                <w:bCs/>
                <w:sz w:val="24"/>
              </w:rPr>
              <w:t>（3）鸟类调查结果</w:t>
            </w:r>
            <w:bookmarkEnd w:id="14"/>
          </w:p>
          <w:p w14:paraId="13C1566B">
            <w:pPr>
              <w:spacing w:line="480" w:lineRule="exact"/>
              <w:ind w:firstLine="480" w:firstLineChars="200"/>
              <w:rPr>
                <w:sz w:val="24"/>
              </w:rPr>
            </w:pPr>
            <w:r>
              <w:rPr>
                <w:sz w:val="24"/>
              </w:rPr>
              <w:t>具体调查结果如下：</w:t>
            </w:r>
          </w:p>
          <w:p w14:paraId="2E904A17">
            <w:pPr>
              <w:adjustRightInd w:val="0"/>
              <w:snapToGrid w:val="0"/>
              <w:spacing w:line="480" w:lineRule="exact"/>
              <w:ind w:firstLine="482" w:firstLineChars="200"/>
              <w:outlineLvl w:val="3"/>
              <w:rPr>
                <w:b/>
                <w:bCs/>
                <w:sz w:val="24"/>
              </w:rPr>
            </w:pPr>
            <w:r>
              <w:rPr>
                <w:rFonts w:hint="eastAsia"/>
                <w:b/>
                <w:bCs/>
                <w:sz w:val="24"/>
              </w:rPr>
              <w:t>1）</w:t>
            </w:r>
            <w:r>
              <w:rPr>
                <w:b/>
                <w:bCs/>
                <w:sz w:val="24"/>
              </w:rPr>
              <w:t>物种组成</w:t>
            </w:r>
          </w:p>
          <w:p w14:paraId="278E49A8">
            <w:pPr>
              <w:adjustRightInd w:val="0"/>
              <w:snapToGrid w:val="0"/>
              <w:spacing w:line="480" w:lineRule="exact"/>
              <w:ind w:firstLine="480" w:firstLineChars="200"/>
              <w:rPr>
                <w:sz w:val="24"/>
              </w:rPr>
            </w:pPr>
            <w:r>
              <w:rPr>
                <w:sz w:val="24"/>
              </w:rPr>
              <w:t>在调查区域范围现场共记录鸟类61种，隶属于14目26科。从目水平来看，雀形目鸟物种最为丰富，包括10科19种，占到物种总数量的31.15%，是该区域鸟类的优势类群。其次为雁形目，包括1科15种，占该区域物种总数量的24.59%。鸻形目包括4科8种，占鸟物种总数的13.11%。鹰形目1科5种，占物种总数的8.20%；鹈形目1科4种，占物种总数的6.56%；鸽形目1科2种，占物种总数的3.28%；其余各目均只包含1科1种。</w:t>
            </w:r>
          </w:p>
          <w:p w14:paraId="11EF5347">
            <w:pPr>
              <w:adjustRightInd w:val="0"/>
              <w:snapToGrid w:val="0"/>
              <w:spacing w:line="480" w:lineRule="exact"/>
              <w:ind w:firstLine="480" w:firstLineChars="200"/>
              <w:rPr>
                <w:sz w:val="24"/>
              </w:rPr>
            </w:pPr>
            <w:r>
              <w:rPr>
                <w:sz w:val="24"/>
              </w:rPr>
              <w:t>从科水平来看，鸭科物种数量最多，包括15种，各占区域物种总数量的24.59%，在鸟类组成中为优势科。鹰科、鸦科、鹀科次之，均有5种，均占鸟类物种总数量的8.20%。鸥科、鹭科均有4种，各占物种总数的6.56%；鸠鸽科、鹬科、伯劳科均有2种，各占物种总数的3.28%；其余各科均只有1种。</w:t>
            </w:r>
          </w:p>
          <w:p w14:paraId="324EF626">
            <w:pPr>
              <w:spacing w:line="360" w:lineRule="auto"/>
              <w:jc w:val="center"/>
              <w:rPr>
                <w:rFonts w:ascii="宋体" w:hAnsi="宋体"/>
                <w:sz w:val="24"/>
              </w:rPr>
            </w:pPr>
            <w:r>
              <w:drawing>
                <wp:inline distT="0" distB="0" distL="0" distR="0">
                  <wp:extent cx="4999355" cy="2383790"/>
                  <wp:effectExtent l="0" t="0" r="10795" b="16510"/>
                  <wp:docPr id="17501859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5932"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99355" cy="2383790"/>
                          </a:xfrm>
                          <a:prstGeom prst="rect">
                            <a:avLst/>
                          </a:prstGeom>
                          <a:noFill/>
                          <a:ln>
                            <a:noFill/>
                          </a:ln>
                        </pic:spPr>
                      </pic:pic>
                    </a:graphicData>
                  </a:graphic>
                </wp:inline>
              </w:drawing>
            </w:r>
          </w:p>
          <w:p w14:paraId="2E2B8DEB">
            <w:pPr>
              <w:adjustRightInd w:val="0"/>
              <w:snapToGrid w:val="0"/>
              <w:spacing w:before="24" w:after="24" w:line="360" w:lineRule="auto"/>
              <w:jc w:val="center"/>
              <w:rPr>
                <w:sz w:val="24"/>
              </w:rPr>
            </w:pPr>
            <w:r>
              <w:rPr>
                <w:b/>
                <w:bCs/>
                <w:szCs w:val="21"/>
              </w:rPr>
              <w:t>图</w:t>
            </w:r>
            <w:r>
              <w:rPr>
                <w:rFonts w:hint="eastAsia"/>
                <w:b/>
                <w:bCs/>
                <w:szCs w:val="21"/>
              </w:rPr>
              <w:t xml:space="preserve">3-2 </w:t>
            </w:r>
            <w:r>
              <w:rPr>
                <w:b/>
                <w:bCs/>
                <w:szCs w:val="21"/>
              </w:rPr>
              <w:t xml:space="preserve"> 评价区域调查鸟类群落组成情况</w:t>
            </w:r>
          </w:p>
          <w:p w14:paraId="7C796E41">
            <w:pPr>
              <w:spacing w:line="480" w:lineRule="exact"/>
              <w:ind w:firstLine="482" w:firstLineChars="200"/>
              <w:rPr>
                <w:b/>
                <w:bCs/>
                <w:sz w:val="24"/>
              </w:rPr>
            </w:pPr>
            <w:r>
              <w:rPr>
                <w:rFonts w:hint="eastAsia"/>
                <w:b/>
                <w:bCs/>
                <w:sz w:val="24"/>
              </w:rPr>
              <w:t>2）居留型与区系</w:t>
            </w:r>
          </w:p>
          <w:p w14:paraId="422AF241">
            <w:pPr>
              <w:adjustRightInd w:val="0"/>
              <w:snapToGrid w:val="0"/>
              <w:spacing w:line="480" w:lineRule="exact"/>
              <w:ind w:firstLine="480" w:firstLineChars="200"/>
              <w:rPr>
                <w:sz w:val="24"/>
              </w:rPr>
            </w:pPr>
            <w:r>
              <w:rPr>
                <w:rFonts w:hint="eastAsia"/>
                <w:sz w:val="24"/>
              </w:rPr>
              <w:t>调查记录的61种鸟类中，有旅鸟21种，占该当地鸟类物种总数的31.15%；留鸟19种，占总种数的31.15%；夏候鸟和冬候鸟均为10种，各占总种数的16.39%；迷鸟1种，占总种数的1.64%。说明该区域候鸟种类较多，可占物种总数的67.21%，且相比冬候鸟和夏候鸟而言，旅鸟所占比例更大。这种特点反映该区域鸟类的群落组成存在明显的季节变化，春、秋迁徙季节鸟类多样性更为丰富。调查结果客观的反映了调查区域鸟类的组成特点。</w:t>
            </w:r>
          </w:p>
          <w:p w14:paraId="49F9559C">
            <w:pPr>
              <w:adjustRightInd w:val="0"/>
              <w:snapToGrid w:val="0"/>
              <w:spacing w:line="480" w:lineRule="exact"/>
              <w:ind w:firstLine="480" w:firstLineChars="200"/>
              <w:rPr>
                <w:sz w:val="24"/>
              </w:rPr>
            </w:pPr>
            <w:r>
              <w:rPr>
                <w:rFonts w:hint="eastAsia"/>
                <w:sz w:val="24"/>
              </w:rPr>
              <w:t>从区系组成来看，评价区所记录鸟类中古北种有41种，占鸟类物种总数的67.21%；广布种有16种，占物种总数的26.23%；东洋种3种，占总数的4.92%；新北种1种，占总数的1.64%。古北种占据绝对优势，广布种次之，再次为东洋种，另外也有部分新北种成分渗入，反映该区域鸟类组成具有较明显的古北界区系特征，这与本区域在动物地理区划上位于古北界，但又地处古北界和东洋界两界交错渗透的过渡地带的特点相符。</w:t>
            </w:r>
          </w:p>
          <w:p w14:paraId="45196C9C">
            <w:pPr>
              <w:spacing w:line="360" w:lineRule="auto"/>
              <w:rPr>
                <w:rFonts w:ascii="宋体" w:hAnsi="宋体"/>
                <w:sz w:val="24"/>
              </w:rPr>
            </w:pPr>
            <w:r>
              <w:rPr>
                <w:sz w:val="24"/>
              </w:rPr>
              <w:drawing>
                <wp:inline distT="0" distB="0" distL="0" distR="0">
                  <wp:extent cx="5191760" cy="2698115"/>
                  <wp:effectExtent l="0" t="0" r="0" b="0"/>
                  <wp:docPr id="18670831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83183" name="图片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91760" cy="2698115"/>
                          </a:xfrm>
                          <a:prstGeom prst="rect">
                            <a:avLst/>
                          </a:prstGeom>
                          <a:noFill/>
                        </pic:spPr>
                      </pic:pic>
                    </a:graphicData>
                  </a:graphic>
                </wp:inline>
              </w:drawing>
            </w:r>
          </w:p>
          <w:p w14:paraId="0EA1F6A1">
            <w:pPr>
              <w:adjustRightInd w:val="0"/>
              <w:snapToGrid w:val="0"/>
              <w:spacing w:before="24" w:after="24" w:line="360" w:lineRule="auto"/>
              <w:jc w:val="center"/>
              <w:rPr>
                <w:sz w:val="24"/>
              </w:rPr>
            </w:pPr>
            <w:r>
              <w:rPr>
                <w:b/>
                <w:bCs/>
                <w:szCs w:val="21"/>
              </w:rPr>
              <w:t>图</w:t>
            </w:r>
            <w:r>
              <w:rPr>
                <w:rFonts w:hint="eastAsia"/>
                <w:b/>
                <w:bCs/>
                <w:szCs w:val="21"/>
              </w:rPr>
              <w:t>3-3</w:t>
            </w:r>
            <w:r>
              <w:rPr>
                <w:b/>
                <w:bCs/>
                <w:szCs w:val="21"/>
              </w:rPr>
              <w:t xml:space="preserve"> </w:t>
            </w:r>
            <w:r>
              <w:rPr>
                <w:rFonts w:hint="eastAsia"/>
                <w:b/>
                <w:bCs/>
                <w:szCs w:val="21"/>
              </w:rPr>
              <w:t xml:space="preserve"> </w:t>
            </w:r>
            <w:r>
              <w:rPr>
                <w:b/>
                <w:bCs/>
                <w:szCs w:val="21"/>
              </w:rPr>
              <w:t>评价区域鸟类群落居留型（左）与区系组成（右）分析</w:t>
            </w:r>
          </w:p>
          <w:p w14:paraId="66231793">
            <w:pPr>
              <w:adjustRightInd w:val="0"/>
              <w:snapToGrid w:val="0"/>
              <w:spacing w:line="480" w:lineRule="exact"/>
              <w:ind w:firstLine="482" w:firstLineChars="200"/>
              <w:outlineLvl w:val="3"/>
              <w:rPr>
                <w:b/>
                <w:bCs/>
                <w:sz w:val="24"/>
              </w:rPr>
            </w:pPr>
            <w:r>
              <w:rPr>
                <w:rFonts w:hint="eastAsia"/>
                <w:b/>
                <w:bCs/>
                <w:sz w:val="24"/>
              </w:rPr>
              <w:t>3）</w:t>
            </w:r>
            <w:r>
              <w:rPr>
                <w:b/>
                <w:bCs/>
                <w:sz w:val="24"/>
              </w:rPr>
              <w:t>优势种</w:t>
            </w:r>
          </w:p>
          <w:p w14:paraId="730C2072">
            <w:pPr>
              <w:adjustRightInd w:val="0"/>
              <w:snapToGrid w:val="0"/>
              <w:spacing w:line="480" w:lineRule="exact"/>
              <w:ind w:firstLine="480" w:firstLineChars="200"/>
              <w:rPr>
                <w:sz w:val="24"/>
              </w:rPr>
            </w:pPr>
            <w:r>
              <w:rPr>
                <w:rFonts w:hint="eastAsia"/>
                <w:sz w:val="24"/>
              </w:rPr>
              <w:t>鸟类优势种分析结果显示，该区域鸟类群落中的优势种有斑嘴鸭、苍鹭、赤麻鸭、达乌里寒鸦、豆雁、反嘴鹬、红嘴鸥、绿头鸭、麻雀、翘鼻麻鸭、山斑鸠、秃鼻乌鸦、西伯利亚银鸥、喜鹊、小天鹅、小嘴乌鸦；常见种为白骨顶、白鹭、北红尾鸲、东方白鹳、凤头麦鸡、普通鸬鹚、苇鹀、小鹀；稀有种为白腹鹞、白头鹎、白尾鹞、斑鸫、斑头秋沙鸭、大白鹭、大鵟、大天鹅、大嘴乌鸦、戴胜、鹤鹬、黑尾鸥、红隼、红嘴巨燕鸥、鸿雁、环颈雉、黄眉鹀、灰椋鸟、加拿大雁、芦鹀、罗纹鸭、绿翅鸭、普通鵟、普通秋沙鸭、青脚鹬、鹊鸭、松雀鹰、田鹀、小䴙䴘、楔尾伯劳、燕雀、夜鹭、云雀、长耳鸮、针尾鸭、珠颈斑鸠和棕背伯劳。</w:t>
            </w:r>
          </w:p>
          <w:p w14:paraId="6A7BCDA5">
            <w:pPr>
              <w:adjustRightInd w:val="0"/>
              <w:snapToGrid w:val="0"/>
              <w:spacing w:line="480" w:lineRule="exact"/>
              <w:ind w:firstLine="482" w:firstLineChars="200"/>
              <w:outlineLvl w:val="3"/>
              <w:rPr>
                <w:b/>
                <w:bCs/>
                <w:sz w:val="24"/>
              </w:rPr>
            </w:pPr>
            <w:r>
              <w:rPr>
                <w:rFonts w:hint="eastAsia" w:ascii="宋体" w:hAnsi="宋体"/>
                <w:b/>
                <w:bCs/>
                <w:sz w:val="24"/>
              </w:rPr>
              <w:t>4）</w:t>
            </w:r>
            <w:r>
              <w:rPr>
                <w:b/>
                <w:bCs/>
                <w:sz w:val="24"/>
              </w:rPr>
              <w:t>对栖息地的利用情况</w:t>
            </w:r>
          </w:p>
          <w:p w14:paraId="165DFF7C">
            <w:pPr>
              <w:adjustRightInd w:val="0"/>
              <w:snapToGrid w:val="0"/>
              <w:spacing w:line="480" w:lineRule="exact"/>
              <w:ind w:firstLine="480" w:firstLineChars="200"/>
              <w:rPr>
                <w:sz w:val="24"/>
              </w:rPr>
            </w:pPr>
            <w:r>
              <w:rPr>
                <w:rFonts w:hint="eastAsia"/>
                <w:sz w:val="24"/>
              </w:rPr>
              <w:t>通过考察调查鸟类对生境的利用情况可知，从物种角度看，利用林地、养殖塘的鸟类最为丰富，均有30种，各占物种总数的49.18%。利用林地的鸟类以雀形目和鹰形目鸟类居多，如楔尾伯劳、喜鹊、白头鹎、灰椋鸟、斑鸫、北红尾鸲、麻雀、松雀鹰、大鵟等；利用养殖塘的鸟以雁形目、鸻形目最为丰富，如豆雁、小天鹅、翘鼻麻鸭、赤麻鸭、罗纹鸭、反嘴鹬、凤头麦鸡、红嘴鸥等。利用农田和河流湿地的种类均有23种，各占物种总数的37.70%。利用农田的包括鸡形目、雁形目、鸽形目、鹰形目、犀鸟目、隼形目和雀形目种类，如环颈雉、小天鹅、山斑鸠、白腹鹞、戴胜、红隼、达乌里寒鸦、白头鹎等；利用河流湿地的有雁形目、鸊鷉目、鹤形目、鸻形目、鲣鸟目、鹈形目种类，如绿头鸭、斑嘴鸭、小鸊鷉、白骨顶、鹤鹬、青脚鹬、普通鸬鹚、大白鹭等。利用村落的鸟类最少，有8种，占物种总数的13.11%。为鸽形目、犀鸟目、隼形目和雀形目物种，包括珠颈斑鸠、戴胜、红隼、喜鹊、白头鹎、麻雀等。</w:t>
            </w:r>
          </w:p>
          <w:p w14:paraId="02E07053">
            <w:pPr>
              <w:adjustRightInd w:val="0"/>
              <w:snapToGrid w:val="0"/>
              <w:spacing w:line="480" w:lineRule="exact"/>
              <w:ind w:firstLine="480" w:firstLineChars="200"/>
              <w:rPr>
                <w:sz w:val="24"/>
              </w:rPr>
            </w:pPr>
            <w:r>
              <w:rPr>
                <w:rFonts w:hint="eastAsia"/>
                <w:sz w:val="24"/>
              </w:rPr>
              <w:t>从数量来看，利用养殖塘作为栖息地的鸟类最多，占所观察鸟类总个体数的57.22%；其次为利用农田的类群，占个体总数的46.15%；利用林地和河流湿地的分别占42.78%和41.60%。利用村落的鸟类数量最少，仅占个体总数的14.88%。</w:t>
            </w:r>
          </w:p>
          <w:p w14:paraId="6BAB085C">
            <w:pPr>
              <w:spacing w:line="360" w:lineRule="auto"/>
              <w:jc w:val="center"/>
              <w:rPr>
                <w:rFonts w:ascii="宋体" w:hAnsi="宋体"/>
                <w:sz w:val="24"/>
              </w:rPr>
            </w:pPr>
            <w:r>
              <w:rPr>
                <w:sz w:val="24"/>
              </w:rPr>
              <w:drawing>
                <wp:inline distT="0" distB="0" distL="0" distR="0">
                  <wp:extent cx="4240530" cy="5088255"/>
                  <wp:effectExtent l="0" t="0" r="0" b="0"/>
                  <wp:docPr id="16147367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36732"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59598" cy="5111399"/>
                          </a:xfrm>
                          <a:prstGeom prst="rect">
                            <a:avLst/>
                          </a:prstGeom>
                          <a:noFill/>
                        </pic:spPr>
                      </pic:pic>
                    </a:graphicData>
                  </a:graphic>
                </wp:inline>
              </w:drawing>
            </w:r>
          </w:p>
          <w:p w14:paraId="24ACCD8F">
            <w:pPr>
              <w:adjustRightInd w:val="0"/>
              <w:snapToGrid w:val="0"/>
              <w:spacing w:before="24" w:after="24" w:line="360" w:lineRule="auto"/>
              <w:jc w:val="center"/>
              <w:rPr>
                <w:b/>
                <w:bCs/>
                <w:szCs w:val="21"/>
              </w:rPr>
            </w:pPr>
            <w:r>
              <w:rPr>
                <w:b/>
                <w:bCs/>
                <w:szCs w:val="21"/>
              </w:rPr>
              <w:t>图</w:t>
            </w:r>
            <w:r>
              <w:rPr>
                <w:rFonts w:hint="eastAsia"/>
                <w:b/>
                <w:bCs/>
                <w:szCs w:val="21"/>
              </w:rPr>
              <w:t xml:space="preserve">3-4   </w:t>
            </w:r>
            <w:r>
              <w:rPr>
                <w:b/>
                <w:bCs/>
                <w:szCs w:val="21"/>
              </w:rPr>
              <w:t>评价区内鸟类对生境的利用情况分析</w:t>
            </w:r>
          </w:p>
          <w:p w14:paraId="7C36DF48">
            <w:pPr>
              <w:spacing w:line="360" w:lineRule="auto"/>
              <w:jc w:val="center"/>
              <w:rPr>
                <w:sz w:val="24"/>
              </w:rPr>
            </w:pPr>
            <w:r>
              <w:rPr>
                <w:szCs w:val="21"/>
              </w:rPr>
              <w:t>（上：物种占比；下：个体数量占比）</w:t>
            </w:r>
          </w:p>
          <w:p w14:paraId="413F30C1">
            <w:pPr>
              <w:spacing w:line="480" w:lineRule="exact"/>
              <w:ind w:firstLine="482" w:firstLineChars="200"/>
              <w:rPr>
                <w:b/>
                <w:bCs/>
                <w:sz w:val="24"/>
              </w:rPr>
            </w:pPr>
            <w:r>
              <w:rPr>
                <w:rFonts w:hint="eastAsia" w:ascii="宋体" w:hAnsi="宋体"/>
                <w:b/>
                <w:bCs/>
                <w:sz w:val="24"/>
              </w:rPr>
              <w:t>5）</w:t>
            </w:r>
            <w:r>
              <w:rPr>
                <w:b/>
                <w:bCs/>
                <w:sz w:val="24"/>
              </w:rPr>
              <w:t>物种受胁情况</w:t>
            </w:r>
          </w:p>
          <w:p w14:paraId="25847741">
            <w:pPr>
              <w:adjustRightInd w:val="0"/>
              <w:snapToGrid w:val="0"/>
              <w:spacing w:line="480" w:lineRule="exact"/>
              <w:ind w:firstLine="480" w:firstLineChars="200"/>
              <w:rPr>
                <w:sz w:val="24"/>
              </w:rPr>
            </w:pPr>
            <w:r>
              <w:rPr>
                <w:rFonts w:hint="eastAsia"/>
                <w:sz w:val="24"/>
              </w:rPr>
              <w:t>评价区域所记录的61种鸟类中，有1种在IUCN红色名录中被列为濒危物种，为东方白鹳，占区域鸟类物种总数的1.64%。2种被评为VU，为鸿雁和田鹀，占物种总数的3.28%。2种被评为NT，为罗纹鸭和凤头麦鸡，占物种总数的3.28%。其它56种鸟种均为无危，占物种总数的91.80%。</w:t>
            </w:r>
          </w:p>
          <w:p w14:paraId="4D081DB0">
            <w:pPr>
              <w:adjustRightInd w:val="0"/>
              <w:snapToGrid w:val="0"/>
              <w:spacing w:before="24" w:after="24" w:line="360" w:lineRule="auto"/>
              <w:ind w:firstLine="480" w:firstLineChars="200"/>
              <w:jc w:val="center"/>
              <w:rPr>
                <w:sz w:val="24"/>
              </w:rPr>
            </w:pPr>
            <w:r>
              <w:rPr>
                <w:sz w:val="24"/>
              </w:rPr>
              <w:drawing>
                <wp:inline distT="0" distB="0" distL="0" distR="0">
                  <wp:extent cx="2453640" cy="2424430"/>
                  <wp:effectExtent l="0" t="0" r="0" b="0"/>
                  <wp:docPr id="21343701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70167" name="图片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57608" cy="2428695"/>
                          </a:xfrm>
                          <a:prstGeom prst="rect">
                            <a:avLst/>
                          </a:prstGeom>
                          <a:noFill/>
                        </pic:spPr>
                      </pic:pic>
                    </a:graphicData>
                  </a:graphic>
                </wp:inline>
              </w:drawing>
            </w:r>
          </w:p>
          <w:p w14:paraId="64C692CC">
            <w:pPr>
              <w:adjustRightInd w:val="0"/>
              <w:snapToGrid w:val="0"/>
              <w:spacing w:before="24" w:after="24" w:line="360" w:lineRule="auto"/>
              <w:jc w:val="center"/>
              <w:rPr>
                <w:sz w:val="24"/>
              </w:rPr>
            </w:pPr>
            <w:bookmarkStart w:id="15" w:name="_Hlk191656245"/>
            <w:r>
              <w:rPr>
                <w:rFonts w:hint="eastAsia"/>
                <w:b/>
                <w:bCs/>
                <w:szCs w:val="21"/>
              </w:rPr>
              <w:t>图3-5   评价区域鸟类受胁情况</w:t>
            </w:r>
          </w:p>
          <w:bookmarkEnd w:id="15"/>
          <w:p w14:paraId="74FA3752">
            <w:pPr>
              <w:adjustRightInd w:val="0"/>
              <w:snapToGrid w:val="0"/>
              <w:spacing w:line="480" w:lineRule="exact"/>
              <w:ind w:firstLine="482" w:firstLineChars="200"/>
              <w:outlineLvl w:val="3"/>
              <w:rPr>
                <w:b/>
                <w:bCs/>
                <w:sz w:val="24"/>
              </w:rPr>
            </w:pPr>
            <w:r>
              <w:rPr>
                <w:rFonts w:hint="eastAsia"/>
                <w:b/>
                <w:bCs/>
                <w:sz w:val="24"/>
              </w:rPr>
              <w:t>6）</w:t>
            </w:r>
            <w:r>
              <w:rPr>
                <w:b/>
                <w:bCs/>
                <w:sz w:val="24"/>
              </w:rPr>
              <w:t>重点保护物种</w:t>
            </w:r>
          </w:p>
          <w:p w14:paraId="6C21FBB5">
            <w:pPr>
              <w:adjustRightInd w:val="0"/>
              <w:snapToGrid w:val="0"/>
              <w:spacing w:line="480" w:lineRule="exact"/>
              <w:ind w:firstLine="480" w:firstLineChars="200"/>
              <w:rPr>
                <w:sz w:val="24"/>
              </w:rPr>
            </w:pPr>
            <w:r>
              <w:rPr>
                <w:sz w:val="24"/>
              </w:rPr>
              <w:t>调查记录的</w:t>
            </w:r>
            <w:r>
              <w:rPr>
                <w:rFonts w:hint="eastAsia"/>
                <w:sz w:val="24"/>
              </w:rPr>
              <w:t>61</w:t>
            </w:r>
            <w:r>
              <w:rPr>
                <w:sz w:val="24"/>
              </w:rPr>
              <w:t>种鸟类中，有</w:t>
            </w:r>
            <w:r>
              <w:rPr>
                <w:rFonts w:hint="eastAsia"/>
                <w:sz w:val="24"/>
              </w:rPr>
              <w:t>1</w:t>
            </w:r>
            <w:r>
              <w:rPr>
                <w:sz w:val="24"/>
              </w:rPr>
              <w:t>种为国家</w:t>
            </w:r>
            <w:r>
              <w:rPr>
                <w:rFonts w:hint="eastAsia"/>
                <w:sz w:val="24"/>
              </w:rPr>
              <w:t>一</w:t>
            </w:r>
            <w:r>
              <w:rPr>
                <w:sz w:val="24"/>
              </w:rPr>
              <w:t>级重点保护野生动物，</w:t>
            </w:r>
            <w:r>
              <w:rPr>
                <w:rFonts w:hint="eastAsia"/>
                <w:sz w:val="24"/>
              </w:rPr>
              <w:t>为东方白鹳，占</w:t>
            </w:r>
            <w:r>
              <w:rPr>
                <w:sz w:val="24"/>
              </w:rPr>
              <w:t>鸟类物种总数的</w:t>
            </w:r>
            <w:r>
              <w:rPr>
                <w:rFonts w:hint="eastAsia"/>
                <w:sz w:val="24"/>
              </w:rPr>
              <w:t>1.64</w:t>
            </w:r>
            <w:r>
              <w:rPr>
                <w:sz w:val="24"/>
              </w:rPr>
              <w:t>%；</w:t>
            </w:r>
            <w:r>
              <w:rPr>
                <w:rFonts w:hint="eastAsia"/>
                <w:sz w:val="24"/>
              </w:rPr>
              <w:t>有12种为国家二级重点保护野生动物，为鸿雁、小天鹅、大天鹅、斑头秋沙鸭、松雀鹰、白腹鹞、白尾鹞、大鵟、普通鵟、长耳鸮、红隼和云雀，占鸟类物种总数的19.67%；</w:t>
            </w:r>
            <w:r>
              <w:rPr>
                <w:sz w:val="24"/>
              </w:rPr>
              <w:t>另有河北省重点保护野生动物16种，包括</w:t>
            </w:r>
            <w:r>
              <w:rPr>
                <w:rFonts w:hint="eastAsia"/>
                <w:sz w:val="24"/>
              </w:rPr>
              <w:t>豆雁、翘鼻麻鸭、罗纹鸭、针尾鸭、绿翅鸭、鹊鸭、普通秋沙鸭、反嘴鹬、红嘴巨燕鸥、普通鸬鹚、夜鹭、苍鹭、大白鹭、白鹭、楔尾伯劳、喜鹊和白头鹎，</w:t>
            </w:r>
            <w:r>
              <w:rPr>
                <w:sz w:val="24"/>
              </w:rPr>
              <w:t>占物种总数的</w:t>
            </w:r>
            <w:r>
              <w:rPr>
                <w:rFonts w:hint="eastAsia"/>
                <w:sz w:val="24"/>
              </w:rPr>
              <w:t>27.87</w:t>
            </w:r>
            <w:r>
              <w:rPr>
                <w:sz w:val="24"/>
              </w:rPr>
              <w:t>%。</w:t>
            </w:r>
          </w:p>
          <w:p w14:paraId="44E39C24">
            <w:pPr>
              <w:adjustRightInd w:val="0"/>
              <w:snapToGrid w:val="0"/>
              <w:spacing w:line="480" w:lineRule="exact"/>
              <w:jc w:val="center"/>
              <w:rPr>
                <w:b/>
                <w:bCs/>
                <w:szCs w:val="21"/>
              </w:rPr>
            </w:pPr>
            <w:r>
              <w:rPr>
                <w:b/>
                <w:bCs/>
                <w:szCs w:val="21"/>
              </w:rPr>
              <w:t>表</w:t>
            </w:r>
            <w:r>
              <w:rPr>
                <w:rFonts w:hint="eastAsia"/>
                <w:b/>
                <w:bCs/>
                <w:szCs w:val="21"/>
              </w:rPr>
              <w:t xml:space="preserve">3-2   </w:t>
            </w:r>
            <w:r>
              <w:rPr>
                <w:b/>
                <w:bCs/>
                <w:szCs w:val="21"/>
              </w:rPr>
              <w:t xml:space="preserve"> 评价区域保护鸟类名录</w:t>
            </w:r>
          </w:p>
          <w:tbl>
            <w:tblPr>
              <w:tblStyle w:val="32"/>
              <w:tblW w:w="4875" w:type="pct"/>
              <w:tblInd w:w="0" w:type="dxa"/>
              <w:tblLayout w:type="fixed"/>
              <w:tblCellMar>
                <w:top w:w="0" w:type="dxa"/>
                <w:left w:w="108" w:type="dxa"/>
                <w:bottom w:w="0" w:type="dxa"/>
                <w:right w:w="108" w:type="dxa"/>
              </w:tblCellMar>
            </w:tblPr>
            <w:tblGrid>
              <w:gridCol w:w="1709"/>
              <w:gridCol w:w="3104"/>
              <w:gridCol w:w="1455"/>
              <w:gridCol w:w="1455"/>
            </w:tblGrid>
            <w:tr w14:paraId="381A1E9D">
              <w:tblPrEx>
                <w:tblCellMar>
                  <w:top w:w="0" w:type="dxa"/>
                  <w:left w:w="108" w:type="dxa"/>
                  <w:bottom w:w="0" w:type="dxa"/>
                  <w:right w:w="108" w:type="dxa"/>
                </w:tblCellMar>
              </w:tblPrEx>
              <w:trPr>
                <w:trHeight w:val="461" w:hRule="atLeast"/>
                <w:tblHeader/>
              </w:trPr>
              <w:tc>
                <w:tcPr>
                  <w:tcW w:w="1106" w:type="pct"/>
                  <w:tcBorders>
                    <w:top w:val="single" w:color="auto" w:sz="4" w:space="0"/>
                    <w:left w:val="nil"/>
                    <w:bottom w:val="single" w:color="auto" w:sz="4" w:space="0"/>
                    <w:right w:val="nil"/>
                  </w:tcBorders>
                  <w:shd w:val="clear" w:color="auto" w:fill="auto"/>
                  <w:vAlign w:val="center"/>
                </w:tcPr>
                <w:p w14:paraId="48F86195">
                  <w:pPr>
                    <w:widowControl/>
                    <w:rPr>
                      <w:kern w:val="0"/>
                      <w:szCs w:val="21"/>
                    </w:rPr>
                  </w:pPr>
                  <w:r>
                    <w:rPr>
                      <w:kern w:val="0"/>
                      <w:szCs w:val="21"/>
                    </w:rPr>
                    <w:t>物种</w:t>
                  </w:r>
                </w:p>
              </w:tc>
              <w:tc>
                <w:tcPr>
                  <w:tcW w:w="2009" w:type="pct"/>
                  <w:tcBorders>
                    <w:top w:val="single" w:color="auto" w:sz="4" w:space="0"/>
                    <w:left w:val="nil"/>
                    <w:bottom w:val="single" w:color="auto" w:sz="4" w:space="0"/>
                    <w:right w:val="nil"/>
                  </w:tcBorders>
                  <w:shd w:val="clear" w:color="auto" w:fill="auto"/>
                  <w:vAlign w:val="center"/>
                </w:tcPr>
                <w:p w14:paraId="0F643351">
                  <w:pPr>
                    <w:widowControl/>
                    <w:rPr>
                      <w:kern w:val="0"/>
                      <w:szCs w:val="21"/>
                    </w:rPr>
                  </w:pPr>
                  <w:r>
                    <w:rPr>
                      <w:kern w:val="0"/>
                      <w:szCs w:val="21"/>
                    </w:rPr>
                    <w:t>学名</w:t>
                  </w:r>
                </w:p>
              </w:tc>
              <w:tc>
                <w:tcPr>
                  <w:tcW w:w="942" w:type="pct"/>
                  <w:tcBorders>
                    <w:top w:val="single" w:color="auto" w:sz="4" w:space="0"/>
                    <w:left w:val="nil"/>
                    <w:bottom w:val="single" w:color="auto" w:sz="4" w:space="0"/>
                    <w:right w:val="nil"/>
                  </w:tcBorders>
                  <w:shd w:val="clear" w:color="auto" w:fill="auto"/>
                  <w:vAlign w:val="center"/>
                </w:tcPr>
                <w:p w14:paraId="7E61126A">
                  <w:pPr>
                    <w:widowControl/>
                    <w:rPr>
                      <w:kern w:val="0"/>
                      <w:szCs w:val="21"/>
                    </w:rPr>
                  </w:pPr>
                  <w:r>
                    <w:rPr>
                      <w:kern w:val="0"/>
                      <w:szCs w:val="21"/>
                    </w:rPr>
                    <w:t>保护级别</w:t>
                  </w:r>
                </w:p>
              </w:tc>
              <w:tc>
                <w:tcPr>
                  <w:tcW w:w="942" w:type="pct"/>
                  <w:tcBorders>
                    <w:top w:val="single" w:color="auto" w:sz="4" w:space="0"/>
                    <w:left w:val="nil"/>
                    <w:bottom w:val="single" w:color="auto" w:sz="4" w:space="0"/>
                    <w:right w:val="nil"/>
                  </w:tcBorders>
                  <w:vAlign w:val="center"/>
                </w:tcPr>
                <w:p w14:paraId="7FF73AC4">
                  <w:pPr>
                    <w:widowControl/>
                    <w:rPr>
                      <w:kern w:val="0"/>
                      <w:szCs w:val="21"/>
                    </w:rPr>
                  </w:pPr>
                  <w:r>
                    <w:rPr>
                      <w:kern w:val="0"/>
                      <w:szCs w:val="21"/>
                    </w:rPr>
                    <w:t>出现季节</w:t>
                  </w:r>
                </w:p>
              </w:tc>
            </w:tr>
            <w:tr w14:paraId="69B290D3">
              <w:tblPrEx>
                <w:tblCellMar>
                  <w:top w:w="0" w:type="dxa"/>
                  <w:left w:w="108" w:type="dxa"/>
                  <w:bottom w:w="0" w:type="dxa"/>
                  <w:right w:w="108" w:type="dxa"/>
                </w:tblCellMar>
              </w:tblPrEx>
              <w:trPr>
                <w:trHeight w:val="270" w:hRule="atLeast"/>
              </w:trPr>
              <w:tc>
                <w:tcPr>
                  <w:tcW w:w="1106" w:type="pct"/>
                  <w:tcBorders>
                    <w:top w:val="single" w:color="auto" w:sz="4" w:space="0"/>
                    <w:left w:val="nil"/>
                    <w:bottom w:val="nil"/>
                    <w:right w:val="nil"/>
                  </w:tcBorders>
                  <w:shd w:val="clear" w:color="auto" w:fill="auto"/>
                  <w:noWrap/>
                </w:tcPr>
                <w:p w14:paraId="58160D2D">
                  <w:pPr>
                    <w:widowControl/>
                    <w:jc w:val="left"/>
                    <w:rPr>
                      <w:kern w:val="0"/>
                      <w:szCs w:val="21"/>
                    </w:rPr>
                  </w:pPr>
                  <w:r>
                    <w:rPr>
                      <w:szCs w:val="21"/>
                    </w:rPr>
                    <w:t>鸿雁</w:t>
                  </w:r>
                </w:p>
              </w:tc>
              <w:tc>
                <w:tcPr>
                  <w:tcW w:w="2009" w:type="pct"/>
                  <w:tcBorders>
                    <w:top w:val="single" w:color="auto" w:sz="4" w:space="0"/>
                    <w:left w:val="nil"/>
                    <w:bottom w:val="nil"/>
                    <w:right w:val="nil"/>
                  </w:tcBorders>
                  <w:shd w:val="clear" w:color="auto" w:fill="auto"/>
                  <w:noWrap/>
                </w:tcPr>
                <w:p w14:paraId="4FE91310">
                  <w:pPr>
                    <w:widowControl/>
                    <w:jc w:val="left"/>
                    <w:rPr>
                      <w:i/>
                      <w:iCs/>
                      <w:kern w:val="0"/>
                      <w:szCs w:val="21"/>
                    </w:rPr>
                  </w:pPr>
                  <w:r>
                    <w:rPr>
                      <w:i/>
                      <w:iCs/>
                      <w:szCs w:val="21"/>
                    </w:rPr>
                    <w:t>Anser cygnoides</w:t>
                  </w:r>
                </w:p>
              </w:tc>
              <w:tc>
                <w:tcPr>
                  <w:tcW w:w="942" w:type="pct"/>
                  <w:tcBorders>
                    <w:top w:val="single" w:color="auto" w:sz="4" w:space="0"/>
                    <w:left w:val="nil"/>
                    <w:bottom w:val="nil"/>
                    <w:right w:val="nil"/>
                  </w:tcBorders>
                  <w:shd w:val="clear" w:color="auto" w:fill="auto"/>
                  <w:noWrap/>
                </w:tcPr>
                <w:p w14:paraId="51990050">
                  <w:pPr>
                    <w:widowControl/>
                    <w:jc w:val="left"/>
                    <w:rPr>
                      <w:kern w:val="0"/>
                      <w:szCs w:val="21"/>
                    </w:rPr>
                  </w:pPr>
                  <w:r>
                    <w:rPr>
                      <w:szCs w:val="21"/>
                    </w:rPr>
                    <w:t>国家II级</w:t>
                  </w:r>
                </w:p>
              </w:tc>
              <w:tc>
                <w:tcPr>
                  <w:tcW w:w="942" w:type="pct"/>
                  <w:tcBorders>
                    <w:top w:val="single" w:color="auto" w:sz="4" w:space="0"/>
                    <w:left w:val="nil"/>
                    <w:bottom w:val="nil"/>
                    <w:right w:val="nil"/>
                  </w:tcBorders>
                </w:tcPr>
                <w:p w14:paraId="1BE8767A">
                  <w:pPr>
                    <w:widowControl/>
                    <w:jc w:val="left"/>
                    <w:rPr>
                      <w:szCs w:val="21"/>
                    </w:rPr>
                  </w:pPr>
                  <w:r>
                    <w:rPr>
                      <w:szCs w:val="21"/>
                    </w:rPr>
                    <w:t>春</w:t>
                  </w:r>
                </w:p>
              </w:tc>
            </w:tr>
            <w:tr w14:paraId="6052BB1E">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6258B20">
                  <w:pPr>
                    <w:widowControl/>
                    <w:jc w:val="left"/>
                    <w:rPr>
                      <w:kern w:val="0"/>
                      <w:szCs w:val="21"/>
                    </w:rPr>
                  </w:pPr>
                  <w:r>
                    <w:rPr>
                      <w:szCs w:val="21"/>
                    </w:rPr>
                    <w:t>豆雁</w:t>
                  </w:r>
                </w:p>
              </w:tc>
              <w:tc>
                <w:tcPr>
                  <w:tcW w:w="2009" w:type="pct"/>
                  <w:tcBorders>
                    <w:top w:val="nil"/>
                    <w:left w:val="nil"/>
                    <w:bottom w:val="nil"/>
                    <w:right w:val="nil"/>
                  </w:tcBorders>
                  <w:shd w:val="clear" w:color="auto" w:fill="auto"/>
                  <w:noWrap/>
                </w:tcPr>
                <w:p w14:paraId="0E2DE6E8">
                  <w:pPr>
                    <w:widowControl/>
                    <w:jc w:val="left"/>
                    <w:rPr>
                      <w:i/>
                      <w:iCs/>
                      <w:kern w:val="0"/>
                      <w:szCs w:val="21"/>
                    </w:rPr>
                  </w:pPr>
                  <w:r>
                    <w:rPr>
                      <w:i/>
                      <w:iCs/>
                      <w:szCs w:val="21"/>
                    </w:rPr>
                    <w:t>Anser fabalis</w:t>
                  </w:r>
                </w:p>
              </w:tc>
              <w:tc>
                <w:tcPr>
                  <w:tcW w:w="942" w:type="pct"/>
                  <w:tcBorders>
                    <w:top w:val="nil"/>
                    <w:left w:val="nil"/>
                    <w:bottom w:val="nil"/>
                    <w:right w:val="nil"/>
                  </w:tcBorders>
                  <w:shd w:val="clear" w:color="auto" w:fill="auto"/>
                  <w:noWrap/>
                </w:tcPr>
                <w:p w14:paraId="2C7B81E8">
                  <w:pPr>
                    <w:widowControl/>
                    <w:jc w:val="left"/>
                    <w:rPr>
                      <w:kern w:val="0"/>
                      <w:szCs w:val="21"/>
                    </w:rPr>
                  </w:pPr>
                  <w:r>
                    <w:rPr>
                      <w:szCs w:val="21"/>
                    </w:rPr>
                    <w:t>省级</w:t>
                  </w:r>
                </w:p>
              </w:tc>
              <w:tc>
                <w:tcPr>
                  <w:tcW w:w="942" w:type="pct"/>
                  <w:tcBorders>
                    <w:top w:val="nil"/>
                    <w:left w:val="nil"/>
                    <w:bottom w:val="nil"/>
                    <w:right w:val="nil"/>
                  </w:tcBorders>
                </w:tcPr>
                <w:p w14:paraId="3AE40C1F">
                  <w:pPr>
                    <w:widowControl/>
                    <w:jc w:val="left"/>
                    <w:rPr>
                      <w:szCs w:val="21"/>
                    </w:rPr>
                  </w:pPr>
                  <w:r>
                    <w:rPr>
                      <w:szCs w:val="21"/>
                    </w:rPr>
                    <w:t>春</w:t>
                  </w:r>
                </w:p>
              </w:tc>
            </w:tr>
            <w:tr w14:paraId="1B32E66B">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2E44966">
                  <w:pPr>
                    <w:widowControl/>
                    <w:jc w:val="left"/>
                    <w:rPr>
                      <w:kern w:val="0"/>
                      <w:szCs w:val="21"/>
                    </w:rPr>
                  </w:pPr>
                  <w:r>
                    <w:rPr>
                      <w:szCs w:val="21"/>
                    </w:rPr>
                    <w:t>小天鹅</w:t>
                  </w:r>
                </w:p>
              </w:tc>
              <w:tc>
                <w:tcPr>
                  <w:tcW w:w="2009" w:type="pct"/>
                  <w:tcBorders>
                    <w:top w:val="nil"/>
                    <w:left w:val="nil"/>
                    <w:bottom w:val="nil"/>
                    <w:right w:val="nil"/>
                  </w:tcBorders>
                  <w:shd w:val="clear" w:color="auto" w:fill="auto"/>
                  <w:noWrap/>
                </w:tcPr>
                <w:p w14:paraId="599D571C">
                  <w:pPr>
                    <w:widowControl/>
                    <w:jc w:val="left"/>
                    <w:rPr>
                      <w:i/>
                      <w:iCs/>
                      <w:kern w:val="0"/>
                      <w:szCs w:val="21"/>
                    </w:rPr>
                  </w:pPr>
                  <w:r>
                    <w:rPr>
                      <w:i/>
                      <w:iCs/>
                      <w:szCs w:val="21"/>
                    </w:rPr>
                    <w:t>Cygnus columbianus</w:t>
                  </w:r>
                </w:p>
              </w:tc>
              <w:tc>
                <w:tcPr>
                  <w:tcW w:w="942" w:type="pct"/>
                  <w:tcBorders>
                    <w:top w:val="nil"/>
                    <w:left w:val="nil"/>
                    <w:bottom w:val="nil"/>
                    <w:right w:val="nil"/>
                  </w:tcBorders>
                  <w:shd w:val="clear" w:color="auto" w:fill="auto"/>
                  <w:noWrap/>
                </w:tcPr>
                <w:p w14:paraId="02595860">
                  <w:pPr>
                    <w:widowControl/>
                    <w:jc w:val="left"/>
                    <w:rPr>
                      <w:kern w:val="0"/>
                      <w:szCs w:val="21"/>
                    </w:rPr>
                  </w:pPr>
                  <w:r>
                    <w:rPr>
                      <w:szCs w:val="21"/>
                    </w:rPr>
                    <w:t>国家II级</w:t>
                  </w:r>
                </w:p>
              </w:tc>
              <w:tc>
                <w:tcPr>
                  <w:tcW w:w="942" w:type="pct"/>
                  <w:tcBorders>
                    <w:top w:val="nil"/>
                    <w:left w:val="nil"/>
                    <w:bottom w:val="nil"/>
                    <w:right w:val="nil"/>
                  </w:tcBorders>
                </w:tcPr>
                <w:p w14:paraId="47391088">
                  <w:pPr>
                    <w:widowControl/>
                    <w:jc w:val="left"/>
                    <w:rPr>
                      <w:szCs w:val="21"/>
                    </w:rPr>
                  </w:pPr>
                  <w:r>
                    <w:rPr>
                      <w:szCs w:val="21"/>
                    </w:rPr>
                    <w:t>春</w:t>
                  </w:r>
                </w:p>
              </w:tc>
            </w:tr>
            <w:tr w14:paraId="57F544B8">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4C81F61C">
                  <w:pPr>
                    <w:widowControl/>
                    <w:jc w:val="left"/>
                    <w:rPr>
                      <w:kern w:val="0"/>
                      <w:szCs w:val="21"/>
                    </w:rPr>
                  </w:pPr>
                  <w:r>
                    <w:rPr>
                      <w:szCs w:val="21"/>
                    </w:rPr>
                    <w:t>大天鹅</w:t>
                  </w:r>
                </w:p>
              </w:tc>
              <w:tc>
                <w:tcPr>
                  <w:tcW w:w="2009" w:type="pct"/>
                  <w:tcBorders>
                    <w:top w:val="nil"/>
                    <w:left w:val="nil"/>
                    <w:bottom w:val="nil"/>
                    <w:right w:val="nil"/>
                  </w:tcBorders>
                  <w:shd w:val="clear" w:color="auto" w:fill="auto"/>
                  <w:noWrap/>
                </w:tcPr>
                <w:p w14:paraId="380D6B50">
                  <w:pPr>
                    <w:widowControl/>
                    <w:jc w:val="left"/>
                    <w:rPr>
                      <w:i/>
                      <w:iCs/>
                      <w:kern w:val="0"/>
                      <w:szCs w:val="21"/>
                    </w:rPr>
                  </w:pPr>
                  <w:r>
                    <w:rPr>
                      <w:i/>
                      <w:iCs/>
                      <w:szCs w:val="21"/>
                    </w:rPr>
                    <w:t>Cygnus cygnus</w:t>
                  </w:r>
                </w:p>
              </w:tc>
              <w:tc>
                <w:tcPr>
                  <w:tcW w:w="942" w:type="pct"/>
                  <w:tcBorders>
                    <w:top w:val="nil"/>
                    <w:left w:val="nil"/>
                    <w:bottom w:val="nil"/>
                    <w:right w:val="nil"/>
                  </w:tcBorders>
                  <w:shd w:val="clear" w:color="auto" w:fill="auto"/>
                  <w:noWrap/>
                </w:tcPr>
                <w:p w14:paraId="6E6EE22C">
                  <w:pPr>
                    <w:widowControl/>
                    <w:jc w:val="left"/>
                    <w:rPr>
                      <w:kern w:val="0"/>
                      <w:szCs w:val="21"/>
                    </w:rPr>
                  </w:pPr>
                  <w:r>
                    <w:rPr>
                      <w:szCs w:val="21"/>
                    </w:rPr>
                    <w:t>国家II级</w:t>
                  </w:r>
                </w:p>
              </w:tc>
              <w:tc>
                <w:tcPr>
                  <w:tcW w:w="942" w:type="pct"/>
                  <w:tcBorders>
                    <w:top w:val="nil"/>
                    <w:left w:val="nil"/>
                    <w:bottom w:val="nil"/>
                    <w:right w:val="nil"/>
                  </w:tcBorders>
                </w:tcPr>
                <w:p w14:paraId="5F8CFF44">
                  <w:pPr>
                    <w:widowControl/>
                    <w:jc w:val="left"/>
                    <w:rPr>
                      <w:szCs w:val="21"/>
                    </w:rPr>
                  </w:pPr>
                  <w:r>
                    <w:rPr>
                      <w:szCs w:val="21"/>
                    </w:rPr>
                    <w:t>春</w:t>
                  </w:r>
                </w:p>
              </w:tc>
            </w:tr>
            <w:tr w14:paraId="6200EDCF">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2328F59B">
                  <w:pPr>
                    <w:widowControl/>
                    <w:jc w:val="left"/>
                    <w:rPr>
                      <w:kern w:val="0"/>
                      <w:szCs w:val="21"/>
                    </w:rPr>
                  </w:pPr>
                  <w:r>
                    <w:rPr>
                      <w:szCs w:val="21"/>
                    </w:rPr>
                    <w:t>翘鼻麻鸭</w:t>
                  </w:r>
                </w:p>
              </w:tc>
              <w:tc>
                <w:tcPr>
                  <w:tcW w:w="2009" w:type="pct"/>
                  <w:tcBorders>
                    <w:top w:val="nil"/>
                    <w:left w:val="nil"/>
                    <w:bottom w:val="nil"/>
                    <w:right w:val="nil"/>
                  </w:tcBorders>
                  <w:shd w:val="clear" w:color="auto" w:fill="auto"/>
                  <w:noWrap/>
                </w:tcPr>
                <w:p w14:paraId="2A6827F8">
                  <w:pPr>
                    <w:widowControl/>
                    <w:jc w:val="left"/>
                    <w:rPr>
                      <w:i/>
                      <w:iCs/>
                      <w:kern w:val="0"/>
                      <w:szCs w:val="21"/>
                    </w:rPr>
                  </w:pPr>
                  <w:r>
                    <w:rPr>
                      <w:i/>
                      <w:iCs/>
                      <w:szCs w:val="21"/>
                    </w:rPr>
                    <w:t>Tadorna tadorna</w:t>
                  </w:r>
                </w:p>
              </w:tc>
              <w:tc>
                <w:tcPr>
                  <w:tcW w:w="942" w:type="pct"/>
                  <w:tcBorders>
                    <w:top w:val="nil"/>
                    <w:left w:val="nil"/>
                    <w:bottom w:val="nil"/>
                    <w:right w:val="nil"/>
                  </w:tcBorders>
                  <w:shd w:val="clear" w:color="auto" w:fill="auto"/>
                  <w:noWrap/>
                </w:tcPr>
                <w:p w14:paraId="693CC978">
                  <w:pPr>
                    <w:widowControl/>
                    <w:jc w:val="left"/>
                    <w:rPr>
                      <w:kern w:val="0"/>
                      <w:szCs w:val="21"/>
                    </w:rPr>
                  </w:pPr>
                  <w:r>
                    <w:rPr>
                      <w:szCs w:val="21"/>
                    </w:rPr>
                    <w:t>省级</w:t>
                  </w:r>
                </w:p>
              </w:tc>
              <w:tc>
                <w:tcPr>
                  <w:tcW w:w="942" w:type="pct"/>
                  <w:tcBorders>
                    <w:top w:val="nil"/>
                    <w:left w:val="nil"/>
                    <w:bottom w:val="nil"/>
                    <w:right w:val="nil"/>
                  </w:tcBorders>
                </w:tcPr>
                <w:p w14:paraId="7DA86A85">
                  <w:pPr>
                    <w:widowControl/>
                    <w:jc w:val="left"/>
                    <w:rPr>
                      <w:szCs w:val="21"/>
                    </w:rPr>
                  </w:pPr>
                  <w:r>
                    <w:rPr>
                      <w:szCs w:val="21"/>
                    </w:rPr>
                    <w:t>春、秋</w:t>
                  </w:r>
                </w:p>
              </w:tc>
            </w:tr>
            <w:tr w14:paraId="534AE7A5">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3C45CEB7">
                  <w:pPr>
                    <w:widowControl/>
                    <w:jc w:val="left"/>
                    <w:rPr>
                      <w:kern w:val="0"/>
                      <w:szCs w:val="21"/>
                    </w:rPr>
                  </w:pPr>
                  <w:r>
                    <w:rPr>
                      <w:szCs w:val="21"/>
                    </w:rPr>
                    <w:t>罗纹鸭</w:t>
                  </w:r>
                </w:p>
              </w:tc>
              <w:tc>
                <w:tcPr>
                  <w:tcW w:w="2009" w:type="pct"/>
                  <w:tcBorders>
                    <w:top w:val="nil"/>
                    <w:left w:val="nil"/>
                    <w:bottom w:val="nil"/>
                    <w:right w:val="nil"/>
                  </w:tcBorders>
                  <w:shd w:val="clear" w:color="auto" w:fill="auto"/>
                  <w:noWrap/>
                </w:tcPr>
                <w:p w14:paraId="11AC9DE9">
                  <w:pPr>
                    <w:widowControl/>
                    <w:jc w:val="left"/>
                    <w:rPr>
                      <w:i/>
                      <w:iCs/>
                      <w:kern w:val="0"/>
                      <w:szCs w:val="21"/>
                    </w:rPr>
                  </w:pPr>
                  <w:r>
                    <w:rPr>
                      <w:i/>
                      <w:iCs/>
                      <w:szCs w:val="21"/>
                    </w:rPr>
                    <w:t>Anas falcata</w:t>
                  </w:r>
                </w:p>
              </w:tc>
              <w:tc>
                <w:tcPr>
                  <w:tcW w:w="942" w:type="pct"/>
                  <w:tcBorders>
                    <w:top w:val="nil"/>
                    <w:left w:val="nil"/>
                    <w:bottom w:val="nil"/>
                    <w:right w:val="nil"/>
                  </w:tcBorders>
                  <w:shd w:val="clear" w:color="auto" w:fill="auto"/>
                  <w:noWrap/>
                </w:tcPr>
                <w:p w14:paraId="661D0857">
                  <w:pPr>
                    <w:widowControl/>
                    <w:jc w:val="left"/>
                    <w:rPr>
                      <w:kern w:val="0"/>
                      <w:szCs w:val="21"/>
                    </w:rPr>
                  </w:pPr>
                  <w:r>
                    <w:rPr>
                      <w:szCs w:val="21"/>
                    </w:rPr>
                    <w:t>省级</w:t>
                  </w:r>
                </w:p>
              </w:tc>
              <w:tc>
                <w:tcPr>
                  <w:tcW w:w="942" w:type="pct"/>
                  <w:tcBorders>
                    <w:top w:val="nil"/>
                    <w:left w:val="nil"/>
                    <w:bottom w:val="nil"/>
                    <w:right w:val="nil"/>
                  </w:tcBorders>
                </w:tcPr>
                <w:p w14:paraId="411B6161">
                  <w:pPr>
                    <w:widowControl/>
                    <w:jc w:val="left"/>
                    <w:rPr>
                      <w:szCs w:val="21"/>
                    </w:rPr>
                  </w:pPr>
                  <w:r>
                    <w:rPr>
                      <w:szCs w:val="21"/>
                    </w:rPr>
                    <w:t>春、冬</w:t>
                  </w:r>
                </w:p>
              </w:tc>
            </w:tr>
            <w:tr w14:paraId="3733A5DB">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49EE4E46">
                  <w:pPr>
                    <w:widowControl/>
                    <w:jc w:val="left"/>
                    <w:rPr>
                      <w:kern w:val="0"/>
                      <w:szCs w:val="21"/>
                    </w:rPr>
                  </w:pPr>
                  <w:r>
                    <w:rPr>
                      <w:szCs w:val="21"/>
                    </w:rPr>
                    <w:t>针尾鸭</w:t>
                  </w:r>
                </w:p>
              </w:tc>
              <w:tc>
                <w:tcPr>
                  <w:tcW w:w="2009" w:type="pct"/>
                  <w:tcBorders>
                    <w:top w:val="nil"/>
                    <w:left w:val="nil"/>
                    <w:bottom w:val="nil"/>
                    <w:right w:val="nil"/>
                  </w:tcBorders>
                  <w:shd w:val="clear" w:color="auto" w:fill="auto"/>
                  <w:noWrap/>
                </w:tcPr>
                <w:p w14:paraId="3DBB1DCB">
                  <w:pPr>
                    <w:widowControl/>
                    <w:jc w:val="left"/>
                    <w:rPr>
                      <w:i/>
                      <w:iCs/>
                      <w:kern w:val="0"/>
                      <w:szCs w:val="21"/>
                    </w:rPr>
                  </w:pPr>
                  <w:r>
                    <w:rPr>
                      <w:i/>
                      <w:iCs/>
                      <w:szCs w:val="21"/>
                    </w:rPr>
                    <w:t>Anas acuta</w:t>
                  </w:r>
                </w:p>
              </w:tc>
              <w:tc>
                <w:tcPr>
                  <w:tcW w:w="942" w:type="pct"/>
                  <w:tcBorders>
                    <w:top w:val="nil"/>
                    <w:left w:val="nil"/>
                    <w:bottom w:val="nil"/>
                    <w:right w:val="nil"/>
                  </w:tcBorders>
                  <w:shd w:val="clear" w:color="auto" w:fill="auto"/>
                  <w:noWrap/>
                </w:tcPr>
                <w:p w14:paraId="43BD7D79">
                  <w:pPr>
                    <w:widowControl/>
                    <w:jc w:val="left"/>
                    <w:rPr>
                      <w:kern w:val="0"/>
                      <w:szCs w:val="21"/>
                    </w:rPr>
                  </w:pPr>
                  <w:r>
                    <w:rPr>
                      <w:szCs w:val="21"/>
                    </w:rPr>
                    <w:t>省级</w:t>
                  </w:r>
                </w:p>
              </w:tc>
              <w:tc>
                <w:tcPr>
                  <w:tcW w:w="942" w:type="pct"/>
                  <w:tcBorders>
                    <w:top w:val="nil"/>
                    <w:left w:val="nil"/>
                    <w:bottom w:val="nil"/>
                    <w:right w:val="nil"/>
                  </w:tcBorders>
                </w:tcPr>
                <w:p w14:paraId="05BAF88B">
                  <w:pPr>
                    <w:widowControl/>
                    <w:jc w:val="left"/>
                    <w:rPr>
                      <w:szCs w:val="21"/>
                    </w:rPr>
                  </w:pPr>
                  <w:r>
                    <w:rPr>
                      <w:szCs w:val="21"/>
                    </w:rPr>
                    <w:t>春</w:t>
                  </w:r>
                </w:p>
              </w:tc>
            </w:tr>
            <w:tr w14:paraId="579C1336">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4E84312E">
                  <w:pPr>
                    <w:widowControl/>
                    <w:jc w:val="left"/>
                    <w:rPr>
                      <w:kern w:val="0"/>
                      <w:szCs w:val="21"/>
                    </w:rPr>
                  </w:pPr>
                  <w:r>
                    <w:rPr>
                      <w:szCs w:val="21"/>
                    </w:rPr>
                    <w:t>绿翅鸭</w:t>
                  </w:r>
                </w:p>
              </w:tc>
              <w:tc>
                <w:tcPr>
                  <w:tcW w:w="2009" w:type="pct"/>
                  <w:tcBorders>
                    <w:top w:val="nil"/>
                    <w:left w:val="nil"/>
                    <w:bottom w:val="nil"/>
                    <w:right w:val="nil"/>
                  </w:tcBorders>
                  <w:shd w:val="clear" w:color="auto" w:fill="auto"/>
                  <w:noWrap/>
                </w:tcPr>
                <w:p w14:paraId="0361929B">
                  <w:pPr>
                    <w:widowControl/>
                    <w:jc w:val="left"/>
                    <w:rPr>
                      <w:i/>
                      <w:iCs/>
                      <w:kern w:val="0"/>
                      <w:szCs w:val="21"/>
                    </w:rPr>
                  </w:pPr>
                  <w:r>
                    <w:rPr>
                      <w:i/>
                      <w:iCs/>
                      <w:szCs w:val="21"/>
                    </w:rPr>
                    <w:t>Anas crecca</w:t>
                  </w:r>
                </w:p>
              </w:tc>
              <w:tc>
                <w:tcPr>
                  <w:tcW w:w="942" w:type="pct"/>
                  <w:tcBorders>
                    <w:top w:val="nil"/>
                    <w:left w:val="nil"/>
                    <w:bottom w:val="nil"/>
                    <w:right w:val="nil"/>
                  </w:tcBorders>
                  <w:shd w:val="clear" w:color="auto" w:fill="auto"/>
                  <w:noWrap/>
                </w:tcPr>
                <w:p w14:paraId="5F3755C4">
                  <w:pPr>
                    <w:widowControl/>
                    <w:jc w:val="left"/>
                    <w:rPr>
                      <w:kern w:val="0"/>
                      <w:szCs w:val="21"/>
                    </w:rPr>
                  </w:pPr>
                  <w:r>
                    <w:rPr>
                      <w:szCs w:val="21"/>
                    </w:rPr>
                    <w:t>省级</w:t>
                  </w:r>
                </w:p>
              </w:tc>
              <w:tc>
                <w:tcPr>
                  <w:tcW w:w="942" w:type="pct"/>
                  <w:tcBorders>
                    <w:top w:val="nil"/>
                    <w:left w:val="nil"/>
                    <w:bottom w:val="nil"/>
                    <w:right w:val="nil"/>
                  </w:tcBorders>
                </w:tcPr>
                <w:p w14:paraId="6B815DAD">
                  <w:pPr>
                    <w:widowControl/>
                    <w:jc w:val="left"/>
                    <w:rPr>
                      <w:szCs w:val="21"/>
                    </w:rPr>
                  </w:pPr>
                  <w:r>
                    <w:rPr>
                      <w:szCs w:val="21"/>
                    </w:rPr>
                    <w:t>春、冬</w:t>
                  </w:r>
                </w:p>
              </w:tc>
            </w:tr>
            <w:tr w14:paraId="63CE4481">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C585EA1">
                  <w:pPr>
                    <w:widowControl/>
                    <w:jc w:val="left"/>
                    <w:rPr>
                      <w:kern w:val="0"/>
                      <w:szCs w:val="21"/>
                    </w:rPr>
                  </w:pPr>
                  <w:r>
                    <w:rPr>
                      <w:szCs w:val="21"/>
                    </w:rPr>
                    <w:t>鹊鸭</w:t>
                  </w:r>
                </w:p>
              </w:tc>
              <w:tc>
                <w:tcPr>
                  <w:tcW w:w="2009" w:type="pct"/>
                  <w:tcBorders>
                    <w:top w:val="nil"/>
                    <w:left w:val="nil"/>
                    <w:bottom w:val="nil"/>
                    <w:right w:val="nil"/>
                  </w:tcBorders>
                  <w:shd w:val="clear" w:color="auto" w:fill="auto"/>
                  <w:noWrap/>
                </w:tcPr>
                <w:p w14:paraId="69051668">
                  <w:pPr>
                    <w:widowControl/>
                    <w:jc w:val="left"/>
                    <w:rPr>
                      <w:i/>
                      <w:iCs/>
                      <w:kern w:val="0"/>
                      <w:szCs w:val="21"/>
                    </w:rPr>
                  </w:pPr>
                  <w:r>
                    <w:rPr>
                      <w:i/>
                      <w:iCs/>
                      <w:szCs w:val="21"/>
                    </w:rPr>
                    <w:t>Bucephala clangula</w:t>
                  </w:r>
                </w:p>
              </w:tc>
              <w:tc>
                <w:tcPr>
                  <w:tcW w:w="942" w:type="pct"/>
                  <w:tcBorders>
                    <w:top w:val="nil"/>
                    <w:left w:val="nil"/>
                    <w:bottom w:val="nil"/>
                    <w:right w:val="nil"/>
                  </w:tcBorders>
                  <w:shd w:val="clear" w:color="auto" w:fill="auto"/>
                  <w:noWrap/>
                </w:tcPr>
                <w:p w14:paraId="4F997391">
                  <w:pPr>
                    <w:widowControl/>
                    <w:jc w:val="left"/>
                    <w:rPr>
                      <w:kern w:val="0"/>
                      <w:szCs w:val="21"/>
                    </w:rPr>
                  </w:pPr>
                  <w:r>
                    <w:rPr>
                      <w:szCs w:val="21"/>
                    </w:rPr>
                    <w:t>省级</w:t>
                  </w:r>
                </w:p>
              </w:tc>
              <w:tc>
                <w:tcPr>
                  <w:tcW w:w="942" w:type="pct"/>
                  <w:tcBorders>
                    <w:top w:val="nil"/>
                    <w:left w:val="nil"/>
                    <w:bottom w:val="nil"/>
                    <w:right w:val="nil"/>
                  </w:tcBorders>
                </w:tcPr>
                <w:p w14:paraId="39759A6B">
                  <w:pPr>
                    <w:widowControl/>
                    <w:jc w:val="left"/>
                    <w:rPr>
                      <w:szCs w:val="21"/>
                    </w:rPr>
                  </w:pPr>
                  <w:r>
                    <w:rPr>
                      <w:szCs w:val="21"/>
                    </w:rPr>
                    <w:t>秋</w:t>
                  </w:r>
                </w:p>
              </w:tc>
            </w:tr>
            <w:tr w14:paraId="580E90B0">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50A00134">
                  <w:pPr>
                    <w:widowControl/>
                    <w:jc w:val="left"/>
                    <w:rPr>
                      <w:kern w:val="0"/>
                      <w:szCs w:val="21"/>
                    </w:rPr>
                  </w:pPr>
                  <w:r>
                    <w:rPr>
                      <w:szCs w:val="21"/>
                    </w:rPr>
                    <w:t>斑头秋沙鸭</w:t>
                  </w:r>
                </w:p>
              </w:tc>
              <w:tc>
                <w:tcPr>
                  <w:tcW w:w="2009" w:type="pct"/>
                  <w:tcBorders>
                    <w:top w:val="nil"/>
                    <w:left w:val="nil"/>
                    <w:bottom w:val="nil"/>
                    <w:right w:val="nil"/>
                  </w:tcBorders>
                  <w:shd w:val="clear" w:color="auto" w:fill="auto"/>
                  <w:noWrap/>
                </w:tcPr>
                <w:p w14:paraId="5F5BB02D">
                  <w:pPr>
                    <w:widowControl/>
                    <w:jc w:val="left"/>
                    <w:rPr>
                      <w:i/>
                      <w:iCs/>
                      <w:kern w:val="0"/>
                      <w:szCs w:val="21"/>
                    </w:rPr>
                  </w:pPr>
                  <w:r>
                    <w:rPr>
                      <w:i/>
                      <w:iCs/>
                      <w:szCs w:val="21"/>
                    </w:rPr>
                    <w:t>Mergellus albellus</w:t>
                  </w:r>
                </w:p>
              </w:tc>
              <w:tc>
                <w:tcPr>
                  <w:tcW w:w="942" w:type="pct"/>
                  <w:tcBorders>
                    <w:top w:val="nil"/>
                    <w:left w:val="nil"/>
                    <w:bottom w:val="nil"/>
                    <w:right w:val="nil"/>
                  </w:tcBorders>
                  <w:shd w:val="clear" w:color="auto" w:fill="auto"/>
                  <w:noWrap/>
                </w:tcPr>
                <w:p w14:paraId="71B1EBBC">
                  <w:pPr>
                    <w:widowControl/>
                    <w:jc w:val="left"/>
                    <w:rPr>
                      <w:kern w:val="0"/>
                      <w:szCs w:val="21"/>
                    </w:rPr>
                  </w:pPr>
                  <w:r>
                    <w:rPr>
                      <w:szCs w:val="21"/>
                    </w:rPr>
                    <w:t>国家II级</w:t>
                  </w:r>
                </w:p>
              </w:tc>
              <w:tc>
                <w:tcPr>
                  <w:tcW w:w="942" w:type="pct"/>
                  <w:tcBorders>
                    <w:top w:val="nil"/>
                    <w:left w:val="nil"/>
                    <w:bottom w:val="nil"/>
                    <w:right w:val="nil"/>
                  </w:tcBorders>
                </w:tcPr>
                <w:p w14:paraId="410D8B14">
                  <w:pPr>
                    <w:widowControl/>
                    <w:jc w:val="left"/>
                    <w:rPr>
                      <w:szCs w:val="21"/>
                    </w:rPr>
                  </w:pPr>
                  <w:r>
                    <w:rPr>
                      <w:szCs w:val="21"/>
                    </w:rPr>
                    <w:t>冬</w:t>
                  </w:r>
                </w:p>
              </w:tc>
            </w:tr>
            <w:tr w14:paraId="737F3CE8">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0EAAD600">
                  <w:pPr>
                    <w:widowControl/>
                    <w:jc w:val="left"/>
                    <w:rPr>
                      <w:kern w:val="0"/>
                      <w:szCs w:val="21"/>
                    </w:rPr>
                  </w:pPr>
                  <w:r>
                    <w:rPr>
                      <w:szCs w:val="21"/>
                    </w:rPr>
                    <w:t>普通秋沙鸭</w:t>
                  </w:r>
                </w:p>
              </w:tc>
              <w:tc>
                <w:tcPr>
                  <w:tcW w:w="2009" w:type="pct"/>
                  <w:tcBorders>
                    <w:top w:val="nil"/>
                    <w:left w:val="nil"/>
                    <w:bottom w:val="nil"/>
                    <w:right w:val="nil"/>
                  </w:tcBorders>
                  <w:shd w:val="clear" w:color="auto" w:fill="auto"/>
                  <w:noWrap/>
                </w:tcPr>
                <w:p w14:paraId="7DDADACA">
                  <w:pPr>
                    <w:widowControl/>
                    <w:jc w:val="left"/>
                    <w:rPr>
                      <w:i/>
                      <w:iCs/>
                      <w:kern w:val="0"/>
                      <w:szCs w:val="21"/>
                    </w:rPr>
                  </w:pPr>
                  <w:r>
                    <w:rPr>
                      <w:i/>
                      <w:iCs/>
                      <w:szCs w:val="21"/>
                    </w:rPr>
                    <w:t>Mergus merganser</w:t>
                  </w:r>
                </w:p>
              </w:tc>
              <w:tc>
                <w:tcPr>
                  <w:tcW w:w="942" w:type="pct"/>
                  <w:tcBorders>
                    <w:top w:val="nil"/>
                    <w:left w:val="nil"/>
                    <w:bottom w:val="nil"/>
                    <w:right w:val="nil"/>
                  </w:tcBorders>
                  <w:shd w:val="clear" w:color="auto" w:fill="auto"/>
                  <w:noWrap/>
                </w:tcPr>
                <w:p w14:paraId="4558283C">
                  <w:pPr>
                    <w:widowControl/>
                    <w:jc w:val="left"/>
                    <w:rPr>
                      <w:kern w:val="0"/>
                      <w:szCs w:val="21"/>
                    </w:rPr>
                  </w:pPr>
                  <w:r>
                    <w:rPr>
                      <w:szCs w:val="21"/>
                    </w:rPr>
                    <w:t>省级</w:t>
                  </w:r>
                </w:p>
              </w:tc>
              <w:tc>
                <w:tcPr>
                  <w:tcW w:w="942" w:type="pct"/>
                  <w:tcBorders>
                    <w:top w:val="nil"/>
                    <w:left w:val="nil"/>
                    <w:bottom w:val="nil"/>
                    <w:right w:val="nil"/>
                  </w:tcBorders>
                </w:tcPr>
                <w:p w14:paraId="6945CF5C">
                  <w:pPr>
                    <w:widowControl/>
                    <w:jc w:val="left"/>
                    <w:rPr>
                      <w:szCs w:val="21"/>
                    </w:rPr>
                  </w:pPr>
                  <w:r>
                    <w:rPr>
                      <w:szCs w:val="21"/>
                    </w:rPr>
                    <w:t>春</w:t>
                  </w:r>
                </w:p>
              </w:tc>
            </w:tr>
            <w:tr w14:paraId="452608FB">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0D253448">
                  <w:pPr>
                    <w:widowControl/>
                    <w:jc w:val="left"/>
                    <w:rPr>
                      <w:kern w:val="0"/>
                      <w:szCs w:val="21"/>
                    </w:rPr>
                  </w:pPr>
                  <w:r>
                    <w:rPr>
                      <w:szCs w:val="21"/>
                    </w:rPr>
                    <w:t>反嘴鹬</w:t>
                  </w:r>
                </w:p>
              </w:tc>
              <w:tc>
                <w:tcPr>
                  <w:tcW w:w="2009" w:type="pct"/>
                  <w:tcBorders>
                    <w:top w:val="nil"/>
                    <w:left w:val="nil"/>
                    <w:bottom w:val="nil"/>
                    <w:right w:val="nil"/>
                  </w:tcBorders>
                  <w:shd w:val="clear" w:color="auto" w:fill="auto"/>
                  <w:noWrap/>
                </w:tcPr>
                <w:p w14:paraId="7FF60E2F">
                  <w:pPr>
                    <w:widowControl/>
                    <w:jc w:val="left"/>
                    <w:rPr>
                      <w:i/>
                      <w:iCs/>
                      <w:kern w:val="0"/>
                      <w:szCs w:val="21"/>
                    </w:rPr>
                  </w:pPr>
                  <w:r>
                    <w:rPr>
                      <w:i/>
                      <w:iCs/>
                      <w:szCs w:val="21"/>
                    </w:rPr>
                    <w:t>Recurvirostra avosetta</w:t>
                  </w:r>
                </w:p>
              </w:tc>
              <w:tc>
                <w:tcPr>
                  <w:tcW w:w="942" w:type="pct"/>
                  <w:tcBorders>
                    <w:top w:val="nil"/>
                    <w:left w:val="nil"/>
                    <w:bottom w:val="nil"/>
                    <w:right w:val="nil"/>
                  </w:tcBorders>
                  <w:shd w:val="clear" w:color="auto" w:fill="auto"/>
                  <w:noWrap/>
                </w:tcPr>
                <w:p w14:paraId="22805D15">
                  <w:pPr>
                    <w:widowControl/>
                    <w:jc w:val="left"/>
                    <w:rPr>
                      <w:kern w:val="0"/>
                      <w:szCs w:val="21"/>
                    </w:rPr>
                  </w:pPr>
                  <w:r>
                    <w:rPr>
                      <w:szCs w:val="21"/>
                    </w:rPr>
                    <w:t>省级</w:t>
                  </w:r>
                </w:p>
              </w:tc>
              <w:tc>
                <w:tcPr>
                  <w:tcW w:w="942" w:type="pct"/>
                  <w:tcBorders>
                    <w:top w:val="nil"/>
                    <w:left w:val="nil"/>
                    <w:bottom w:val="nil"/>
                    <w:right w:val="nil"/>
                  </w:tcBorders>
                </w:tcPr>
                <w:p w14:paraId="1F63CFB9">
                  <w:pPr>
                    <w:widowControl/>
                    <w:jc w:val="left"/>
                    <w:rPr>
                      <w:szCs w:val="21"/>
                    </w:rPr>
                  </w:pPr>
                  <w:r>
                    <w:rPr>
                      <w:szCs w:val="21"/>
                    </w:rPr>
                    <w:t>春、秋</w:t>
                  </w:r>
                </w:p>
              </w:tc>
            </w:tr>
            <w:tr w14:paraId="3D5C90AC">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1967F1C0">
                  <w:pPr>
                    <w:widowControl/>
                    <w:jc w:val="left"/>
                    <w:rPr>
                      <w:kern w:val="0"/>
                      <w:szCs w:val="21"/>
                    </w:rPr>
                  </w:pPr>
                  <w:r>
                    <w:rPr>
                      <w:szCs w:val="21"/>
                    </w:rPr>
                    <w:t>红嘴巨燕鸥</w:t>
                  </w:r>
                </w:p>
              </w:tc>
              <w:tc>
                <w:tcPr>
                  <w:tcW w:w="2009" w:type="pct"/>
                  <w:tcBorders>
                    <w:top w:val="nil"/>
                    <w:left w:val="nil"/>
                    <w:bottom w:val="nil"/>
                    <w:right w:val="nil"/>
                  </w:tcBorders>
                  <w:shd w:val="clear" w:color="auto" w:fill="auto"/>
                  <w:noWrap/>
                </w:tcPr>
                <w:p w14:paraId="7A7E247C">
                  <w:pPr>
                    <w:widowControl/>
                    <w:jc w:val="left"/>
                    <w:rPr>
                      <w:i/>
                      <w:iCs/>
                      <w:kern w:val="0"/>
                      <w:szCs w:val="21"/>
                    </w:rPr>
                  </w:pPr>
                  <w:r>
                    <w:rPr>
                      <w:i/>
                      <w:iCs/>
                      <w:szCs w:val="21"/>
                    </w:rPr>
                    <w:t>Hydroprogne caspia</w:t>
                  </w:r>
                </w:p>
              </w:tc>
              <w:tc>
                <w:tcPr>
                  <w:tcW w:w="942" w:type="pct"/>
                  <w:tcBorders>
                    <w:top w:val="nil"/>
                    <w:left w:val="nil"/>
                    <w:bottom w:val="nil"/>
                    <w:right w:val="nil"/>
                  </w:tcBorders>
                  <w:shd w:val="clear" w:color="auto" w:fill="auto"/>
                  <w:noWrap/>
                </w:tcPr>
                <w:p w14:paraId="1BE2F583">
                  <w:pPr>
                    <w:widowControl/>
                    <w:jc w:val="left"/>
                    <w:rPr>
                      <w:kern w:val="0"/>
                      <w:szCs w:val="21"/>
                    </w:rPr>
                  </w:pPr>
                  <w:r>
                    <w:rPr>
                      <w:szCs w:val="21"/>
                    </w:rPr>
                    <w:t>省级</w:t>
                  </w:r>
                </w:p>
              </w:tc>
              <w:tc>
                <w:tcPr>
                  <w:tcW w:w="942" w:type="pct"/>
                  <w:tcBorders>
                    <w:top w:val="nil"/>
                    <w:left w:val="nil"/>
                    <w:bottom w:val="nil"/>
                    <w:right w:val="nil"/>
                  </w:tcBorders>
                </w:tcPr>
                <w:p w14:paraId="7776C2C7">
                  <w:pPr>
                    <w:widowControl/>
                    <w:jc w:val="left"/>
                    <w:rPr>
                      <w:szCs w:val="21"/>
                    </w:rPr>
                  </w:pPr>
                  <w:r>
                    <w:rPr>
                      <w:szCs w:val="21"/>
                    </w:rPr>
                    <w:t>秋</w:t>
                  </w:r>
                </w:p>
              </w:tc>
            </w:tr>
            <w:tr w14:paraId="1B9073DC">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DA60AF2">
                  <w:pPr>
                    <w:widowControl/>
                    <w:jc w:val="left"/>
                    <w:rPr>
                      <w:kern w:val="0"/>
                      <w:szCs w:val="21"/>
                    </w:rPr>
                  </w:pPr>
                  <w:r>
                    <w:rPr>
                      <w:szCs w:val="21"/>
                    </w:rPr>
                    <w:t>东方白鹳</w:t>
                  </w:r>
                </w:p>
              </w:tc>
              <w:tc>
                <w:tcPr>
                  <w:tcW w:w="2009" w:type="pct"/>
                  <w:tcBorders>
                    <w:top w:val="nil"/>
                    <w:left w:val="nil"/>
                    <w:bottom w:val="nil"/>
                    <w:right w:val="nil"/>
                  </w:tcBorders>
                  <w:shd w:val="clear" w:color="auto" w:fill="auto"/>
                  <w:noWrap/>
                </w:tcPr>
                <w:p w14:paraId="68DFEFD6">
                  <w:pPr>
                    <w:widowControl/>
                    <w:jc w:val="left"/>
                    <w:rPr>
                      <w:i/>
                      <w:iCs/>
                      <w:kern w:val="0"/>
                      <w:szCs w:val="21"/>
                    </w:rPr>
                  </w:pPr>
                  <w:r>
                    <w:rPr>
                      <w:i/>
                      <w:iCs/>
                      <w:szCs w:val="21"/>
                    </w:rPr>
                    <w:t>Ciconia boyciana</w:t>
                  </w:r>
                </w:p>
              </w:tc>
              <w:tc>
                <w:tcPr>
                  <w:tcW w:w="942" w:type="pct"/>
                  <w:tcBorders>
                    <w:top w:val="nil"/>
                    <w:left w:val="nil"/>
                    <w:bottom w:val="nil"/>
                    <w:right w:val="nil"/>
                  </w:tcBorders>
                  <w:shd w:val="clear" w:color="auto" w:fill="auto"/>
                  <w:noWrap/>
                </w:tcPr>
                <w:p w14:paraId="7970A896">
                  <w:pPr>
                    <w:widowControl/>
                    <w:jc w:val="left"/>
                    <w:rPr>
                      <w:kern w:val="0"/>
                      <w:szCs w:val="21"/>
                    </w:rPr>
                  </w:pPr>
                  <w:r>
                    <w:rPr>
                      <w:szCs w:val="21"/>
                    </w:rPr>
                    <w:t>国家I级</w:t>
                  </w:r>
                </w:p>
              </w:tc>
              <w:tc>
                <w:tcPr>
                  <w:tcW w:w="942" w:type="pct"/>
                  <w:tcBorders>
                    <w:top w:val="nil"/>
                    <w:left w:val="nil"/>
                    <w:bottom w:val="nil"/>
                    <w:right w:val="nil"/>
                  </w:tcBorders>
                </w:tcPr>
                <w:p w14:paraId="0FF64C47">
                  <w:pPr>
                    <w:widowControl/>
                    <w:jc w:val="left"/>
                    <w:rPr>
                      <w:szCs w:val="21"/>
                    </w:rPr>
                  </w:pPr>
                  <w:r>
                    <w:rPr>
                      <w:szCs w:val="21"/>
                    </w:rPr>
                    <w:t>春、秋</w:t>
                  </w:r>
                </w:p>
              </w:tc>
            </w:tr>
            <w:tr w14:paraId="15D25948">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66195D32">
                  <w:pPr>
                    <w:widowControl/>
                    <w:jc w:val="left"/>
                    <w:rPr>
                      <w:kern w:val="0"/>
                      <w:szCs w:val="21"/>
                    </w:rPr>
                  </w:pPr>
                  <w:r>
                    <w:rPr>
                      <w:szCs w:val="21"/>
                    </w:rPr>
                    <w:t>普通鸬鹚</w:t>
                  </w:r>
                </w:p>
              </w:tc>
              <w:tc>
                <w:tcPr>
                  <w:tcW w:w="2009" w:type="pct"/>
                  <w:tcBorders>
                    <w:top w:val="nil"/>
                    <w:left w:val="nil"/>
                    <w:bottom w:val="nil"/>
                    <w:right w:val="nil"/>
                  </w:tcBorders>
                  <w:shd w:val="clear" w:color="auto" w:fill="auto"/>
                  <w:noWrap/>
                </w:tcPr>
                <w:p w14:paraId="38E5AF31">
                  <w:pPr>
                    <w:widowControl/>
                    <w:jc w:val="left"/>
                    <w:rPr>
                      <w:i/>
                      <w:iCs/>
                      <w:kern w:val="0"/>
                      <w:szCs w:val="21"/>
                    </w:rPr>
                  </w:pPr>
                  <w:r>
                    <w:rPr>
                      <w:i/>
                      <w:iCs/>
                      <w:szCs w:val="21"/>
                    </w:rPr>
                    <w:t>Phalacrocorax carbo</w:t>
                  </w:r>
                </w:p>
              </w:tc>
              <w:tc>
                <w:tcPr>
                  <w:tcW w:w="942" w:type="pct"/>
                  <w:tcBorders>
                    <w:top w:val="nil"/>
                    <w:left w:val="nil"/>
                    <w:bottom w:val="nil"/>
                    <w:right w:val="nil"/>
                  </w:tcBorders>
                  <w:shd w:val="clear" w:color="auto" w:fill="auto"/>
                  <w:noWrap/>
                </w:tcPr>
                <w:p w14:paraId="71DE1BC2">
                  <w:pPr>
                    <w:widowControl/>
                    <w:jc w:val="left"/>
                    <w:rPr>
                      <w:kern w:val="0"/>
                      <w:szCs w:val="21"/>
                    </w:rPr>
                  </w:pPr>
                  <w:r>
                    <w:rPr>
                      <w:szCs w:val="21"/>
                    </w:rPr>
                    <w:t>省级</w:t>
                  </w:r>
                </w:p>
              </w:tc>
              <w:tc>
                <w:tcPr>
                  <w:tcW w:w="942" w:type="pct"/>
                  <w:tcBorders>
                    <w:top w:val="nil"/>
                    <w:left w:val="nil"/>
                    <w:bottom w:val="nil"/>
                    <w:right w:val="nil"/>
                  </w:tcBorders>
                </w:tcPr>
                <w:p w14:paraId="308EA72C">
                  <w:pPr>
                    <w:widowControl/>
                    <w:jc w:val="left"/>
                    <w:rPr>
                      <w:szCs w:val="21"/>
                    </w:rPr>
                  </w:pPr>
                  <w:r>
                    <w:rPr>
                      <w:szCs w:val="21"/>
                    </w:rPr>
                    <w:t>秋</w:t>
                  </w:r>
                </w:p>
              </w:tc>
            </w:tr>
            <w:tr w14:paraId="3A01B57C">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182D2931">
                  <w:pPr>
                    <w:widowControl/>
                    <w:jc w:val="left"/>
                    <w:rPr>
                      <w:kern w:val="0"/>
                      <w:szCs w:val="21"/>
                    </w:rPr>
                  </w:pPr>
                  <w:r>
                    <w:rPr>
                      <w:szCs w:val="21"/>
                    </w:rPr>
                    <w:t>夜鹭</w:t>
                  </w:r>
                </w:p>
              </w:tc>
              <w:tc>
                <w:tcPr>
                  <w:tcW w:w="2009" w:type="pct"/>
                  <w:tcBorders>
                    <w:top w:val="nil"/>
                    <w:left w:val="nil"/>
                    <w:bottom w:val="nil"/>
                    <w:right w:val="nil"/>
                  </w:tcBorders>
                  <w:shd w:val="clear" w:color="auto" w:fill="auto"/>
                  <w:noWrap/>
                </w:tcPr>
                <w:p w14:paraId="37F60674">
                  <w:pPr>
                    <w:widowControl/>
                    <w:jc w:val="left"/>
                    <w:rPr>
                      <w:i/>
                      <w:iCs/>
                      <w:kern w:val="0"/>
                      <w:szCs w:val="21"/>
                    </w:rPr>
                  </w:pPr>
                  <w:r>
                    <w:rPr>
                      <w:i/>
                      <w:iCs/>
                      <w:szCs w:val="21"/>
                    </w:rPr>
                    <w:t>Nycticorax nycticorax</w:t>
                  </w:r>
                </w:p>
              </w:tc>
              <w:tc>
                <w:tcPr>
                  <w:tcW w:w="942" w:type="pct"/>
                  <w:tcBorders>
                    <w:top w:val="nil"/>
                    <w:left w:val="nil"/>
                    <w:bottom w:val="nil"/>
                    <w:right w:val="nil"/>
                  </w:tcBorders>
                  <w:shd w:val="clear" w:color="auto" w:fill="auto"/>
                  <w:noWrap/>
                </w:tcPr>
                <w:p w14:paraId="134D3280">
                  <w:pPr>
                    <w:widowControl/>
                    <w:jc w:val="left"/>
                    <w:rPr>
                      <w:kern w:val="0"/>
                      <w:szCs w:val="21"/>
                    </w:rPr>
                  </w:pPr>
                  <w:r>
                    <w:rPr>
                      <w:szCs w:val="21"/>
                    </w:rPr>
                    <w:t>省级</w:t>
                  </w:r>
                </w:p>
              </w:tc>
              <w:tc>
                <w:tcPr>
                  <w:tcW w:w="942" w:type="pct"/>
                  <w:tcBorders>
                    <w:top w:val="nil"/>
                    <w:left w:val="nil"/>
                    <w:bottom w:val="nil"/>
                    <w:right w:val="nil"/>
                  </w:tcBorders>
                </w:tcPr>
                <w:p w14:paraId="140EE4F9">
                  <w:pPr>
                    <w:widowControl/>
                    <w:jc w:val="left"/>
                    <w:rPr>
                      <w:szCs w:val="21"/>
                    </w:rPr>
                  </w:pPr>
                  <w:r>
                    <w:rPr>
                      <w:szCs w:val="21"/>
                    </w:rPr>
                    <w:t>秋</w:t>
                  </w:r>
                </w:p>
              </w:tc>
            </w:tr>
            <w:tr w14:paraId="4D77736D">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559DC1F5">
                  <w:pPr>
                    <w:widowControl/>
                    <w:jc w:val="left"/>
                    <w:rPr>
                      <w:kern w:val="0"/>
                      <w:szCs w:val="21"/>
                    </w:rPr>
                  </w:pPr>
                  <w:r>
                    <w:rPr>
                      <w:szCs w:val="21"/>
                    </w:rPr>
                    <w:t>苍鹭</w:t>
                  </w:r>
                </w:p>
              </w:tc>
              <w:tc>
                <w:tcPr>
                  <w:tcW w:w="2009" w:type="pct"/>
                  <w:tcBorders>
                    <w:top w:val="nil"/>
                    <w:left w:val="nil"/>
                    <w:bottom w:val="nil"/>
                    <w:right w:val="nil"/>
                  </w:tcBorders>
                  <w:shd w:val="clear" w:color="auto" w:fill="auto"/>
                  <w:noWrap/>
                </w:tcPr>
                <w:p w14:paraId="30FBA936">
                  <w:pPr>
                    <w:widowControl/>
                    <w:jc w:val="left"/>
                    <w:rPr>
                      <w:i/>
                      <w:iCs/>
                      <w:kern w:val="0"/>
                      <w:szCs w:val="21"/>
                    </w:rPr>
                  </w:pPr>
                  <w:r>
                    <w:rPr>
                      <w:i/>
                      <w:iCs/>
                      <w:szCs w:val="21"/>
                    </w:rPr>
                    <w:t>Ardea cinerea</w:t>
                  </w:r>
                </w:p>
              </w:tc>
              <w:tc>
                <w:tcPr>
                  <w:tcW w:w="942" w:type="pct"/>
                  <w:tcBorders>
                    <w:top w:val="nil"/>
                    <w:left w:val="nil"/>
                    <w:bottom w:val="nil"/>
                    <w:right w:val="nil"/>
                  </w:tcBorders>
                  <w:shd w:val="clear" w:color="auto" w:fill="auto"/>
                  <w:noWrap/>
                </w:tcPr>
                <w:p w14:paraId="6E836755">
                  <w:pPr>
                    <w:widowControl/>
                    <w:jc w:val="left"/>
                    <w:rPr>
                      <w:kern w:val="0"/>
                      <w:szCs w:val="21"/>
                    </w:rPr>
                  </w:pPr>
                  <w:r>
                    <w:rPr>
                      <w:szCs w:val="21"/>
                    </w:rPr>
                    <w:t>省级</w:t>
                  </w:r>
                </w:p>
              </w:tc>
              <w:tc>
                <w:tcPr>
                  <w:tcW w:w="942" w:type="pct"/>
                  <w:tcBorders>
                    <w:top w:val="nil"/>
                    <w:left w:val="nil"/>
                    <w:bottom w:val="nil"/>
                    <w:right w:val="nil"/>
                  </w:tcBorders>
                </w:tcPr>
                <w:p w14:paraId="4F62BFFB">
                  <w:pPr>
                    <w:widowControl/>
                    <w:jc w:val="left"/>
                    <w:rPr>
                      <w:szCs w:val="21"/>
                    </w:rPr>
                  </w:pPr>
                  <w:r>
                    <w:rPr>
                      <w:szCs w:val="21"/>
                    </w:rPr>
                    <w:t>春、秋、冬</w:t>
                  </w:r>
                </w:p>
              </w:tc>
            </w:tr>
            <w:tr w14:paraId="27880E7B">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15E9437B">
                  <w:pPr>
                    <w:widowControl/>
                    <w:jc w:val="left"/>
                    <w:rPr>
                      <w:kern w:val="0"/>
                      <w:szCs w:val="21"/>
                    </w:rPr>
                  </w:pPr>
                  <w:r>
                    <w:rPr>
                      <w:szCs w:val="21"/>
                    </w:rPr>
                    <w:t>大白鹭</w:t>
                  </w:r>
                </w:p>
              </w:tc>
              <w:tc>
                <w:tcPr>
                  <w:tcW w:w="2009" w:type="pct"/>
                  <w:tcBorders>
                    <w:top w:val="nil"/>
                    <w:left w:val="nil"/>
                    <w:bottom w:val="nil"/>
                    <w:right w:val="nil"/>
                  </w:tcBorders>
                  <w:shd w:val="clear" w:color="auto" w:fill="auto"/>
                  <w:noWrap/>
                </w:tcPr>
                <w:p w14:paraId="1E08F9EC">
                  <w:pPr>
                    <w:widowControl/>
                    <w:jc w:val="left"/>
                    <w:rPr>
                      <w:i/>
                      <w:iCs/>
                      <w:kern w:val="0"/>
                      <w:szCs w:val="21"/>
                    </w:rPr>
                  </w:pPr>
                  <w:r>
                    <w:rPr>
                      <w:i/>
                      <w:iCs/>
                      <w:szCs w:val="21"/>
                    </w:rPr>
                    <w:t>Egretta alba</w:t>
                  </w:r>
                </w:p>
              </w:tc>
              <w:tc>
                <w:tcPr>
                  <w:tcW w:w="942" w:type="pct"/>
                  <w:tcBorders>
                    <w:top w:val="nil"/>
                    <w:left w:val="nil"/>
                    <w:bottom w:val="nil"/>
                    <w:right w:val="nil"/>
                  </w:tcBorders>
                  <w:shd w:val="clear" w:color="auto" w:fill="auto"/>
                  <w:noWrap/>
                </w:tcPr>
                <w:p w14:paraId="31B17465">
                  <w:pPr>
                    <w:widowControl/>
                    <w:jc w:val="left"/>
                    <w:rPr>
                      <w:kern w:val="0"/>
                      <w:szCs w:val="21"/>
                    </w:rPr>
                  </w:pPr>
                  <w:r>
                    <w:rPr>
                      <w:szCs w:val="21"/>
                    </w:rPr>
                    <w:t>省级</w:t>
                  </w:r>
                </w:p>
              </w:tc>
              <w:tc>
                <w:tcPr>
                  <w:tcW w:w="942" w:type="pct"/>
                  <w:tcBorders>
                    <w:top w:val="nil"/>
                    <w:left w:val="nil"/>
                    <w:bottom w:val="nil"/>
                    <w:right w:val="nil"/>
                  </w:tcBorders>
                </w:tcPr>
                <w:p w14:paraId="44AC6601">
                  <w:pPr>
                    <w:widowControl/>
                    <w:jc w:val="left"/>
                    <w:rPr>
                      <w:szCs w:val="21"/>
                    </w:rPr>
                  </w:pPr>
                  <w:r>
                    <w:rPr>
                      <w:szCs w:val="21"/>
                    </w:rPr>
                    <w:t>秋、冬</w:t>
                  </w:r>
                </w:p>
              </w:tc>
            </w:tr>
            <w:tr w14:paraId="2FB076EF">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0E2161A6">
                  <w:pPr>
                    <w:widowControl/>
                    <w:jc w:val="left"/>
                    <w:rPr>
                      <w:kern w:val="0"/>
                      <w:szCs w:val="21"/>
                    </w:rPr>
                  </w:pPr>
                  <w:r>
                    <w:rPr>
                      <w:szCs w:val="21"/>
                    </w:rPr>
                    <w:t>白鹭</w:t>
                  </w:r>
                </w:p>
              </w:tc>
              <w:tc>
                <w:tcPr>
                  <w:tcW w:w="2009" w:type="pct"/>
                  <w:tcBorders>
                    <w:top w:val="nil"/>
                    <w:left w:val="nil"/>
                    <w:bottom w:val="nil"/>
                    <w:right w:val="nil"/>
                  </w:tcBorders>
                  <w:shd w:val="clear" w:color="auto" w:fill="auto"/>
                  <w:noWrap/>
                </w:tcPr>
                <w:p w14:paraId="28855EB4">
                  <w:pPr>
                    <w:widowControl/>
                    <w:jc w:val="left"/>
                    <w:rPr>
                      <w:i/>
                      <w:iCs/>
                      <w:kern w:val="0"/>
                      <w:szCs w:val="21"/>
                    </w:rPr>
                  </w:pPr>
                  <w:r>
                    <w:rPr>
                      <w:i/>
                      <w:iCs/>
                      <w:szCs w:val="21"/>
                    </w:rPr>
                    <w:t>Egretta garzetta</w:t>
                  </w:r>
                </w:p>
              </w:tc>
              <w:tc>
                <w:tcPr>
                  <w:tcW w:w="942" w:type="pct"/>
                  <w:tcBorders>
                    <w:top w:val="nil"/>
                    <w:left w:val="nil"/>
                    <w:bottom w:val="nil"/>
                    <w:right w:val="nil"/>
                  </w:tcBorders>
                  <w:shd w:val="clear" w:color="auto" w:fill="auto"/>
                  <w:noWrap/>
                </w:tcPr>
                <w:p w14:paraId="73897DE0">
                  <w:pPr>
                    <w:widowControl/>
                    <w:jc w:val="left"/>
                    <w:rPr>
                      <w:kern w:val="0"/>
                      <w:szCs w:val="21"/>
                    </w:rPr>
                  </w:pPr>
                  <w:r>
                    <w:rPr>
                      <w:szCs w:val="21"/>
                    </w:rPr>
                    <w:t>省级</w:t>
                  </w:r>
                </w:p>
              </w:tc>
              <w:tc>
                <w:tcPr>
                  <w:tcW w:w="942" w:type="pct"/>
                  <w:tcBorders>
                    <w:top w:val="nil"/>
                    <w:left w:val="nil"/>
                    <w:bottom w:val="nil"/>
                    <w:right w:val="nil"/>
                  </w:tcBorders>
                </w:tcPr>
                <w:p w14:paraId="4B1A4E1E">
                  <w:pPr>
                    <w:widowControl/>
                    <w:jc w:val="left"/>
                    <w:rPr>
                      <w:szCs w:val="21"/>
                    </w:rPr>
                  </w:pPr>
                  <w:r>
                    <w:rPr>
                      <w:szCs w:val="21"/>
                    </w:rPr>
                    <w:t>秋、冬</w:t>
                  </w:r>
                </w:p>
              </w:tc>
            </w:tr>
            <w:tr w14:paraId="43B64526">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F4BBFBD">
                  <w:pPr>
                    <w:widowControl/>
                    <w:jc w:val="left"/>
                    <w:rPr>
                      <w:kern w:val="0"/>
                      <w:szCs w:val="21"/>
                    </w:rPr>
                  </w:pPr>
                  <w:r>
                    <w:rPr>
                      <w:szCs w:val="21"/>
                    </w:rPr>
                    <w:t>松雀鹰</w:t>
                  </w:r>
                </w:p>
              </w:tc>
              <w:tc>
                <w:tcPr>
                  <w:tcW w:w="2009" w:type="pct"/>
                  <w:tcBorders>
                    <w:top w:val="nil"/>
                    <w:left w:val="nil"/>
                    <w:bottom w:val="nil"/>
                    <w:right w:val="nil"/>
                  </w:tcBorders>
                  <w:shd w:val="clear" w:color="auto" w:fill="auto"/>
                  <w:noWrap/>
                </w:tcPr>
                <w:p w14:paraId="74556351">
                  <w:pPr>
                    <w:widowControl/>
                    <w:jc w:val="left"/>
                    <w:rPr>
                      <w:i/>
                      <w:iCs/>
                      <w:kern w:val="0"/>
                      <w:szCs w:val="21"/>
                    </w:rPr>
                  </w:pPr>
                  <w:r>
                    <w:rPr>
                      <w:i/>
                      <w:iCs/>
                      <w:szCs w:val="21"/>
                    </w:rPr>
                    <w:t>Accipiter virgatus</w:t>
                  </w:r>
                </w:p>
              </w:tc>
              <w:tc>
                <w:tcPr>
                  <w:tcW w:w="942" w:type="pct"/>
                  <w:tcBorders>
                    <w:top w:val="nil"/>
                    <w:left w:val="nil"/>
                    <w:bottom w:val="nil"/>
                    <w:right w:val="nil"/>
                  </w:tcBorders>
                  <w:shd w:val="clear" w:color="auto" w:fill="auto"/>
                  <w:noWrap/>
                </w:tcPr>
                <w:p w14:paraId="02AD6773">
                  <w:pPr>
                    <w:widowControl/>
                    <w:jc w:val="left"/>
                    <w:rPr>
                      <w:kern w:val="0"/>
                      <w:szCs w:val="21"/>
                    </w:rPr>
                  </w:pPr>
                  <w:r>
                    <w:rPr>
                      <w:szCs w:val="21"/>
                    </w:rPr>
                    <w:t>国家II级</w:t>
                  </w:r>
                </w:p>
              </w:tc>
              <w:tc>
                <w:tcPr>
                  <w:tcW w:w="942" w:type="pct"/>
                  <w:tcBorders>
                    <w:top w:val="nil"/>
                    <w:left w:val="nil"/>
                    <w:bottom w:val="nil"/>
                    <w:right w:val="nil"/>
                  </w:tcBorders>
                </w:tcPr>
                <w:p w14:paraId="5A9BCEF2">
                  <w:pPr>
                    <w:widowControl/>
                    <w:jc w:val="left"/>
                    <w:rPr>
                      <w:szCs w:val="21"/>
                    </w:rPr>
                  </w:pPr>
                  <w:r>
                    <w:rPr>
                      <w:szCs w:val="21"/>
                    </w:rPr>
                    <w:t>秋</w:t>
                  </w:r>
                </w:p>
              </w:tc>
            </w:tr>
            <w:tr w14:paraId="4E90C970">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6A4B5BDE">
                  <w:pPr>
                    <w:widowControl/>
                    <w:jc w:val="left"/>
                    <w:rPr>
                      <w:kern w:val="0"/>
                      <w:szCs w:val="21"/>
                    </w:rPr>
                  </w:pPr>
                  <w:r>
                    <w:rPr>
                      <w:szCs w:val="21"/>
                    </w:rPr>
                    <w:t>白腹鹞</w:t>
                  </w:r>
                </w:p>
              </w:tc>
              <w:tc>
                <w:tcPr>
                  <w:tcW w:w="2009" w:type="pct"/>
                  <w:tcBorders>
                    <w:top w:val="nil"/>
                    <w:left w:val="nil"/>
                    <w:bottom w:val="nil"/>
                    <w:right w:val="nil"/>
                  </w:tcBorders>
                  <w:shd w:val="clear" w:color="auto" w:fill="auto"/>
                  <w:noWrap/>
                </w:tcPr>
                <w:p w14:paraId="1C13D5AA">
                  <w:pPr>
                    <w:widowControl/>
                    <w:jc w:val="left"/>
                    <w:rPr>
                      <w:i/>
                      <w:iCs/>
                      <w:kern w:val="0"/>
                      <w:szCs w:val="21"/>
                    </w:rPr>
                  </w:pPr>
                  <w:r>
                    <w:rPr>
                      <w:i/>
                      <w:iCs/>
                      <w:szCs w:val="21"/>
                    </w:rPr>
                    <w:t>Circus spilonotus</w:t>
                  </w:r>
                </w:p>
              </w:tc>
              <w:tc>
                <w:tcPr>
                  <w:tcW w:w="942" w:type="pct"/>
                  <w:tcBorders>
                    <w:top w:val="nil"/>
                    <w:left w:val="nil"/>
                    <w:bottom w:val="nil"/>
                    <w:right w:val="nil"/>
                  </w:tcBorders>
                  <w:shd w:val="clear" w:color="auto" w:fill="auto"/>
                  <w:noWrap/>
                </w:tcPr>
                <w:p w14:paraId="7F6B79A2">
                  <w:pPr>
                    <w:widowControl/>
                    <w:jc w:val="left"/>
                    <w:rPr>
                      <w:kern w:val="0"/>
                      <w:szCs w:val="21"/>
                    </w:rPr>
                  </w:pPr>
                  <w:r>
                    <w:rPr>
                      <w:szCs w:val="21"/>
                    </w:rPr>
                    <w:t>国家II级</w:t>
                  </w:r>
                </w:p>
              </w:tc>
              <w:tc>
                <w:tcPr>
                  <w:tcW w:w="942" w:type="pct"/>
                  <w:tcBorders>
                    <w:top w:val="nil"/>
                    <w:left w:val="nil"/>
                    <w:bottom w:val="nil"/>
                    <w:right w:val="nil"/>
                  </w:tcBorders>
                </w:tcPr>
                <w:p w14:paraId="3769B112">
                  <w:pPr>
                    <w:widowControl/>
                    <w:jc w:val="left"/>
                    <w:rPr>
                      <w:szCs w:val="21"/>
                    </w:rPr>
                  </w:pPr>
                  <w:r>
                    <w:rPr>
                      <w:szCs w:val="21"/>
                    </w:rPr>
                    <w:t>秋</w:t>
                  </w:r>
                </w:p>
              </w:tc>
            </w:tr>
            <w:tr w14:paraId="7257BCF7">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64209E4E">
                  <w:pPr>
                    <w:widowControl/>
                    <w:jc w:val="left"/>
                    <w:rPr>
                      <w:kern w:val="0"/>
                      <w:szCs w:val="21"/>
                    </w:rPr>
                  </w:pPr>
                  <w:r>
                    <w:rPr>
                      <w:szCs w:val="21"/>
                    </w:rPr>
                    <w:t>白尾鹞</w:t>
                  </w:r>
                </w:p>
              </w:tc>
              <w:tc>
                <w:tcPr>
                  <w:tcW w:w="2009" w:type="pct"/>
                  <w:tcBorders>
                    <w:top w:val="nil"/>
                    <w:left w:val="nil"/>
                    <w:bottom w:val="nil"/>
                    <w:right w:val="nil"/>
                  </w:tcBorders>
                  <w:shd w:val="clear" w:color="auto" w:fill="auto"/>
                  <w:noWrap/>
                </w:tcPr>
                <w:p w14:paraId="29D9D4BE">
                  <w:pPr>
                    <w:widowControl/>
                    <w:jc w:val="left"/>
                    <w:rPr>
                      <w:i/>
                      <w:iCs/>
                      <w:kern w:val="0"/>
                      <w:szCs w:val="21"/>
                    </w:rPr>
                  </w:pPr>
                  <w:r>
                    <w:rPr>
                      <w:i/>
                      <w:iCs/>
                      <w:szCs w:val="21"/>
                    </w:rPr>
                    <w:t>Circus cyaneus</w:t>
                  </w:r>
                </w:p>
              </w:tc>
              <w:tc>
                <w:tcPr>
                  <w:tcW w:w="942" w:type="pct"/>
                  <w:tcBorders>
                    <w:top w:val="nil"/>
                    <w:left w:val="nil"/>
                    <w:bottom w:val="nil"/>
                    <w:right w:val="nil"/>
                  </w:tcBorders>
                  <w:shd w:val="clear" w:color="auto" w:fill="auto"/>
                  <w:noWrap/>
                </w:tcPr>
                <w:p w14:paraId="49CCFEFA">
                  <w:pPr>
                    <w:widowControl/>
                    <w:jc w:val="left"/>
                    <w:rPr>
                      <w:kern w:val="0"/>
                      <w:szCs w:val="21"/>
                    </w:rPr>
                  </w:pPr>
                  <w:r>
                    <w:rPr>
                      <w:szCs w:val="21"/>
                    </w:rPr>
                    <w:t>国家II级</w:t>
                  </w:r>
                </w:p>
              </w:tc>
              <w:tc>
                <w:tcPr>
                  <w:tcW w:w="942" w:type="pct"/>
                  <w:tcBorders>
                    <w:top w:val="nil"/>
                    <w:left w:val="nil"/>
                    <w:bottom w:val="nil"/>
                    <w:right w:val="nil"/>
                  </w:tcBorders>
                </w:tcPr>
                <w:p w14:paraId="6F418115">
                  <w:pPr>
                    <w:widowControl/>
                    <w:jc w:val="left"/>
                    <w:rPr>
                      <w:szCs w:val="21"/>
                    </w:rPr>
                  </w:pPr>
                  <w:r>
                    <w:rPr>
                      <w:szCs w:val="21"/>
                    </w:rPr>
                    <w:t>秋、冬</w:t>
                  </w:r>
                </w:p>
              </w:tc>
            </w:tr>
            <w:tr w14:paraId="104369DF">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093AF7B1">
                  <w:pPr>
                    <w:widowControl/>
                    <w:jc w:val="left"/>
                    <w:rPr>
                      <w:kern w:val="0"/>
                      <w:szCs w:val="21"/>
                    </w:rPr>
                  </w:pPr>
                  <w:r>
                    <w:rPr>
                      <w:szCs w:val="21"/>
                    </w:rPr>
                    <w:t>大鵟</w:t>
                  </w:r>
                </w:p>
              </w:tc>
              <w:tc>
                <w:tcPr>
                  <w:tcW w:w="2009" w:type="pct"/>
                  <w:tcBorders>
                    <w:top w:val="nil"/>
                    <w:left w:val="nil"/>
                    <w:bottom w:val="nil"/>
                    <w:right w:val="nil"/>
                  </w:tcBorders>
                  <w:shd w:val="clear" w:color="auto" w:fill="auto"/>
                  <w:noWrap/>
                </w:tcPr>
                <w:p w14:paraId="053BFFA6">
                  <w:pPr>
                    <w:widowControl/>
                    <w:jc w:val="left"/>
                    <w:rPr>
                      <w:i/>
                      <w:iCs/>
                      <w:kern w:val="0"/>
                      <w:szCs w:val="21"/>
                    </w:rPr>
                  </w:pPr>
                  <w:r>
                    <w:rPr>
                      <w:i/>
                      <w:iCs/>
                      <w:szCs w:val="21"/>
                    </w:rPr>
                    <w:t>Buteo hemilasius</w:t>
                  </w:r>
                </w:p>
              </w:tc>
              <w:tc>
                <w:tcPr>
                  <w:tcW w:w="942" w:type="pct"/>
                  <w:tcBorders>
                    <w:top w:val="nil"/>
                    <w:left w:val="nil"/>
                    <w:bottom w:val="nil"/>
                    <w:right w:val="nil"/>
                  </w:tcBorders>
                  <w:shd w:val="clear" w:color="auto" w:fill="auto"/>
                  <w:noWrap/>
                </w:tcPr>
                <w:p w14:paraId="162890A6">
                  <w:pPr>
                    <w:widowControl/>
                    <w:jc w:val="left"/>
                    <w:rPr>
                      <w:kern w:val="0"/>
                      <w:szCs w:val="21"/>
                    </w:rPr>
                  </w:pPr>
                  <w:r>
                    <w:rPr>
                      <w:szCs w:val="21"/>
                    </w:rPr>
                    <w:t>国家II级</w:t>
                  </w:r>
                </w:p>
              </w:tc>
              <w:tc>
                <w:tcPr>
                  <w:tcW w:w="942" w:type="pct"/>
                  <w:tcBorders>
                    <w:top w:val="nil"/>
                    <w:left w:val="nil"/>
                    <w:bottom w:val="nil"/>
                    <w:right w:val="nil"/>
                  </w:tcBorders>
                </w:tcPr>
                <w:p w14:paraId="0B8DABE0">
                  <w:pPr>
                    <w:widowControl/>
                    <w:jc w:val="left"/>
                    <w:rPr>
                      <w:szCs w:val="21"/>
                    </w:rPr>
                  </w:pPr>
                  <w:r>
                    <w:rPr>
                      <w:szCs w:val="21"/>
                    </w:rPr>
                    <w:t>春</w:t>
                  </w:r>
                </w:p>
              </w:tc>
            </w:tr>
            <w:tr w14:paraId="62D413E3">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7BAF9922">
                  <w:pPr>
                    <w:widowControl/>
                    <w:jc w:val="left"/>
                    <w:rPr>
                      <w:kern w:val="0"/>
                      <w:szCs w:val="21"/>
                    </w:rPr>
                  </w:pPr>
                  <w:r>
                    <w:rPr>
                      <w:szCs w:val="21"/>
                    </w:rPr>
                    <w:t>普通鵟</w:t>
                  </w:r>
                </w:p>
              </w:tc>
              <w:tc>
                <w:tcPr>
                  <w:tcW w:w="2009" w:type="pct"/>
                  <w:tcBorders>
                    <w:top w:val="nil"/>
                    <w:left w:val="nil"/>
                    <w:bottom w:val="nil"/>
                    <w:right w:val="nil"/>
                  </w:tcBorders>
                  <w:shd w:val="clear" w:color="auto" w:fill="auto"/>
                  <w:noWrap/>
                </w:tcPr>
                <w:p w14:paraId="4B156AA8">
                  <w:pPr>
                    <w:widowControl/>
                    <w:jc w:val="left"/>
                    <w:rPr>
                      <w:i/>
                      <w:iCs/>
                      <w:kern w:val="0"/>
                      <w:szCs w:val="21"/>
                    </w:rPr>
                  </w:pPr>
                  <w:r>
                    <w:rPr>
                      <w:i/>
                      <w:iCs/>
                      <w:szCs w:val="21"/>
                    </w:rPr>
                    <w:t>Buteo buteo</w:t>
                  </w:r>
                </w:p>
              </w:tc>
              <w:tc>
                <w:tcPr>
                  <w:tcW w:w="942" w:type="pct"/>
                  <w:tcBorders>
                    <w:top w:val="nil"/>
                    <w:left w:val="nil"/>
                    <w:bottom w:val="nil"/>
                    <w:right w:val="nil"/>
                  </w:tcBorders>
                  <w:shd w:val="clear" w:color="auto" w:fill="auto"/>
                  <w:noWrap/>
                </w:tcPr>
                <w:p w14:paraId="6DD27766">
                  <w:pPr>
                    <w:widowControl/>
                    <w:jc w:val="left"/>
                    <w:rPr>
                      <w:kern w:val="0"/>
                      <w:szCs w:val="21"/>
                    </w:rPr>
                  </w:pPr>
                  <w:r>
                    <w:rPr>
                      <w:szCs w:val="21"/>
                    </w:rPr>
                    <w:t>国家II级</w:t>
                  </w:r>
                </w:p>
              </w:tc>
              <w:tc>
                <w:tcPr>
                  <w:tcW w:w="942" w:type="pct"/>
                  <w:tcBorders>
                    <w:top w:val="nil"/>
                    <w:left w:val="nil"/>
                    <w:bottom w:val="nil"/>
                    <w:right w:val="nil"/>
                  </w:tcBorders>
                </w:tcPr>
                <w:p w14:paraId="077FD078">
                  <w:pPr>
                    <w:widowControl/>
                    <w:jc w:val="left"/>
                    <w:rPr>
                      <w:szCs w:val="21"/>
                    </w:rPr>
                  </w:pPr>
                  <w:r>
                    <w:rPr>
                      <w:szCs w:val="21"/>
                    </w:rPr>
                    <w:t>春、秋</w:t>
                  </w:r>
                </w:p>
              </w:tc>
            </w:tr>
            <w:tr w14:paraId="28A14C4F">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3DCA0606">
                  <w:pPr>
                    <w:widowControl/>
                    <w:jc w:val="left"/>
                    <w:rPr>
                      <w:kern w:val="0"/>
                      <w:szCs w:val="21"/>
                    </w:rPr>
                  </w:pPr>
                  <w:r>
                    <w:rPr>
                      <w:szCs w:val="21"/>
                    </w:rPr>
                    <w:t>长耳鸮</w:t>
                  </w:r>
                </w:p>
              </w:tc>
              <w:tc>
                <w:tcPr>
                  <w:tcW w:w="2009" w:type="pct"/>
                  <w:tcBorders>
                    <w:top w:val="nil"/>
                    <w:left w:val="nil"/>
                    <w:bottom w:val="nil"/>
                    <w:right w:val="nil"/>
                  </w:tcBorders>
                  <w:shd w:val="clear" w:color="auto" w:fill="auto"/>
                  <w:noWrap/>
                </w:tcPr>
                <w:p w14:paraId="7944CBAE">
                  <w:pPr>
                    <w:widowControl/>
                    <w:jc w:val="left"/>
                    <w:rPr>
                      <w:i/>
                      <w:iCs/>
                      <w:kern w:val="0"/>
                      <w:szCs w:val="21"/>
                    </w:rPr>
                  </w:pPr>
                  <w:r>
                    <w:rPr>
                      <w:i/>
                      <w:iCs/>
                      <w:szCs w:val="21"/>
                    </w:rPr>
                    <w:t>Asio otus</w:t>
                  </w:r>
                </w:p>
              </w:tc>
              <w:tc>
                <w:tcPr>
                  <w:tcW w:w="942" w:type="pct"/>
                  <w:tcBorders>
                    <w:top w:val="nil"/>
                    <w:left w:val="nil"/>
                    <w:bottom w:val="nil"/>
                    <w:right w:val="nil"/>
                  </w:tcBorders>
                  <w:shd w:val="clear" w:color="auto" w:fill="auto"/>
                  <w:noWrap/>
                </w:tcPr>
                <w:p w14:paraId="1743560C">
                  <w:pPr>
                    <w:widowControl/>
                    <w:jc w:val="left"/>
                    <w:rPr>
                      <w:kern w:val="0"/>
                      <w:szCs w:val="21"/>
                    </w:rPr>
                  </w:pPr>
                  <w:r>
                    <w:rPr>
                      <w:szCs w:val="21"/>
                    </w:rPr>
                    <w:t>国家II级</w:t>
                  </w:r>
                </w:p>
              </w:tc>
              <w:tc>
                <w:tcPr>
                  <w:tcW w:w="942" w:type="pct"/>
                  <w:tcBorders>
                    <w:top w:val="nil"/>
                    <w:left w:val="nil"/>
                    <w:bottom w:val="nil"/>
                    <w:right w:val="nil"/>
                  </w:tcBorders>
                </w:tcPr>
                <w:p w14:paraId="5E8ACA23">
                  <w:pPr>
                    <w:widowControl/>
                    <w:jc w:val="left"/>
                    <w:rPr>
                      <w:szCs w:val="21"/>
                    </w:rPr>
                  </w:pPr>
                  <w:r>
                    <w:rPr>
                      <w:szCs w:val="21"/>
                    </w:rPr>
                    <w:t>秋</w:t>
                  </w:r>
                </w:p>
              </w:tc>
            </w:tr>
            <w:tr w14:paraId="02010D61">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69EB41BF">
                  <w:pPr>
                    <w:widowControl/>
                    <w:jc w:val="left"/>
                    <w:rPr>
                      <w:kern w:val="0"/>
                      <w:szCs w:val="21"/>
                    </w:rPr>
                  </w:pPr>
                  <w:r>
                    <w:rPr>
                      <w:szCs w:val="21"/>
                    </w:rPr>
                    <w:t>红隼</w:t>
                  </w:r>
                </w:p>
              </w:tc>
              <w:tc>
                <w:tcPr>
                  <w:tcW w:w="2009" w:type="pct"/>
                  <w:tcBorders>
                    <w:top w:val="nil"/>
                    <w:left w:val="nil"/>
                    <w:bottom w:val="nil"/>
                    <w:right w:val="nil"/>
                  </w:tcBorders>
                  <w:shd w:val="clear" w:color="auto" w:fill="auto"/>
                  <w:noWrap/>
                </w:tcPr>
                <w:p w14:paraId="04BB65E8">
                  <w:pPr>
                    <w:widowControl/>
                    <w:jc w:val="left"/>
                    <w:rPr>
                      <w:i/>
                      <w:iCs/>
                      <w:kern w:val="0"/>
                      <w:szCs w:val="21"/>
                    </w:rPr>
                  </w:pPr>
                  <w:r>
                    <w:rPr>
                      <w:i/>
                      <w:iCs/>
                      <w:szCs w:val="21"/>
                    </w:rPr>
                    <w:t>Falco tinnunculus</w:t>
                  </w:r>
                </w:p>
              </w:tc>
              <w:tc>
                <w:tcPr>
                  <w:tcW w:w="942" w:type="pct"/>
                  <w:tcBorders>
                    <w:top w:val="nil"/>
                    <w:left w:val="nil"/>
                    <w:bottom w:val="nil"/>
                    <w:right w:val="nil"/>
                  </w:tcBorders>
                  <w:shd w:val="clear" w:color="auto" w:fill="auto"/>
                  <w:noWrap/>
                </w:tcPr>
                <w:p w14:paraId="1A6B28EF">
                  <w:pPr>
                    <w:widowControl/>
                    <w:jc w:val="left"/>
                    <w:rPr>
                      <w:kern w:val="0"/>
                      <w:szCs w:val="21"/>
                    </w:rPr>
                  </w:pPr>
                  <w:r>
                    <w:rPr>
                      <w:szCs w:val="21"/>
                    </w:rPr>
                    <w:t>国家II级</w:t>
                  </w:r>
                </w:p>
              </w:tc>
              <w:tc>
                <w:tcPr>
                  <w:tcW w:w="942" w:type="pct"/>
                  <w:tcBorders>
                    <w:top w:val="nil"/>
                    <w:left w:val="nil"/>
                    <w:bottom w:val="nil"/>
                    <w:right w:val="nil"/>
                  </w:tcBorders>
                </w:tcPr>
                <w:p w14:paraId="1586ED85">
                  <w:pPr>
                    <w:widowControl/>
                    <w:jc w:val="left"/>
                    <w:rPr>
                      <w:szCs w:val="21"/>
                    </w:rPr>
                  </w:pPr>
                  <w:r>
                    <w:rPr>
                      <w:szCs w:val="21"/>
                    </w:rPr>
                    <w:t>春、秋</w:t>
                  </w:r>
                </w:p>
              </w:tc>
            </w:tr>
            <w:tr w14:paraId="28F2D660">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2959FB58">
                  <w:pPr>
                    <w:widowControl/>
                    <w:jc w:val="left"/>
                    <w:rPr>
                      <w:kern w:val="0"/>
                      <w:szCs w:val="21"/>
                    </w:rPr>
                  </w:pPr>
                  <w:r>
                    <w:rPr>
                      <w:szCs w:val="21"/>
                    </w:rPr>
                    <w:t>楔尾伯劳</w:t>
                  </w:r>
                </w:p>
              </w:tc>
              <w:tc>
                <w:tcPr>
                  <w:tcW w:w="2009" w:type="pct"/>
                  <w:tcBorders>
                    <w:top w:val="nil"/>
                    <w:left w:val="nil"/>
                    <w:bottom w:val="nil"/>
                    <w:right w:val="nil"/>
                  </w:tcBorders>
                  <w:shd w:val="clear" w:color="auto" w:fill="auto"/>
                  <w:noWrap/>
                </w:tcPr>
                <w:p w14:paraId="05248A39">
                  <w:pPr>
                    <w:widowControl/>
                    <w:jc w:val="left"/>
                    <w:rPr>
                      <w:i/>
                      <w:iCs/>
                      <w:kern w:val="0"/>
                      <w:szCs w:val="21"/>
                    </w:rPr>
                  </w:pPr>
                  <w:r>
                    <w:rPr>
                      <w:i/>
                      <w:iCs/>
                      <w:szCs w:val="21"/>
                    </w:rPr>
                    <w:t>Lanius sphenocercus</w:t>
                  </w:r>
                </w:p>
              </w:tc>
              <w:tc>
                <w:tcPr>
                  <w:tcW w:w="942" w:type="pct"/>
                  <w:tcBorders>
                    <w:top w:val="nil"/>
                    <w:left w:val="nil"/>
                    <w:bottom w:val="nil"/>
                    <w:right w:val="nil"/>
                  </w:tcBorders>
                  <w:shd w:val="clear" w:color="auto" w:fill="auto"/>
                  <w:noWrap/>
                </w:tcPr>
                <w:p w14:paraId="1C0C8BEA">
                  <w:pPr>
                    <w:widowControl/>
                    <w:jc w:val="left"/>
                    <w:rPr>
                      <w:kern w:val="0"/>
                      <w:szCs w:val="21"/>
                    </w:rPr>
                  </w:pPr>
                  <w:r>
                    <w:rPr>
                      <w:szCs w:val="21"/>
                    </w:rPr>
                    <w:t>省级</w:t>
                  </w:r>
                </w:p>
              </w:tc>
              <w:tc>
                <w:tcPr>
                  <w:tcW w:w="942" w:type="pct"/>
                  <w:tcBorders>
                    <w:top w:val="nil"/>
                    <w:left w:val="nil"/>
                    <w:bottom w:val="nil"/>
                    <w:right w:val="nil"/>
                  </w:tcBorders>
                </w:tcPr>
                <w:p w14:paraId="0751207C">
                  <w:pPr>
                    <w:widowControl/>
                    <w:jc w:val="left"/>
                    <w:rPr>
                      <w:szCs w:val="21"/>
                    </w:rPr>
                  </w:pPr>
                  <w:r>
                    <w:rPr>
                      <w:szCs w:val="21"/>
                    </w:rPr>
                    <w:t>春、秋</w:t>
                  </w:r>
                </w:p>
              </w:tc>
            </w:tr>
            <w:tr w14:paraId="56D15D13">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04E9AA96">
                  <w:pPr>
                    <w:widowControl/>
                    <w:jc w:val="left"/>
                    <w:rPr>
                      <w:kern w:val="0"/>
                      <w:szCs w:val="21"/>
                    </w:rPr>
                  </w:pPr>
                  <w:r>
                    <w:rPr>
                      <w:szCs w:val="21"/>
                    </w:rPr>
                    <w:t>喜鹊</w:t>
                  </w:r>
                </w:p>
              </w:tc>
              <w:tc>
                <w:tcPr>
                  <w:tcW w:w="2009" w:type="pct"/>
                  <w:tcBorders>
                    <w:top w:val="nil"/>
                    <w:left w:val="nil"/>
                    <w:bottom w:val="nil"/>
                    <w:right w:val="nil"/>
                  </w:tcBorders>
                  <w:shd w:val="clear" w:color="auto" w:fill="auto"/>
                  <w:noWrap/>
                </w:tcPr>
                <w:p w14:paraId="1DCE3861">
                  <w:pPr>
                    <w:widowControl/>
                    <w:jc w:val="left"/>
                    <w:rPr>
                      <w:i/>
                      <w:iCs/>
                      <w:kern w:val="0"/>
                      <w:szCs w:val="21"/>
                    </w:rPr>
                  </w:pPr>
                  <w:r>
                    <w:rPr>
                      <w:i/>
                      <w:iCs/>
                      <w:szCs w:val="21"/>
                    </w:rPr>
                    <w:t>Pica pica</w:t>
                  </w:r>
                </w:p>
              </w:tc>
              <w:tc>
                <w:tcPr>
                  <w:tcW w:w="942" w:type="pct"/>
                  <w:tcBorders>
                    <w:top w:val="nil"/>
                    <w:left w:val="nil"/>
                    <w:bottom w:val="nil"/>
                    <w:right w:val="nil"/>
                  </w:tcBorders>
                  <w:shd w:val="clear" w:color="auto" w:fill="auto"/>
                  <w:noWrap/>
                </w:tcPr>
                <w:p w14:paraId="7A1A4C0B">
                  <w:pPr>
                    <w:widowControl/>
                    <w:jc w:val="left"/>
                    <w:rPr>
                      <w:kern w:val="0"/>
                      <w:szCs w:val="21"/>
                    </w:rPr>
                  </w:pPr>
                  <w:r>
                    <w:rPr>
                      <w:szCs w:val="21"/>
                    </w:rPr>
                    <w:t>省级</w:t>
                  </w:r>
                </w:p>
              </w:tc>
              <w:tc>
                <w:tcPr>
                  <w:tcW w:w="942" w:type="pct"/>
                  <w:tcBorders>
                    <w:top w:val="nil"/>
                    <w:left w:val="nil"/>
                    <w:bottom w:val="nil"/>
                    <w:right w:val="nil"/>
                  </w:tcBorders>
                </w:tcPr>
                <w:p w14:paraId="3EB386FB">
                  <w:pPr>
                    <w:widowControl/>
                    <w:jc w:val="left"/>
                    <w:rPr>
                      <w:szCs w:val="21"/>
                    </w:rPr>
                  </w:pPr>
                  <w:r>
                    <w:rPr>
                      <w:szCs w:val="21"/>
                    </w:rPr>
                    <w:t>春、秋、冬</w:t>
                  </w:r>
                </w:p>
              </w:tc>
            </w:tr>
            <w:tr w14:paraId="79C48EF5">
              <w:tblPrEx>
                <w:tblCellMar>
                  <w:top w:w="0" w:type="dxa"/>
                  <w:left w:w="108" w:type="dxa"/>
                  <w:bottom w:w="0" w:type="dxa"/>
                  <w:right w:w="108" w:type="dxa"/>
                </w:tblCellMar>
              </w:tblPrEx>
              <w:trPr>
                <w:trHeight w:val="270" w:hRule="atLeast"/>
              </w:trPr>
              <w:tc>
                <w:tcPr>
                  <w:tcW w:w="1106" w:type="pct"/>
                  <w:tcBorders>
                    <w:top w:val="nil"/>
                    <w:left w:val="nil"/>
                    <w:bottom w:val="nil"/>
                    <w:right w:val="nil"/>
                  </w:tcBorders>
                  <w:shd w:val="clear" w:color="auto" w:fill="auto"/>
                  <w:noWrap/>
                </w:tcPr>
                <w:p w14:paraId="4611AFEB">
                  <w:pPr>
                    <w:widowControl/>
                    <w:jc w:val="left"/>
                    <w:rPr>
                      <w:kern w:val="0"/>
                      <w:szCs w:val="21"/>
                    </w:rPr>
                  </w:pPr>
                  <w:r>
                    <w:rPr>
                      <w:szCs w:val="21"/>
                    </w:rPr>
                    <w:t>云雀</w:t>
                  </w:r>
                </w:p>
              </w:tc>
              <w:tc>
                <w:tcPr>
                  <w:tcW w:w="2009" w:type="pct"/>
                  <w:tcBorders>
                    <w:top w:val="nil"/>
                    <w:left w:val="nil"/>
                    <w:bottom w:val="nil"/>
                    <w:right w:val="nil"/>
                  </w:tcBorders>
                  <w:shd w:val="clear" w:color="auto" w:fill="auto"/>
                  <w:noWrap/>
                </w:tcPr>
                <w:p w14:paraId="21CA1BA0">
                  <w:pPr>
                    <w:widowControl/>
                    <w:jc w:val="left"/>
                    <w:rPr>
                      <w:i/>
                      <w:iCs/>
                      <w:kern w:val="0"/>
                      <w:szCs w:val="21"/>
                    </w:rPr>
                  </w:pPr>
                  <w:r>
                    <w:rPr>
                      <w:i/>
                      <w:iCs/>
                      <w:szCs w:val="21"/>
                    </w:rPr>
                    <w:t>Alauda arvensis</w:t>
                  </w:r>
                </w:p>
              </w:tc>
              <w:tc>
                <w:tcPr>
                  <w:tcW w:w="942" w:type="pct"/>
                  <w:tcBorders>
                    <w:top w:val="nil"/>
                    <w:left w:val="nil"/>
                    <w:bottom w:val="nil"/>
                    <w:right w:val="nil"/>
                  </w:tcBorders>
                  <w:shd w:val="clear" w:color="auto" w:fill="auto"/>
                  <w:noWrap/>
                </w:tcPr>
                <w:p w14:paraId="30880064">
                  <w:pPr>
                    <w:widowControl/>
                    <w:jc w:val="left"/>
                    <w:rPr>
                      <w:kern w:val="0"/>
                      <w:szCs w:val="21"/>
                    </w:rPr>
                  </w:pPr>
                  <w:r>
                    <w:rPr>
                      <w:szCs w:val="21"/>
                    </w:rPr>
                    <w:t>国家II级</w:t>
                  </w:r>
                </w:p>
              </w:tc>
              <w:tc>
                <w:tcPr>
                  <w:tcW w:w="942" w:type="pct"/>
                  <w:tcBorders>
                    <w:top w:val="nil"/>
                    <w:left w:val="nil"/>
                    <w:bottom w:val="nil"/>
                    <w:right w:val="nil"/>
                  </w:tcBorders>
                </w:tcPr>
                <w:p w14:paraId="578C6546">
                  <w:pPr>
                    <w:widowControl/>
                    <w:jc w:val="left"/>
                    <w:rPr>
                      <w:szCs w:val="21"/>
                    </w:rPr>
                  </w:pPr>
                  <w:r>
                    <w:rPr>
                      <w:szCs w:val="21"/>
                    </w:rPr>
                    <w:t>秋</w:t>
                  </w:r>
                </w:p>
              </w:tc>
            </w:tr>
            <w:tr w14:paraId="2CF13817">
              <w:tblPrEx>
                <w:tblCellMar>
                  <w:top w:w="0" w:type="dxa"/>
                  <w:left w:w="108" w:type="dxa"/>
                  <w:bottom w:w="0" w:type="dxa"/>
                  <w:right w:w="108" w:type="dxa"/>
                </w:tblCellMar>
              </w:tblPrEx>
              <w:trPr>
                <w:trHeight w:val="270" w:hRule="atLeast"/>
              </w:trPr>
              <w:tc>
                <w:tcPr>
                  <w:tcW w:w="1106" w:type="pct"/>
                  <w:tcBorders>
                    <w:top w:val="nil"/>
                    <w:left w:val="nil"/>
                    <w:bottom w:val="single" w:color="auto" w:sz="4" w:space="0"/>
                    <w:right w:val="nil"/>
                  </w:tcBorders>
                  <w:shd w:val="clear" w:color="auto" w:fill="auto"/>
                  <w:noWrap/>
                </w:tcPr>
                <w:p w14:paraId="6036A661">
                  <w:pPr>
                    <w:widowControl/>
                    <w:jc w:val="left"/>
                    <w:rPr>
                      <w:kern w:val="0"/>
                      <w:szCs w:val="21"/>
                    </w:rPr>
                  </w:pPr>
                  <w:r>
                    <w:rPr>
                      <w:szCs w:val="21"/>
                    </w:rPr>
                    <w:t>白头鹎</w:t>
                  </w:r>
                </w:p>
              </w:tc>
              <w:tc>
                <w:tcPr>
                  <w:tcW w:w="2009" w:type="pct"/>
                  <w:tcBorders>
                    <w:top w:val="nil"/>
                    <w:left w:val="nil"/>
                    <w:bottom w:val="single" w:color="auto" w:sz="4" w:space="0"/>
                    <w:right w:val="nil"/>
                  </w:tcBorders>
                  <w:shd w:val="clear" w:color="auto" w:fill="auto"/>
                  <w:noWrap/>
                </w:tcPr>
                <w:p w14:paraId="2AA61737">
                  <w:pPr>
                    <w:widowControl/>
                    <w:jc w:val="left"/>
                    <w:rPr>
                      <w:i/>
                      <w:iCs/>
                      <w:kern w:val="0"/>
                      <w:szCs w:val="21"/>
                    </w:rPr>
                  </w:pPr>
                  <w:r>
                    <w:rPr>
                      <w:i/>
                      <w:iCs/>
                      <w:szCs w:val="21"/>
                    </w:rPr>
                    <w:t>Pycnonotus sinensis</w:t>
                  </w:r>
                </w:p>
              </w:tc>
              <w:tc>
                <w:tcPr>
                  <w:tcW w:w="942" w:type="pct"/>
                  <w:tcBorders>
                    <w:top w:val="nil"/>
                    <w:left w:val="nil"/>
                    <w:bottom w:val="single" w:color="auto" w:sz="4" w:space="0"/>
                    <w:right w:val="nil"/>
                  </w:tcBorders>
                  <w:shd w:val="clear" w:color="auto" w:fill="auto"/>
                  <w:noWrap/>
                </w:tcPr>
                <w:p w14:paraId="2E2BD7E8">
                  <w:pPr>
                    <w:widowControl/>
                    <w:jc w:val="left"/>
                    <w:rPr>
                      <w:kern w:val="0"/>
                      <w:szCs w:val="21"/>
                    </w:rPr>
                  </w:pPr>
                  <w:r>
                    <w:rPr>
                      <w:szCs w:val="21"/>
                    </w:rPr>
                    <w:t>省级</w:t>
                  </w:r>
                </w:p>
              </w:tc>
              <w:tc>
                <w:tcPr>
                  <w:tcW w:w="942" w:type="pct"/>
                  <w:tcBorders>
                    <w:top w:val="nil"/>
                    <w:left w:val="nil"/>
                    <w:bottom w:val="single" w:color="auto" w:sz="4" w:space="0"/>
                    <w:right w:val="nil"/>
                  </w:tcBorders>
                </w:tcPr>
                <w:p w14:paraId="0101BD85">
                  <w:pPr>
                    <w:widowControl/>
                    <w:jc w:val="left"/>
                    <w:rPr>
                      <w:szCs w:val="21"/>
                    </w:rPr>
                  </w:pPr>
                  <w:r>
                    <w:rPr>
                      <w:szCs w:val="21"/>
                    </w:rPr>
                    <w:t>秋、冬</w:t>
                  </w:r>
                </w:p>
              </w:tc>
            </w:tr>
          </w:tbl>
          <w:p w14:paraId="3B59879D">
            <w:pPr>
              <w:adjustRightInd w:val="0"/>
              <w:snapToGrid w:val="0"/>
              <w:spacing w:before="24" w:after="24" w:line="360" w:lineRule="auto"/>
              <w:jc w:val="center"/>
              <w:rPr>
                <w:sz w:val="24"/>
              </w:rPr>
            </w:pPr>
            <w:r>
              <w:rPr>
                <w:sz w:val="24"/>
              </w:rPr>
              <w:drawing>
                <wp:inline distT="0" distB="0" distL="0" distR="0">
                  <wp:extent cx="2914650" cy="2880360"/>
                  <wp:effectExtent l="0" t="0" r="0" b="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25680" cy="2891261"/>
                          </a:xfrm>
                          <a:prstGeom prst="rect">
                            <a:avLst/>
                          </a:prstGeom>
                          <a:noFill/>
                        </pic:spPr>
                      </pic:pic>
                    </a:graphicData>
                  </a:graphic>
                </wp:inline>
              </w:drawing>
            </w:r>
          </w:p>
          <w:p w14:paraId="3F6E8DB4">
            <w:pPr>
              <w:adjustRightInd w:val="0"/>
              <w:snapToGrid w:val="0"/>
              <w:spacing w:before="24" w:after="24" w:line="360" w:lineRule="auto"/>
              <w:ind w:firstLine="422" w:firstLineChars="200"/>
              <w:jc w:val="center"/>
              <w:rPr>
                <w:b/>
                <w:bCs/>
                <w:szCs w:val="21"/>
              </w:rPr>
            </w:pPr>
            <w:r>
              <w:rPr>
                <w:b/>
                <w:bCs/>
                <w:szCs w:val="21"/>
              </w:rPr>
              <w:t>图</w:t>
            </w:r>
            <w:r>
              <w:rPr>
                <w:rFonts w:hint="eastAsia"/>
                <w:b/>
                <w:bCs/>
                <w:szCs w:val="21"/>
              </w:rPr>
              <w:t xml:space="preserve">3-6    </w:t>
            </w:r>
            <w:r>
              <w:rPr>
                <w:b/>
                <w:bCs/>
                <w:szCs w:val="21"/>
              </w:rPr>
              <w:t>评价区域重点保护鸟类占比</w:t>
            </w:r>
          </w:p>
          <w:p w14:paraId="4ADF9F1E">
            <w:pPr>
              <w:adjustRightInd w:val="0"/>
              <w:snapToGrid w:val="0"/>
              <w:spacing w:line="480" w:lineRule="exact"/>
              <w:ind w:firstLine="480" w:firstLineChars="200"/>
              <w:outlineLvl w:val="3"/>
              <w:rPr>
                <w:sz w:val="24"/>
              </w:rPr>
            </w:pPr>
            <w:r>
              <w:rPr>
                <w:rFonts w:hint="eastAsia"/>
                <w:sz w:val="24"/>
              </w:rPr>
              <w:t>项目区域内重点保护野生动物生境主要分布于</w:t>
            </w:r>
            <w:r>
              <w:rPr>
                <w:sz w:val="24"/>
                <w:lang w:val="zh-CN"/>
              </w:rPr>
              <w:t>曹妃甸湿地和鸟类省级自然保护区</w:t>
            </w:r>
            <w:r>
              <w:rPr>
                <w:rFonts w:hint="eastAsia"/>
                <w:sz w:val="24"/>
              </w:rPr>
              <w:t>和项目周边区域。由于鸟类为飞行动物，生境包括栖息地、觅食地、活动范围、迁徙路线等均分布比较分散。</w:t>
            </w:r>
          </w:p>
          <w:p w14:paraId="587C590A">
            <w:pPr>
              <w:adjustRightInd w:val="0"/>
              <w:snapToGrid w:val="0"/>
              <w:spacing w:line="480" w:lineRule="exact"/>
              <w:ind w:firstLine="480" w:firstLineChars="200"/>
              <w:outlineLvl w:val="3"/>
              <w:rPr>
                <w:b/>
                <w:bCs/>
                <w:sz w:val="24"/>
              </w:rPr>
            </w:pPr>
            <w:r>
              <w:rPr>
                <w:rFonts w:hint="eastAsia"/>
                <w:sz w:val="24"/>
              </w:rPr>
              <w:t>本项目</w:t>
            </w:r>
            <w:r>
              <w:rPr>
                <w:sz w:val="24"/>
              </w:rPr>
              <w:t>风电机组的施工为滚动式，逐个进行，无大面积施工，影响范围较小，因此对鸟类等野生动物</w:t>
            </w:r>
            <w:r>
              <w:rPr>
                <w:rFonts w:hint="eastAsia"/>
                <w:sz w:val="24"/>
              </w:rPr>
              <w:t>生境</w:t>
            </w:r>
            <w:r>
              <w:rPr>
                <w:sz w:val="24"/>
              </w:rPr>
              <w:t>产生的影响较小，且不会明显割裂原有生境。项目</w:t>
            </w:r>
            <w:r>
              <w:rPr>
                <w:rFonts w:hint="eastAsia"/>
                <w:sz w:val="24"/>
              </w:rPr>
              <w:t>运营期</w:t>
            </w:r>
            <w:r>
              <w:rPr>
                <w:sz w:val="24"/>
              </w:rPr>
              <w:t>风电机组占地范围较小，风机分散布置，</w:t>
            </w:r>
            <w:r>
              <w:rPr>
                <w:rFonts w:hint="eastAsia"/>
                <w:sz w:val="24"/>
              </w:rPr>
              <w:t>机组间预留距离可供</w:t>
            </w:r>
            <w:r>
              <w:rPr>
                <w:sz w:val="24"/>
              </w:rPr>
              <w:t>鸟类迁徙</w:t>
            </w:r>
            <w:r>
              <w:rPr>
                <w:rFonts w:hint="eastAsia"/>
                <w:sz w:val="24"/>
              </w:rPr>
              <w:t>飞行，</w:t>
            </w:r>
            <w:r>
              <w:rPr>
                <w:sz w:val="24"/>
              </w:rPr>
              <w:t>且鸟类本身有躲避障碍物的本领，受风机的影响，区内鸟类将飞往附近同类生境，故本项目建设后，不会明显影响项目所在区域鸟类的</w:t>
            </w:r>
            <w:r>
              <w:rPr>
                <w:rFonts w:hint="eastAsia"/>
                <w:sz w:val="24"/>
              </w:rPr>
              <w:t>生存</w:t>
            </w:r>
            <w:r>
              <w:rPr>
                <w:sz w:val="24"/>
              </w:rPr>
              <w:t>环境。</w:t>
            </w:r>
          </w:p>
          <w:p w14:paraId="7A957F69">
            <w:pPr>
              <w:adjustRightInd w:val="0"/>
              <w:snapToGrid w:val="0"/>
              <w:spacing w:line="480" w:lineRule="exact"/>
              <w:ind w:firstLine="482" w:firstLineChars="200"/>
              <w:outlineLvl w:val="3"/>
              <w:rPr>
                <w:b/>
                <w:bCs/>
                <w:sz w:val="24"/>
              </w:rPr>
            </w:pPr>
            <w:r>
              <w:rPr>
                <w:rFonts w:hint="eastAsia"/>
                <w:b/>
                <w:bCs/>
                <w:sz w:val="24"/>
              </w:rPr>
              <w:t>7）</w:t>
            </w:r>
            <w:r>
              <w:rPr>
                <w:b/>
                <w:bCs/>
                <w:sz w:val="24"/>
              </w:rPr>
              <w:t>国际公约和保护协定保护鸟类</w:t>
            </w:r>
          </w:p>
          <w:p w14:paraId="62E69ABD">
            <w:pPr>
              <w:adjustRightInd w:val="0"/>
              <w:snapToGrid w:val="0"/>
              <w:spacing w:line="480" w:lineRule="exact"/>
              <w:ind w:firstLine="480" w:firstLineChars="200"/>
              <w:rPr>
                <w:sz w:val="24"/>
              </w:rPr>
            </w:pPr>
            <w:r>
              <w:rPr>
                <w:rFonts w:hint="eastAsia"/>
                <w:sz w:val="24"/>
              </w:rPr>
              <w:t>在调查记录的鸟类中，有8种被列入CITES附录，其中被列入公约附录Ⅰ的有1种，为东方白鹳，占该区域鸟类物种总数的1.64%。被列入公约附录Ⅱ的有7种，为松雀鹰、白腹鹞、白尾鹞、大鵟、普通鵟、长耳鸮和红隼，占鸟类物种总数的11.48%。有32种被列入中日协定，占调查记录鸟类种数的52.46%，包括鸿雁、豆雁、小天鹅、大天鹅、翘鼻麻鸭、赤麻鸭、罗纹鸭、绿头鸭、针尾鸭、绿翅鸭、鹊鸭、斑头秋沙鸭、普通秋沙鸭、反嘴鹬、凤头麦鸡、鹤鹬、青脚鹬、红嘴鸥、东方白鹳、夜鹭、大白鹭、松雀鹰、白尾鹞、长耳鸮、秃鼻乌鸦、斑鸫、北红尾鸲、燕雀、小鹀、田鹀、苇鹀和芦鹀；有3种被列入中澳协定，占调查记录鸟类种数的4.92%，包括青脚鹬、红嘴巨燕鸥和大白鹭</w:t>
            </w:r>
            <w:r>
              <w:rPr>
                <w:sz w:val="24"/>
              </w:rPr>
              <w:t>。</w:t>
            </w:r>
          </w:p>
          <w:p w14:paraId="70F1B14A">
            <w:pPr>
              <w:adjustRightInd w:val="0"/>
              <w:snapToGrid w:val="0"/>
              <w:spacing w:before="24" w:after="24" w:line="360" w:lineRule="auto"/>
              <w:ind w:firstLine="480" w:firstLineChars="200"/>
              <w:rPr>
                <w:sz w:val="24"/>
              </w:rPr>
            </w:pPr>
            <w:r>
              <w:rPr>
                <w:sz w:val="24"/>
              </w:rPr>
              <w:drawing>
                <wp:inline distT="0" distB="0" distL="0" distR="0">
                  <wp:extent cx="4944110" cy="2572385"/>
                  <wp:effectExtent l="0" t="0" r="0" b="0"/>
                  <wp:docPr id="207273508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35088"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44110" cy="2572385"/>
                          </a:xfrm>
                          <a:prstGeom prst="rect">
                            <a:avLst/>
                          </a:prstGeom>
                          <a:noFill/>
                        </pic:spPr>
                      </pic:pic>
                    </a:graphicData>
                  </a:graphic>
                </wp:inline>
              </w:drawing>
            </w:r>
          </w:p>
          <w:p w14:paraId="0C82C847">
            <w:pPr>
              <w:widowControl/>
              <w:spacing w:line="480" w:lineRule="exact"/>
              <w:jc w:val="center"/>
              <w:rPr>
                <w:b/>
                <w:bCs/>
                <w:szCs w:val="21"/>
              </w:rPr>
            </w:pPr>
            <w:r>
              <w:rPr>
                <w:b/>
                <w:bCs/>
                <w:szCs w:val="21"/>
              </w:rPr>
              <w:t>图</w:t>
            </w:r>
            <w:r>
              <w:rPr>
                <w:rFonts w:hint="eastAsia"/>
                <w:b/>
                <w:bCs/>
                <w:szCs w:val="21"/>
              </w:rPr>
              <w:t xml:space="preserve">3-7  </w:t>
            </w:r>
            <w:r>
              <w:rPr>
                <w:b/>
                <w:bCs/>
                <w:szCs w:val="21"/>
              </w:rPr>
              <w:t xml:space="preserve"> 评价区域国际公约和保护协定保护鸟类</w:t>
            </w:r>
          </w:p>
          <w:p w14:paraId="3019FC4C">
            <w:pPr>
              <w:widowControl/>
              <w:spacing w:line="480" w:lineRule="exact"/>
              <w:jc w:val="center"/>
              <w:rPr>
                <w:kern w:val="0"/>
                <w:szCs w:val="21"/>
              </w:rPr>
            </w:pPr>
            <w:r>
              <w:rPr>
                <w:szCs w:val="21"/>
              </w:rPr>
              <w:t>（左：CITES；右：中日与中澳协定，其中J代表被列入中日协定，O代表被列入中澳协定）</w:t>
            </w:r>
          </w:p>
          <w:p w14:paraId="225D7A1B">
            <w:pPr>
              <w:adjustRightInd w:val="0"/>
              <w:snapToGrid w:val="0"/>
              <w:spacing w:before="24" w:after="24" w:line="360" w:lineRule="auto"/>
              <w:ind w:firstLine="480" w:firstLineChars="200"/>
              <w:rPr>
                <w:sz w:val="24"/>
              </w:rPr>
            </w:pPr>
            <w:bookmarkStart w:id="16" w:name="_Toc170110782"/>
            <w:r>
              <w:rPr>
                <w:sz w:val="24"/>
              </w:rPr>
              <w:t>野外调查部分鸟类记录照片见</w:t>
            </w:r>
            <w:r>
              <w:rPr>
                <w:rFonts w:hint="eastAsia"/>
                <w:sz w:val="24"/>
              </w:rPr>
              <w:t>下表</w:t>
            </w:r>
            <w:bookmarkEnd w:id="16"/>
            <w:r>
              <w:rPr>
                <w:rFonts w:hint="eastAsia"/>
                <w:sz w:val="24"/>
              </w:rPr>
              <w:t>。</w:t>
            </w:r>
          </w:p>
          <w:p w14:paraId="556763C4">
            <w:pPr>
              <w:adjustRightInd w:val="0"/>
              <w:snapToGrid w:val="0"/>
              <w:spacing w:before="24" w:after="24" w:line="360" w:lineRule="auto"/>
              <w:jc w:val="center"/>
              <w:rPr>
                <w:b/>
                <w:bCs/>
                <w:szCs w:val="21"/>
              </w:rPr>
            </w:pPr>
          </w:p>
          <w:p w14:paraId="32D83456">
            <w:pPr>
              <w:adjustRightInd w:val="0"/>
              <w:snapToGrid w:val="0"/>
              <w:spacing w:before="24" w:after="24" w:line="360" w:lineRule="auto"/>
              <w:jc w:val="center"/>
              <w:rPr>
                <w:sz w:val="24"/>
              </w:rPr>
            </w:pPr>
            <w:r>
              <w:rPr>
                <w:rFonts w:hint="eastAsia"/>
                <w:b/>
                <w:bCs/>
                <w:szCs w:val="21"/>
              </w:rPr>
              <w:t>表3</w:t>
            </w:r>
            <w:r>
              <w:rPr>
                <w:b/>
                <w:bCs/>
                <w:szCs w:val="21"/>
              </w:rPr>
              <w:t>-</w:t>
            </w:r>
            <w:r>
              <w:rPr>
                <w:rFonts w:hint="eastAsia"/>
                <w:b/>
                <w:bCs/>
                <w:szCs w:val="21"/>
              </w:rPr>
              <w:t>3</w:t>
            </w:r>
            <w:r>
              <w:rPr>
                <w:b/>
                <w:bCs/>
                <w:szCs w:val="21"/>
              </w:rPr>
              <w:t xml:space="preserve">  野外调查鸟类记录照片</w:t>
            </w:r>
          </w:p>
          <w:tbl>
            <w:tblPr>
              <w:tblStyle w:val="33"/>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9"/>
              <w:gridCol w:w="3968"/>
            </w:tblGrid>
            <w:tr w14:paraId="0F33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10830837">
                  <w:pPr>
                    <w:adjustRightInd w:val="0"/>
                    <w:snapToGrid w:val="0"/>
                    <w:spacing w:before="24" w:after="24" w:line="360" w:lineRule="auto"/>
                    <w:jc w:val="center"/>
                    <w:rPr>
                      <w:sz w:val="24"/>
                    </w:rPr>
                  </w:pPr>
                  <w:r>
                    <w:drawing>
                      <wp:inline distT="0" distB="0" distL="0" distR="0">
                        <wp:extent cx="2591435" cy="1727835"/>
                        <wp:effectExtent l="0" t="0" r="18415" b="5715"/>
                        <wp:docPr id="1462199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99525"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12705" cy="1742328"/>
                                </a:xfrm>
                                <a:prstGeom prst="rect">
                                  <a:avLst/>
                                </a:prstGeom>
                                <a:noFill/>
                                <a:ln>
                                  <a:noFill/>
                                </a:ln>
                              </pic:spPr>
                            </pic:pic>
                          </a:graphicData>
                        </a:graphic>
                      </wp:inline>
                    </w:drawing>
                  </w:r>
                </w:p>
              </w:tc>
              <w:tc>
                <w:tcPr>
                  <w:tcW w:w="4148" w:type="dxa"/>
                </w:tcPr>
                <w:p w14:paraId="159AD00B">
                  <w:pPr>
                    <w:adjustRightInd w:val="0"/>
                    <w:snapToGrid w:val="0"/>
                    <w:spacing w:before="24" w:after="24" w:line="360" w:lineRule="auto"/>
                    <w:jc w:val="center"/>
                    <w:rPr>
                      <w:sz w:val="24"/>
                    </w:rPr>
                  </w:pPr>
                  <w:r>
                    <w:drawing>
                      <wp:inline distT="0" distB="0" distL="0" distR="0">
                        <wp:extent cx="2579370" cy="1720215"/>
                        <wp:effectExtent l="0" t="0" r="11430" b="13335"/>
                        <wp:docPr id="539468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68125"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03885" cy="1736446"/>
                                </a:xfrm>
                                <a:prstGeom prst="rect">
                                  <a:avLst/>
                                </a:prstGeom>
                                <a:noFill/>
                                <a:ln>
                                  <a:noFill/>
                                </a:ln>
                              </pic:spPr>
                            </pic:pic>
                          </a:graphicData>
                        </a:graphic>
                      </wp:inline>
                    </w:drawing>
                  </w:r>
                </w:p>
              </w:tc>
            </w:tr>
            <w:tr w14:paraId="0937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473E676B">
                  <w:pPr>
                    <w:adjustRightInd w:val="0"/>
                    <w:snapToGrid w:val="0"/>
                    <w:spacing w:before="24" w:after="24" w:line="360" w:lineRule="auto"/>
                    <w:jc w:val="center"/>
                    <w:rPr>
                      <w:sz w:val="24"/>
                    </w:rPr>
                  </w:pPr>
                  <w:r>
                    <w:rPr>
                      <w:rFonts w:hint="eastAsia"/>
                      <w:sz w:val="24"/>
                    </w:rPr>
                    <w:t>北红尾鸲</w:t>
                  </w:r>
                </w:p>
              </w:tc>
              <w:tc>
                <w:tcPr>
                  <w:tcW w:w="4148" w:type="dxa"/>
                </w:tcPr>
                <w:p w14:paraId="479B616A">
                  <w:pPr>
                    <w:adjustRightInd w:val="0"/>
                    <w:snapToGrid w:val="0"/>
                    <w:spacing w:before="24" w:after="24" w:line="360" w:lineRule="auto"/>
                    <w:jc w:val="center"/>
                    <w:rPr>
                      <w:sz w:val="24"/>
                    </w:rPr>
                  </w:pPr>
                  <w:r>
                    <w:rPr>
                      <w:rFonts w:hint="eastAsia"/>
                      <w:sz w:val="24"/>
                    </w:rPr>
                    <w:t>赤麻鸭</w:t>
                  </w:r>
                </w:p>
              </w:tc>
            </w:tr>
            <w:tr w14:paraId="466F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1FB91E5F">
                  <w:pPr>
                    <w:adjustRightInd w:val="0"/>
                    <w:snapToGrid w:val="0"/>
                    <w:spacing w:before="24" w:after="24" w:line="360" w:lineRule="auto"/>
                    <w:jc w:val="center"/>
                    <w:rPr>
                      <w:sz w:val="24"/>
                    </w:rPr>
                  </w:pPr>
                  <w:r>
                    <w:drawing>
                      <wp:inline distT="0" distB="0" distL="0" distR="0">
                        <wp:extent cx="2662555" cy="1775460"/>
                        <wp:effectExtent l="0" t="0" r="4445" b="15240"/>
                        <wp:docPr id="551081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81361"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78258" cy="1786043"/>
                                </a:xfrm>
                                <a:prstGeom prst="rect">
                                  <a:avLst/>
                                </a:prstGeom>
                                <a:noFill/>
                                <a:ln>
                                  <a:noFill/>
                                </a:ln>
                              </pic:spPr>
                            </pic:pic>
                          </a:graphicData>
                        </a:graphic>
                      </wp:inline>
                    </w:drawing>
                  </w:r>
                </w:p>
              </w:tc>
              <w:tc>
                <w:tcPr>
                  <w:tcW w:w="4148" w:type="dxa"/>
                </w:tcPr>
                <w:p w14:paraId="284A8319">
                  <w:pPr>
                    <w:adjustRightInd w:val="0"/>
                    <w:snapToGrid w:val="0"/>
                    <w:spacing w:before="24" w:after="24" w:line="360" w:lineRule="auto"/>
                    <w:jc w:val="center"/>
                    <w:rPr>
                      <w:sz w:val="24"/>
                    </w:rPr>
                  </w:pPr>
                  <w:r>
                    <w:drawing>
                      <wp:inline distT="0" distB="0" distL="0" distR="0">
                        <wp:extent cx="2611755" cy="1775460"/>
                        <wp:effectExtent l="0" t="0" r="17145" b="15240"/>
                        <wp:docPr id="8879228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22875"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21392" cy="1782011"/>
                                </a:xfrm>
                                <a:prstGeom prst="rect">
                                  <a:avLst/>
                                </a:prstGeom>
                                <a:noFill/>
                                <a:ln>
                                  <a:noFill/>
                                </a:ln>
                              </pic:spPr>
                            </pic:pic>
                          </a:graphicData>
                        </a:graphic>
                      </wp:inline>
                    </w:drawing>
                  </w:r>
                </w:p>
              </w:tc>
            </w:tr>
            <w:tr w14:paraId="470E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7DD0D774">
                  <w:pPr>
                    <w:adjustRightInd w:val="0"/>
                    <w:snapToGrid w:val="0"/>
                    <w:spacing w:before="24" w:after="24" w:line="360" w:lineRule="auto"/>
                    <w:jc w:val="center"/>
                    <w:rPr>
                      <w:sz w:val="24"/>
                    </w:rPr>
                  </w:pPr>
                  <w:r>
                    <w:rPr>
                      <w:rFonts w:hint="eastAsia"/>
                      <w:sz w:val="24"/>
                    </w:rPr>
                    <w:t>达乌里寒鸦</w:t>
                  </w:r>
                </w:p>
              </w:tc>
              <w:tc>
                <w:tcPr>
                  <w:tcW w:w="4148" w:type="dxa"/>
                </w:tcPr>
                <w:p w14:paraId="4D912290">
                  <w:pPr>
                    <w:adjustRightInd w:val="0"/>
                    <w:snapToGrid w:val="0"/>
                    <w:spacing w:before="24" w:after="24" w:line="360" w:lineRule="auto"/>
                    <w:jc w:val="center"/>
                    <w:rPr>
                      <w:sz w:val="24"/>
                    </w:rPr>
                  </w:pPr>
                  <w:r>
                    <w:rPr>
                      <w:rFonts w:hint="eastAsia"/>
                      <w:sz w:val="24"/>
                    </w:rPr>
                    <w:t>达乌里寒鸦及秃鼻乌鸦</w:t>
                  </w:r>
                </w:p>
              </w:tc>
            </w:tr>
            <w:tr w14:paraId="7DD5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5673B14B">
                  <w:pPr>
                    <w:adjustRightInd w:val="0"/>
                    <w:snapToGrid w:val="0"/>
                    <w:spacing w:before="24" w:after="24" w:line="360" w:lineRule="auto"/>
                    <w:jc w:val="center"/>
                    <w:rPr>
                      <w:sz w:val="24"/>
                    </w:rPr>
                  </w:pPr>
                  <w:r>
                    <w:drawing>
                      <wp:inline distT="0" distB="0" distL="0" distR="0">
                        <wp:extent cx="2614930" cy="1743710"/>
                        <wp:effectExtent l="0" t="0" r="13970" b="8890"/>
                        <wp:docPr id="16469349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34983"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29212" cy="1753335"/>
                                </a:xfrm>
                                <a:prstGeom prst="rect">
                                  <a:avLst/>
                                </a:prstGeom>
                                <a:noFill/>
                                <a:ln>
                                  <a:noFill/>
                                </a:ln>
                              </pic:spPr>
                            </pic:pic>
                          </a:graphicData>
                        </a:graphic>
                      </wp:inline>
                    </w:drawing>
                  </w:r>
                </w:p>
              </w:tc>
              <w:tc>
                <w:tcPr>
                  <w:tcW w:w="4148" w:type="dxa"/>
                </w:tcPr>
                <w:p w14:paraId="0C9EC8A1">
                  <w:pPr>
                    <w:adjustRightInd w:val="0"/>
                    <w:snapToGrid w:val="0"/>
                    <w:spacing w:before="24" w:after="24" w:line="360" w:lineRule="auto"/>
                    <w:jc w:val="center"/>
                    <w:rPr>
                      <w:sz w:val="24"/>
                    </w:rPr>
                  </w:pPr>
                  <w:r>
                    <w:drawing>
                      <wp:inline distT="0" distB="0" distL="0" distR="0">
                        <wp:extent cx="2602230" cy="1743710"/>
                        <wp:effectExtent l="0" t="0" r="7620" b="8890"/>
                        <wp:docPr id="16649302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3024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26590" cy="1760033"/>
                                </a:xfrm>
                                <a:prstGeom prst="rect">
                                  <a:avLst/>
                                </a:prstGeom>
                                <a:noFill/>
                                <a:ln>
                                  <a:noFill/>
                                </a:ln>
                              </pic:spPr>
                            </pic:pic>
                          </a:graphicData>
                        </a:graphic>
                      </wp:inline>
                    </w:drawing>
                  </w:r>
                </w:p>
              </w:tc>
            </w:tr>
            <w:tr w14:paraId="6E33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31C4988B">
                  <w:pPr>
                    <w:adjustRightInd w:val="0"/>
                    <w:snapToGrid w:val="0"/>
                    <w:spacing w:before="24" w:after="24" w:line="360" w:lineRule="auto"/>
                    <w:jc w:val="center"/>
                    <w:rPr>
                      <w:sz w:val="24"/>
                    </w:rPr>
                  </w:pPr>
                  <w:r>
                    <w:rPr>
                      <w:rFonts w:hint="eastAsia"/>
                      <w:sz w:val="24"/>
                    </w:rPr>
                    <w:t>大鵟</w:t>
                  </w:r>
                </w:p>
              </w:tc>
              <w:tc>
                <w:tcPr>
                  <w:tcW w:w="4148" w:type="dxa"/>
                </w:tcPr>
                <w:p w14:paraId="67CDA0F8">
                  <w:pPr>
                    <w:adjustRightInd w:val="0"/>
                    <w:snapToGrid w:val="0"/>
                    <w:spacing w:before="24" w:after="24" w:line="360" w:lineRule="auto"/>
                    <w:jc w:val="center"/>
                    <w:rPr>
                      <w:sz w:val="24"/>
                    </w:rPr>
                  </w:pPr>
                  <w:r>
                    <w:rPr>
                      <w:rFonts w:hint="eastAsia"/>
                      <w:sz w:val="24"/>
                    </w:rPr>
                    <w:t>戴胜</w:t>
                  </w:r>
                </w:p>
              </w:tc>
            </w:tr>
            <w:tr w14:paraId="108D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68680F4A">
                  <w:pPr>
                    <w:adjustRightInd w:val="0"/>
                    <w:snapToGrid w:val="0"/>
                    <w:spacing w:before="24" w:after="24" w:line="360" w:lineRule="auto"/>
                    <w:jc w:val="center"/>
                    <w:rPr>
                      <w:sz w:val="24"/>
                    </w:rPr>
                  </w:pPr>
                  <w:r>
                    <w:drawing>
                      <wp:inline distT="0" distB="0" distL="0" distR="0">
                        <wp:extent cx="2614295" cy="1735455"/>
                        <wp:effectExtent l="0" t="0" r="14605" b="17145"/>
                        <wp:docPr id="1257387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8774"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34157" cy="1748316"/>
                                </a:xfrm>
                                <a:prstGeom prst="rect">
                                  <a:avLst/>
                                </a:prstGeom>
                                <a:noFill/>
                                <a:ln>
                                  <a:noFill/>
                                </a:ln>
                              </pic:spPr>
                            </pic:pic>
                          </a:graphicData>
                        </a:graphic>
                      </wp:inline>
                    </w:drawing>
                  </w:r>
                </w:p>
              </w:tc>
              <w:tc>
                <w:tcPr>
                  <w:tcW w:w="4148" w:type="dxa"/>
                </w:tcPr>
                <w:p w14:paraId="6EF10AAD">
                  <w:pPr>
                    <w:adjustRightInd w:val="0"/>
                    <w:snapToGrid w:val="0"/>
                    <w:spacing w:before="24" w:after="24" w:line="360" w:lineRule="auto"/>
                    <w:jc w:val="center"/>
                    <w:rPr>
                      <w:sz w:val="24"/>
                    </w:rPr>
                  </w:pPr>
                  <w:r>
                    <w:drawing>
                      <wp:inline distT="0" distB="0" distL="0" distR="0">
                        <wp:extent cx="2602230" cy="1735455"/>
                        <wp:effectExtent l="0" t="0" r="7620" b="17145"/>
                        <wp:docPr id="12935206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0636"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13312" cy="1742732"/>
                                </a:xfrm>
                                <a:prstGeom prst="rect">
                                  <a:avLst/>
                                </a:prstGeom>
                                <a:noFill/>
                                <a:ln>
                                  <a:noFill/>
                                </a:ln>
                              </pic:spPr>
                            </pic:pic>
                          </a:graphicData>
                        </a:graphic>
                      </wp:inline>
                    </w:drawing>
                  </w:r>
                </w:p>
              </w:tc>
            </w:tr>
            <w:tr w14:paraId="29DF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5DEAFF3C">
                  <w:pPr>
                    <w:adjustRightInd w:val="0"/>
                    <w:snapToGrid w:val="0"/>
                    <w:spacing w:before="24" w:after="24" w:line="360" w:lineRule="auto"/>
                    <w:jc w:val="center"/>
                    <w:rPr>
                      <w:sz w:val="24"/>
                    </w:rPr>
                  </w:pPr>
                  <w:r>
                    <w:rPr>
                      <w:rFonts w:hint="eastAsia"/>
                      <w:sz w:val="24"/>
                    </w:rPr>
                    <w:t>东方白鹳</w:t>
                  </w:r>
                </w:p>
              </w:tc>
              <w:tc>
                <w:tcPr>
                  <w:tcW w:w="4148" w:type="dxa"/>
                </w:tcPr>
                <w:p w14:paraId="061463AC">
                  <w:pPr>
                    <w:adjustRightInd w:val="0"/>
                    <w:snapToGrid w:val="0"/>
                    <w:spacing w:before="24" w:after="24" w:line="360" w:lineRule="auto"/>
                    <w:jc w:val="center"/>
                    <w:rPr>
                      <w:sz w:val="24"/>
                    </w:rPr>
                  </w:pPr>
                  <w:r>
                    <w:rPr>
                      <w:rFonts w:hint="eastAsia"/>
                      <w:sz w:val="24"/>
                    </w:rPr>
                    <w:t>豆雁</w:t>
                  </w:r>
                </w:p>
              </w:tc>
            </w:tr>
            <w:tr w14:paraId="24E0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51F7B61C">
                  <w:pPr>
                    <w:adjustRightInd w:val="0"/>
                    <w:snapToGrid w:val="0"/>
                    <w:spacing w:before="24" w:after="24" w:line="360" w:lineRule="auto"/>
                    <w:jc w:val="center"/>
                    <w:rPr>
                      <w:sz w:val="24"/>
                    </w:rPr>
                  </w:pPr>
                  <w:r>
                    <w:drawing>
                      <wp:inline distT="0" distB="0" distL="0" distR="0">
                        <wp:extent cx="2662555" cy="1775460"/>
                        <wp:effectExtent l="0" t="0" r="4445" b="15240"/>
                        <wp:docPr id="11471645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459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69963" cy="1780511"/>
                                </a:xfrm>
                                <a:prstGeom prst="rect">
                                  <a:avLst/>
                                </a:prstGeom>
                                <a:noFill/>
                                <a:ln>
                                  <a:noFill/>
                                </a:ln>
                              </pic:spPr>
                            </pic:pic>
                          </a:graphicData>
                        </a:graphic>
                      </wp:inline>
                    </w:drawing>
                  </w:r>
                </w:p>
              </w:tc>
              <w:tc>
                <w:tcPr>
                  <w:tcW w:w="4148" w:type="dxa"/>
                </w:tcPr>
                <w:p w14:paraId="242F76B8">
                  <w:pPr>
                    <w:adjustRightInd w:val="0"/>
                    <w:snapToGrid w:val="0"/>
                    <w:spacing w:before="24" w:after="24" w:line="360" w:lineRule="auto"/>
                    <w:jc w:val="center"/>
                    <w:rPr>
                      <w:sz w:val="24"/>
                    </w:rPr>
                  </w:pPr>
                  <w:r>
                    <w:drawing>
                      <wp:inline distT="0" distB="0" distL="0" distR="0">
                        <wp:extent cx="2611755" cy="1775460"/>
                        <wp:effectExtent l="0" t="0" r="17145" b="15240"/>
                        <wp:docPr id="4376032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03289"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15514" cy="1778015"/>
                                </a:xfrm>
                                <a:prstGeom prst="rect">
                                  <a:avLst/>
                                </a:prstGeom>
                                <a:noFill/>
                                <a:ln>
                                  <a:noFill/>
                                </a:ln>
                              </pic:spPr>
                            </pic:pic>
                          </a:graphicData>
                        </a:graphic>
                      </wp:inline>
                    </w:drawing>
                  </w:r>
                </w:p>
              </w:tc>
            </w:tr>
            <w:tr w14:paraId="71FD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45EB42EF">
                  <w:pPr>
                    <w:adjustRightInd w:val="0"/>
                    <w:snapToGrid w:val="0"/>
                    <w:spacing w:before="24" w:after="24" w:line="360" w:lineRule="auto"/>
                    <w:jc w:val="center"/>
                    <w:rPr>
                      <w:sz w:val="24"/>
                    </w:rPr>
                  </w:pPr>
                  <w:r>
                    <w:rPr>
                      <w:rFonts w:hint="eastAsia"/>
                      <w:sz w:val="24"/>
                    </w:rPr>
                    <w:t>红隼</w:t>
                  </w:r>
                </w:p>
              </w:tc>
              <w:tc>
                <w:tcPr>
                  <w:tcW w:w="4148" w:type="dxa"/>
                </w:tcPr>
                <w:p w14:paraId="653453E5">
                  <w:pPr>
                    <w:adjustRightInd w:val="0"/>
                    <w:snapToGrid w:val="0"/>
                    <w:spacing w:before="24" w:after="24" w:line="360" w:lineRule="auto"/>
                    <w:jc w:val="center"/>
                    <w:rPr>
                      <w:sz w:val="24"/>
                    </w:rPr>
                  </w:pPr>
                  <w:r>
                    <w:rPr>
                      <w:rFonts w:hint="eastAsia"/>
                      <w:sz w:val="24"/>
                    </w:rPr>
                    <w:t>小天鹅</w:t>
                  </w:r>
                </w:p>
              </w:tc>
            </w:tr>
            <w:tr w14:paraId="55F5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4F3D3913">
                  <w:pPr>
                    <w:adjustRightInd w:val="0"/>
                    <w:snapToGrid w:val="0"/>
                    <w:spacing w:before="24" w:after="24" w:line="360" w:lineRule="auto"/>
                    <w:jc w:val="center"/>
                    <w:rPr>
                      <w:sz w:val="24"/>
                    </w:rPr>
                  </w:pPr>
                  <w:r>
                    <w:drawing>
                      <wp:inline distT="0" distB="0" distL="0" distR="0">
                        <wp:extent cx="2626995" cy="1751965"/>
                        <wp:effectExtent l="0" t="0" r="1905" b="635"/>
                        <wp:docPr id="8167949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498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35929" cy="1757815"/>
                                </a:xfrm>
                                <a:prstGeom prst="rect">
                                  <a:avLst/>
                                </a:prstGeom>
                                <a:noFill/>
                                <a:ln>
                                  <a:noFill/>
                                </a:ln>
                              </pic:spPr>
                            </pic:pic>
                          </a:graphicData>
                        </a:graphic>
                      </wp:inline>
                    </w:drawing>
                  </w:r>
                </w:p>
              </w:tc>
              <w:tc>
                <w:tcPr>
                  <w:tcW w:w="4148" w:type="dxa"/>
                </w:tcPr>
                <w:p w14:paraId="55328FFE">
                  <w:pPr>
                    <w:adjustRightInd w:val="0"/>
                    <w:snapToGrid w:val="0"/>
                    <w:spacing w:before="24" w:after="24" w:line="360" w:lineRule="auto"/>
                    <w:jc w:val="center"/>
                    <w:rPr>
                      <w:sz w:val="24"/>
                    </w:rPr>
                  </w:pPr>
                  <w:r>
                    <w:drawing>
                      <wp:inline distT="0" distB="0" distL="0" distR="0">
                        <wp:extent cx="2594610" cy="1729740"/>
                        <wp:effectExtent l="0" t="0" r="15240" b="3810"/>
                        <wp:docPr id="1590405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059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06183" cy="1737979"/>
                                </a:xfrm>
                                <a:prstGeom prst="rect">
                                  <a:avLst/>
                                </a:prstGeom>
                                <a:noFill/>
                                <a:ln>
                                  <a:noFill/>
                                </a:ln>
                              </pic:spPr>
                            </pic:pic>
                          </a:graphicData>
                        </a:graphic>
                      </wp:inline>
                    </w:drawing>
                  </w:r>
                </w:p>
              </w:tc>
            </w:tr>
            <w:tr w14:paraId="7528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1CBB38DC">
                  <w:pPr>
                    <w:adjustRightInd w:val="0"/>
                    <w:snapToGrid w:val="0"/>
                    <w:spacing w:before="24" w:after="24" w:line="360" w:lineRule="auto"/>
                    <w:jc w:val="center"/>
                    <w:rPr>
                      <w:sz w:val="24"/>
                    </w:rPr>
                  </w:pPr>
                  <w:r>
                    <w:rPr>
                      <w:rFonts w:hint="eastAsia"/>
                      <w:sz w:val="24"/>
                    </w:rPr>
                    <w:t>秃鼻乌鸦与小嘴乌鸦</w:t>
                  </w:r>
                </w:p>
              </w:tc>
              <w:tc>
                <w:tcPr>
                  <w:tcW w:w="4148" w:type="dxa"/>
                </w:tcPr>
                <w:p w14:paraId="6EB28286">
                  <w:pPr>
                    <w:adjustRightInd w:val="0"/>
                    <w:snapToGrid w:val="0"/>
                    <w:spacing w:before="24" w:after="24" w:line="360" w:lineRule="auto"/>
                    <w:jc w:val="center"/>
                    <w:rPr>
                      <w:sz w:val="24"/>
                    </w:rPr>
                  </w:pPr>
                  <w:r>
                    <w:rPr>
                      <w:rFonts w:hint="eastAsia"/>
                      <w:sz w:val="24"/>
                    </w:rPr>
                    <w:t>西伯利亚银鸥</w:t>
                  </w:r>
                </w:p>
              </w:tc>
            </w:tr>
            <w:tr w14:paraId="1035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11710146">
                  <w:pPr>
                    <w:adjustRightInd w:val="0"/>
                    <w:snapToGrid w:val="0"/>
                    <w:spacing w:before="24" w:after="24" w:line="360" w:lineRule="auto"/>
                    <w:jc w:val="center"/>
                    <w:rPr>
                      <w:sz w:val="24"/>
                    </w:rPr>
                  </w:pPr>
                  <w:r>
                    <w:drawing>
                      <wp:inline distT="0" distB="0" distL="0" distR="0">
                        <wp:extent cx="2722245" cy="1815465"/>
                        <wp:effectExtent l="0" t="0" r="1905" b="13335"/>
                        <wp:docPr id="12985074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7443"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29581" cy="1820269"/>
                                </a:xfrm>
                                <a:prstGeom prst="rect">
                                  <a:avLst/>
                                </a:prstGeom>
                                <a:noFill/>
                                <a:ln>
                                  <a:noFill/>
                                </a:ln>
                              </pic:spPr>
                            </pic:pic>
                          </a:graphicData>
                        </a:graphic>
                      </wp:inline>
                    </w:drawing>
                  </w:r>
                </w:p>
              </w:tc>
              <w:tc>
                <w:tcPr>
                  <w:tcW w:w="4148" w:type="dxa"/>
                </w:tcPr>
                <w:p w14:paraId="29E1D1AB">
                  <w:pPr>
                    <w:adjustRightInd w:val="0"/>
                    <w:snapToGrid w:val="0"/>
                    <w:spacing w:before="24" w:after="24" w:line="360" w:lineRule="auto"/>
                    <w:jc w:val="center"/>
                    <w:rPr>
                      <w:sz w:val="24"/>
                    </w:rPr>
                  </w:pPr>
                  <w:r>
                    <w:drawing>
                      <wp:inline distT="0" distB="0" distL="0" distR="0">
                        <wp:extent cx="2569845" cy="1815465"/>
                        <wp:effectExtent l="0" t="0" r="1905" b="13335"/>
                        <wp:docPr id="215580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8082"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78654" cy="1821561"/>
                                </a:xfrm>
                                <a:prstGeom prst="rect">
                                  <a:avLst/>
                                </a:prstGeom>
                                <a:noFill/>
                                <a:ln>
                                  <a:noFill/>
                                </a:ln>
                              </pic:spPr>
                            </pic:pic>
                          </a:graphicData>
                        </a:graphic>
                      </wp:inline>
                    </w:drawing>
                  </w:r>
                </w:p>
              </w:tc>
            </w:tr>
            <w:tr w14:paraId="469B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148" w:type="dxa"/>
                </w:tcPr>
                <w:p w14:paraId="53B4A028">
                  <w:pPr>
                    <w:adjustRightInd w:val="0"/>
                    <w:snapToGrid w:val="0"/>
                    <w:spacing w:before="24" w:after="24" w:line="360" w:lineRule="auto"/>
                    <w:jc w:val="center"/>
                    <w:rPr>
                      <w:sz w:val="24"/>
                    </w:rPr>
                  </w:pPr>
                  <w:r>
                    <w:rPr>
                      <w:rFonts w:hint="eastAsia"/>
                      <w:sz w:val="24"/>
                    </w:rPr>
                    <w:t>长嘴剑鸻</w:t>
                  </w:r>
                </w:p>
              </w:tc>
              <w:tc>
                <w:tcPr>
                  <w:tcW w:w="4148" w:type="dxa"/>
                </w:tcPr>
                <w:p w14:paraId="3A506261">
                  <w:pPr>
                    <w:adjustRightInd w:val="0"/>
                    <w:snapToGrid w:val="0"/>
                    <w:spacing w:before="24" w:after="24" w:line="360" w:lineRule="auto"/>
                    <w:jc w:val="center"/>
                    <w:rPr>
                      <w:sz w:val="24"/>
                    </w:rPr>
                  </w:pPr>
                  <w:r>
                    <w:rPr>
                      <w:rFonts w:hint="eastAsia"/>
                      <w:sz w:val="24"/>
                    </w:rPr>
                    <w:t>棕背伯劳</w:t>
                  </w:r>
                </w:p>
              </w:tc>
            </w:tr>
          </w:tbl>
          <w:p w14:paraId="41195DD7">
            <w:pPr>
              <w:widowControl/>
              <w:spacing w:line="480" w:lineRule="exact"/>
              <w:ind w:firstLine="482" w:firstLineChars="200"/>
              <w:jc w:val="left"/>
              <w:rPr>
                <w:b/>
                <w:bCs/>
                <w:kern w:val="0"/>
                <w:sz w:val="24"/>
              </w:rPr>
            </w:pPr>
            <w:r>
              <w:rPr>
                <w:rFonts w:hint="eastAsia"/>
                <w:b/>
                <w:bCs/>
                <w:kern w:val="0"/>
                <w:sz w:val="24"/>
              </w:rPr>
              <w:t>3.5.3</w:t>
            </w:r>
            <w:r>
              <w:rPr>
                <w:b/>
                <w:bCs/>
                <w:kern w:val="0"/>
                <w:sz w:val="24"/>
              </w:rPr>
              <w:t>水生动物</w:t>
            </w:r>
          </w:p>
          <w:p w14:paraId="3A335C3F">
            <w:pPr>
              <w:widowControl/>
              <w:spacing w:line="480" w:lineRule="exact"/>
              <w:ind w:firstLine="480" w:firstLineChars="200"/>
              <w:jc w:val="left"/>
              <w:rPr>
                <w:kern w:val="0"/>
                <w:sz w:val="24"/>
              </w:rPr>
            </w:pPr>
            <w:r>
              <w:rPr>
                <w:kern w:val="0"/>
                <w:sz w:val="24"/>
              </w:rPr>
              <w:t>本项目</w:t>
            </w:r>
            <w:r>
              <w:rPr>
                <w:rFonts w:hint="eastAsia"/>
                <w:kern w:val="0"/>
                <w:sz w:val="24"/>
              </w:rPr>
              <w:t>为</w:t>
            </w:r>
            <w:r>
              <w:rPr>
                <w:kern w:val="0"/>
                <w:sz w:val="24"/>
              </w:rPr>
              <w:t>陆地风电场</w:t>
            </w:r>
            <w:r>
              <w:rPr>
                <w:rFonts w:hint="eastAsia"/>
                <w:kern w:val="0"/>
                <w:sz w:val="24"/>
              </w:rPr>
              <w:t>项目</w:t>
            </w:r>
            <w:r>
              <w:rPr>
                <w:kern w:val="0"/>
                <w:sz w:val="24"/>
              </w:rPr>
              <w:t>，风电机组选址所涉及</w:t>
            </w:r>
            <w:r>
              <w:rPr>
                <w:rFonts w:hint="eastAsia"/>
                <w:kern w:val="0"/>
                <w:sz w:val="24"/>
              </w:rPr>
              <w:t>的</w:t>
            </w:r>
            <w:r>
              <w:rPr>
                <w:kern w:val="0"/>
                <w:sz w:val="24"/>
              </w:rPr>
              <w:t>坑塘水面主要用于经济鱼类</w:t>
            </w:r>
            <w:r>
              <w:rPr>
                <w:rFonts w:hint="eastAsia"/>
                <w:kern w:val="0"/>
                <w:sz w:val="24"/>
              </w:rPr>
              <w:t>虾类</w:t>
            </w:r>
            <w:r>
              <w:rPr>
                <w:kern w:val="0"/>
                <w:sz w:val="24"/>
              </w:rPr>
              <w:t>的养殖，沟渠均为农业灌溉沟渠，不涉及重要水生生物的自然产卵场</w:t>
            </w:r>
            <w:r>
              <w:rPr>
                <w:rFonts w:hint="eastAsia"/>
                <w:kern w:val="0"/>
                <w:sz w:val="24"/>
              </w:rPr>
              <w:t>、</w:t>
            </w:r>
            <w:r>
              <w:rPr>
                <w:kern w:val="0"/>
                <w:sz w:val="24"/>
              </w:rPr>
              <w:t>索饵场、越冬场和洄游通道、天然渔场等。</w:t>
            </w:r>
          </w:p>
          <w:p w14:paraId="5181D216">
            <w:pPr>
              <w:widowControl/>
              <w:spacing w:line="480" w:lineRule="exact"/>
              <w:jc w:val="left"/>
              <w:rPr>
                <w:b/>
                <w:bCs/>
                <w:kern w:val="0"/>
                <w:sz w:val="24"/>
              </w:rPr>
            </w:pPr>
            <w:r>
              <w:rPr>
                <w:rFonts w:hint="eastAsia"/>
                <w:b/>
                <w:bCs/>
                <w:kern w:val="0"/>
                <w:sz w:val="24"/>
              </w:rPr>
              <w:t>3.6河流水系</w:t>
            </w:r>
          </w:p>
          <w:p w14:paraId="03D77C76">
            <w:pPr>
              <w:widowControl/>
              <w:spacing w:line="480" w:lineRule="exact"/>
              <w:ind w:firstLine="480" w:firstLineChars="200"/>
              <w:jc w:val="left"/>
              <w:rPr>
                <w:kern w:val="0"/>
                <w:sz w:val="24"/>
              </w:rPr>
            </w:pPr>
            <w:r>
              <w:rPr>
                <w:rFonts w:hint="eastAsia"/>
                <w:kern w:val="0"/>
                <w:sz w:val="24"/>
              </w:rPr>
              <w:t>本项目涉及河流水系主要包括双龙河、小青龙河、八场二排支、三排干、小戟门河（黑沿子排干）、三用干、三排支、第一泄洪道、四、七排支、五、八排支、六、九排支。</w:t>
            </w:r>
          </w:p>
          <w:p w14:paraId="77B5F480">
            <w:pPr>
              <w:widowControl/>
              <w:spacing w:line="480" w:lineRule="exact"/>
              <w:ind w:firstLine="480" w:firstLineChars="200"/>
              <w:jc w:val="left"/>
              <w:rPr>
                <w:kern w:val="0"/>
                <w:sz w:val="24"/>
              </w:rPr>
            </w:pPr>
            <w:r>
              <w:rPr>
                <w:rFonts w:hint="eastAsia"/>
                <w:kern w:val="0"/>
                <w:sz w:val="24"/>
              </w:rPr>
              <w:t>双龙河属海河流域滦河及冀东沿海诸河水系。双龙河为跨县河流，涉及唐山市滦南县、丰南区、曹妃甸区。双龙河河道总长65.04km，流域面积443.4km²。双龙河在在滦南县境内长33km，在丰南区境内长4.84km，在曹妃甸区境内长27.2km。双龙河的主要功能是行洪排涝、灌溉、生态。河流类型属于平原河流。双龙河流经滦南县青坨营镇、安各庄镇、南堡镇；丰南区大新庄镇；曹妃甸区六农场、唐海镇、四农场、七农场。双龙河设计排沥标准10年一遇，设计排水流量271m</w:t>
            </w:r>
            <w:r>
              <w:rPr>
                <w:rFonts w:hint="eastAsia"/>
                <w:kern w:val="0"/>
                <w:sz w:val="24"/>
                <w:vertAlign w:val="superscript"/>
              </w:rPr>
              <w:t>3</w:t>
            </w:r>
            <w:r>
              <w:rPr>
                <w:rFonts w:hint="eastAsia"/>
                <w:kern w:val="0"/>
                <w:sz w:val="24"/>
              </w:rPr>
              <w:t>/s，校核流量351m</w:t>
            </w:r>
            <w:r>
              <w:rPr>
                <w:rFonts w:hint="eastAsia"/>
                <w:kern w:val="0"/>
                <w:sz w:val="24"/>
                <w:vertAlign w:val="superscript"/>
              </w:rPr>
              <w:t>3</w:t>
            </w:r>
            <w:r>
              <w:rPr>
                <w:rFonts w:hint="eastAsia"/>
                <w:kern w:val="0"/>
                <w:sz w:val="24"/>
              </w:rPr>
              <w:t>/s。该河属季节性河流，除下游常年寄存咸水外，河道冬春干枯，河床的平均宽度为30m，深度大约1.5m。</w:t>
            </w:r>
          </w:p>
          <w:p w14:paraId="4CFE8532">
            <w:pPr>
              <w:widowControl/>
              <w:spacing w:line="480" w:lineRule="exact"/>
              <w:ind w:firstLine="480" w:firstLineChars="200"/>
              <w:jc w:val="left"/>
              <w:rPr>
                <w:kern w:val="0"/>
                <w:sz w:val="24"/>
              </w:rPr>
            </w:pPr>
            <w:r>
              <w:rPr>
                <w:rFonts w:hint="eastAsia"/>
                <w:kern w:val="0"/>
                <w:sz w:val="24"/>
              </w:rPr>
              <w:t>小青龙河属海河流域滦河及冀东沿海诸河水系。小青龙河为跨县河流，流域涉及滦州市、滦南县、曹妃甸区，唐山市境内全长 61.5km，流域面积为 430km</w:t>
            </w:r>
            <w:r>
              <w:rPr>
                <w:rFonts w:hint="eastAsia"/>
                <w:kern w:val="0"/>
                <w:sz w:val="24"/>
                <w:vertAlign w:val="superscript"/>
              </w:rPr>
              <w:t>2</w:t>
            </w:r>
            <w:r>
              <w:rPr>
                <w:rFonts w:hint="eastAsia"/>
                <w:kern w:val="0"/>
                <w:sz w:val="24"/>
              </w:rPr>
              <w:t>。在滦州市境内长6.51km，在滦南县境内长41.4km，在曹妃甸区境内长13.6km。小青龙河的河流功能为防洪、排涝。河流类型属于平原河流。小青龙河流经滦州市小马庄镇，滦南县扒齿港镇、司各庄镇、东黄坨镇、柏各庄镇；曹妃甸区一农场、三农场、八里滩养殖场。</w:t>
            </w:r>
          </w:p>
          <w:p w14:paraId="41B38CAC">
            <w:pPr>
              <w:widowControl/>
              <w:spacing w:line="480" w:lineRule="exact"/>
              <w:ind w:firstLine="480" w:firstLineChars="200"/>
              <w:jc w:val="left"/>
              <w:rPr>
                <w:kern w:val="0"/>
                <w:sz w:val="24"/>
              </w:rPr>
            </w:pPr>
            <w:r>
              <w:rPr>
                <w:rFonts w:hint="eastAsia"/>
                <w:kern w:val="0"/>
                <w:sz w:val="24"/>
              </w:rPr>
              <w:t>八场二排支属海河流域滦河及冀东沿海诸河水系。八场二排支属于场镇级河流，发源于河北省唐山市曹妃甸区八农场四队西北，流经八农场八队汇入小戟门河（黑沿子排干），河道长度 9.9km。八场二排支的主要功能是排涝，河流类型属于平原河流，八场二排支流经曹妃甸区八农场。</w:t>
            </w:r>
          </w:p>
          <w:p w14:paraId="455C563A">
            <w:pPr>
              <w:widowControl/>
              <w:spacing w:line="480" w:lineRule="exact"/>
              <w:ind w:firstLine="480" w:firstLineChars="200"/>
              <w:jc w:val="left"/>
              <w:rPr>
                <w:kern w:val="0"/>
                <w:sz w:val="24"/>
              </w:rPr>
            </w:pPr>
            <w:r>
              <w:rPr>
                <w:rFonts w:hint="eastAsia"/>
                <w:kern w:val="0"/>
                <w:sz w:val="24"/>
              </w:rPr>
              <w:t>三排干属海河流域滦河及冀东沿海诸河水系。三排干为县内河流，位于唐山市曹妃甸区境内，长度24.25km。三排干的主要功能是行洪排涝。河流类型属于平原河流。三排干流经曹妃甸区十农场、滨海镇、十一农场、七农场。</w:t>
            </w:r>
          </w:p>
          <w:p w14:paraId="33BBD567">
            <w:pPr>
              <w:widowControl/>
              <w:spacing w:line="480" w:lineRule="exact"/>
              <w:ind w:firstLine="480" w:firstLineChars="200"/>
              <w:jc w:val="left"/>
              <w:rPr>
                <w:kern w:val="0"/>
                <w:sz w:val="24"/>
              </w:rPr>
            </w:pPr>
            <w:r>
              <w:rPr>
                <w:rFonts w:hint="eastAsia"/>
                <w:kern w:val="0"/>
                <w:sz w:val="24"/>
              </w:rPr>
              <w:t>小戟门河（黑沿子排干）属于海河流域滦河及冀东沿海诸河水系。小戟门河（黑沿子排干）发源地为河北省唐山市滦南县青坨营镇冯狗庄，后与沙河（西沙河）合并入海。小戟门河（黑沿子排干）全长44.454km，流域面积 254.5km</w:t>
            </w:r>
            <w:r>
              <w:rPr>
                <w:rFonts w:hint="eastAsia"/>
                <w:kern w:val="0"/>
                <w:sz w:val="24"/>
                <w:vertAlign w:val="superscript"/>
              </w:rPr>
              <w:t>2</w:t>
            </w:r>
            <w:r>
              <w:rPr>
                <w:rFonts w:hint="eastAsia"/>
                <w:kern w:val="0"/>
                <w:sz w:val="24"/>
              </w:rPr>
              <w:t>，其中在滦南县境内长3.96km，在丰南区境内长21.594km，在曹妃甸区境内长18.9km。主要功能是排涝、灌溉、生态，河流类型属于平原河流。小戟门河（黑沿子排干）流经滦南县青坨营镇；丰南区大新庄镇、黑沿子镇；曹妃甸区八农场、滨海镇。</w:t>
            </w:r>
          </w:p>
          <w:p w14:paraId="69459CA6">
            <w:pPr>
              <w:widowControl/>
              <w:spacing w:line="480" w:lineRule="exact"/>
              <w:ind w:firstLine="480" w:firstLineChars="200"/>
              <w:jc w:val="left"/>
              <w:rPr>
                <w:kern w:val="0"/>
                <w:sz w:val="24"/>
              </w:rPr>
            </w:pPr>
            <w:r>
              <w:rPr>
                <w:rFonts w:hint="eastAsia"/>
                <w:kern w:val="0"/>
                <w:sz w:val="24"/>
              </w:rPr>
              <w:t>三用干属海河流域滦河及冀东沿海诸河水系。三用干为滦下输水干渠下游段，上接新河（滦柏输水干渠），下接分水支渠，流经八场八队。三用干河道长度27.8km。三用干的主要功能是排涝。河流类型属于平原河流。三用干流经曹妃甸区一农场、三农场、四农场、八农场、九农场、十农场。</w:t>
            </w:r>
          </w:p>
          <w:p w14:paraId="1C32EF57">
            <w:pPr>
              <w:widowControl/>
              <w:spacing w:line="480" w:lineRule="exact"/>
              <w:ind w:firstLine="480" w:firstLineChars="200"/>
              <w:jc w:val="left"/>
              <w:rPr>
                <w:kern w:val="0"/>
                <w:sz w:val="24"/>
              </w:rPr>
            </w:pPr>
            <w:r>
              <w:rPr>
                <w:rFonts w:hint="eastAsia"/>
                <w:kern w:val="0"/>
                <w:sz w:val="24"/>
              </w:rPr>
              <w:t>三排支属海河流域滦河及冀东沿海诸河水系。三排支河道长度 5.3km，流经四农场四队，于五队汇入一排干。三排支的主要功能是行洪排涝。河流类型属于平原河流。三排支流经曹妃甸区四农场。</w:t>
            </w:r>
          </w:p>
          <w:p w14:paraId="54870E50">
            <w:pPr>
              <w:widowControl/>
              <w:spacing w:line="480" w:lineRule="exact"/>
              <w:ind w:firstLine="480" w:firstLineChars="200"/>
              <w:jc w:val="left"/>
              <w:rPr>
                <w:kern w:val="0"/>
                <w:sz w:val="24"/>
              </w:rPr>
            </w:pPr>
            <w:r>
              <w:rPr>
                <w:rFonts w:hint="eastAsia"/>
                <w:kern w:val="0"/>
                <w:sz w:val="24"/>
              </w:rPr>
              <w:t>第一泄洪道属于海河流域滦河及冀东沿海诸河水系。溯河（老溯河、新溯河）的支流。第一泄洪道为县管河道，位于滦南县南部。第一泄洪道流经滦南县司各庄镇、胡各庄镇和柏各庄镇，于柏各庄镇的荣各庄经新溯河荣各庄节制闸与新、老溯河汇合，第一泄洪道全长15.10km，流域面积为124.4km</w:t>
            </w:r>
            <w:r>
              <w:rPr>
                <w:rFonts w:hint="eastAsia"/>
                <w:kern w:val="0"/>
                <w:sz w:val="24"/>
                <w:vertAlign w:val="superscript"/>
              </w:rPr>
              <w:t>2</w:t>
            </w:r>
            <w:r>
              <w:rPr>
                <w:rFonts w:hint="eastAsia"/>
                <w:kern w:val="0"/>
                <w:sz w:val="24"/>
              </w:rPr>
              <w:t>。第一泄洪道的主要功能是排涝。河流类型属于平原河流。第一泄洪道流经滦南县司各庄镇、柏各庄镇、胡各庄镇。</w:t>
            </w:r>
          </w:p>
          <w:p w14:paraId="2EE897E3">
            <w:pPr>
              <w:widowControl/>
              <w:spacing w:line="480" w:lineRule="exact"/>
              <w:ind w:firstLine="480" w:firstLineChars="200"/>
              <w:jc w:val="left"/>
              <w:rPr>
                <w:kern w:val="0"/>
                <w:sz w:val="24"/>
              </w:rPr>
            </w:pPr>
            <w:r>
              <w:rPr>
                <w:rFonts w:hint="eastAsia"/>
                <w:kern w:val="0"/>
                <w:sz w:val="24"/>
              </w:rPr>
              <w:t>四、七排支属海河流域滦河及冀东沿海诸河水系，属于场镇级河流。四、七排支为县内河流，位于唐山市曹妃甸区境内，河道长度9.9km，主要功能是排涝，河流类型属于平原河流。四、七排支流经曹妃甸区四农场。</w:t>
            </w:r>
          </w:p>
          <w:p w14:paraId="64AE6521">
            <w:pPr>
              <w:widowControl/>
              <w:spacing w:line="480" w:lineRule="exact"/>
              <w:ind w:firstLine="480" w:firstLineChars="200"/>
              <w:jc w:val="left"/>
              <w:rPr>
                <w:kern w:val="0"/>
                <w:sz w:val="24"/>
              </w:rPr>
            </w:pPr>
            <w:r>
              <w:rPr>
                <w:rFonts w:hint="eastAsia"/>
                <w:kern w:val="0"/>
                <w:sz w:val="24"/>
              </w:rPr>
              <w:t>五、八排支属海河流域滦河及冀东沿海诸河水系。五、八排支为县内河流，位于唐山市县曹妃甸区境内。五排支接一排干、八排支接双龙河。八排支流经七农场三队汇入双龙河；五排支流经五农场一队、二队、六队汇入一排干。河道长度11.2km。主要功能是排涝。河流类型属于平原河流。五、八排支流经曹妃甸区七农场、五农场。</w:t>
            </w:r>
          </w:p>
          <w:p w14:paraId="5BDB15A4">
            <w:pPr>
              <w:widowControl/>
              <w:spacing w:line="480" w:lineRule="exact"/>
              <w:ind w:firstLine="480" w:firstLineChars="200"/>
              <w:jc w:val="left"/>
              <w:rPr>
                <w:kern w:val="0"/>
                <w:sz w:val="24"/>
              </w:rPr>
            </w:pPr>
            <w:r>
              <w:rPr>
                <w:rFonts w:hint="eastAsia"/>
                <w:kern w:val="0"/>
                <w:sz w:val="24"/>
              </w:rPr>
              <w:t>六、九排支属海河流域滦河及冀东沿海诸河水系。六排支接一排干、九排支接双龙河。九排支流经七农场入双龙河；六排支流经五场五队、八队汇入一排干。河道长度14.5km，主要功能是排涝，河流类型属于平原河流。六、九排支流经曹妃甸区十二场、五场。</w:t>
            </w:r>
          </w:p>
          <w:p w14:paraId="1BE7B132">
            <w:pPr>
              <w:widowControl/>
              <w:spacing w:line="480" w:lineRule="exact"/>
              <w:ind w:firstLine="480" w:firstLineChars="200"/>
              <w:jc w:val="left"/>
              <w:rPr>
                <w:kern w:val="0"/>
                <w:sz w:val="24"/>
              </w:rPr>
            </w:pPr>
            <w:r>
              <w:rPr>
                <w:rFonts w:hint="eastAsia"/>
                <w:kern w:val="0"/>
                <w:sz w:val="24"/>
              </w:rPr>
              <w:t>本项目集电线路采用</w:t>
            </w:r>
            <w:r>
              <w:rPr>
                <w:kern w:val="0"/>
                <w:sz w:val="24"/>
              </w:rPr>
              <w:t>非开挖拉管敷设</w:t>
            </w:r>
            <w:r>
              <w:rPr>
                <w:rFonts w:hint="eastAsia"/>
                <w:kern w:val="0"/>
                <w:sz w:val="24"/>
              </w:rPr>
              <w:t>方式穿越河流和沟渠，</w:t>
            </w:r>
            <w:r>
              <w:rPr>
                <w:bCs/>
                <w:sz w:val="24"/>
              </w:rPr>
              <w:t>过河时拉管埋深应满足相关河道管理部门的相关规定，且满足防洪评价等相关要求。在道路及河道两边设置警示桩或者警示牌。</w:t>
            </w:r>
          </w:p>
          <w:p w14:paraId="2D75085E">
            <w:pPr>
              <w:widowControl/>
              <w:spacing w:line="480" w:lineRule="exact"/>
              <w:jc w:val="left"/>
              <w:rPr>
                <w:b/>
                <w:bCs/>
                <w:kern w:val="0"/>
                <w:sz w:val="24"/>
              </w:rPr>
            </w:pPr>
            <w:r>
              <w:rPr>
                <w:rFonts w:hint="eastAsia"/>
                <w:b/>
                <w:bCs/>
                <w:kern w:val="0"/>
                <w:sz w:val="24"/>
              </w:rPr>
              <w:t>3.7地形地貌</w:t>
            </w:r>
          </w:p>
          <w:p w14:paraId="490703D8">
            <w:pPr>
              <w:widowControl/>
              <w:spacing w:line="480" w:lineRule="exact"/>
              <w:ind w:firstLine="480" w:firstLineChars="200"/>
              <w:jc w:val="left"/>
              <w:rPr>
                <w:bCs/>
                <w:sz w:val="24"/>
              </w:rPr>
            </w:pPr>
            <w:r>
              <w:rPr>
                <w:rFonts w:hint="eastAsia"/>
                <w:bCs/>
                <w:sz w:val="24"/>
              </w:rPr>
              <w:t>曹妃甸岛是因滦河北移而形成的一条状沙岛海滩，位于古滦河三角洲前缘，距大陆岸线约20千米。滩外侧为古滦河冲积扇陡坎，甸头前缘500—600 米水深达到-20—-30米，构成渤海湾内天然的深水港址；滩内侧为海水淹没的古滦河冲积扇体，上部覆盖海相沉积，与陆地之间均为宽阔的浅滩，地形比较平坦，海水高潮时显露面积4平方千米，低潮时显露面积20平方千米，海底地面标高在-0.5—0.7 米之间，一般在0.0米左右，北浅南深逐渐变大。</w:t>
            </w:r>
          </w:p>
          <w:p w14:paraId="122E8AF2">
            <w:pPr>
              <w:widowControl/>
              <w:spacing w:line="480" w:lineRule="exact"/>
              <w:ind w:firstLine="480" w:firstLineChars="200"/>
              <w:jc w:val="left"/>
              <w:rPr>
                <w:bCs/>
                <w:sz w:val="24"/>
              </w:rPr>
            </w:pPr>
            <w:r>
              <w:rPr>
                <w:rFonts w:hint="eastAsia"/>
                <w:bCs/>
                <w:sz w:val="24"/>
              </w:rPr>
              <w:t>本项目为大金重工曹妃甸区 70 万千瓦陆上风力发电项目（市场化）风机主要分布在沿海地区养殖坑塘及荒地中，风电场植被特征为典型的平原地形，机位周边地势开阔，地形平坦，起伏不大。地表植被较为低矮，建设条件良好。</w:t>
            </w:r>
          </w:p>
          <w:p w14:paraId="0754C55E">
            <w:pPr>
              <w:widowControl/>
              <w:spacing w:line="480" w:lineRule="exact"/>
              <w:jc w:val="left"/>
              <w:rPr>
                <w:b/>
                <w:sz w:val="24"/>
              </w:rPr>
            </w:pPr>
            <w:r>
              <w:rPr>
                <w:rFonts w:hint="eastAsia"/>
                <w:b/>
                <w:sz w:val="24"/>
              </w:rPr>
              <w:t>3.8气候气象</w:t>
            </w:r>
          </w:p>
          <w:p w14:paraId="71E9B627">
            <w:pPr>
              <w:widowControl/>
              <w:spacing w:line="480" w:lineRule="exact"/>
              <w:ind w:firstLine="480" w:firstLineChars="200"/>
              <w:jc w:val="left"/>
              <w:rPr>
                <w:bCs/>
                <w:sz w:val="24"/>
              </w:rPr>
            </w:pPr>
            <w:r>
              <w:rPr>
                <w:rFonts w:hint="eastAsia"/>
                <w:bCs/>
                <w:sz w:val="24"/>
              </w:rPr>
              <w:t>曹妃甸区属东部季风区温带半湿润地区，大陆性季风特征显着，年均气温1℃，年降水量636毫米，四季分明。唐海镇南临渤海。滦河水系河流、干渠共9条经过县境，流入渤海。属东部季风区温带半湿润地区，大陆性季风特征显着，四季分明，气候宜人。</w:t>
            </w:r>
          </w:p>
          <w:p w14:paraId="63485A4D">
            <w:pPr>
              <w:widowControl/>
              <w:spacing w:line="480" w:lineRule="exact"/>
              <w:ind w:firstLine="480" w:firstLineChars="200"/>
              <w:jc w:val="left"/>
              <w:rPr>
                <w:bCs/>
                <w:sz w:val="24"/>
              </w:rPr>
            </w:pPr>
            <w:r>
              <w:rPr>
                <w:rFonts w:hint="eastAsia"/>
                <w:bCs/>
                <w:sz w:val="24"/>
              </w:rPr>
              <w:t>考虑唐海气象站与测风塔距离较近，因此首选唐海站作为气象参考站。对唐海气象站多年（1985年～2014年）常规气象要素进行统计分析，唐海气象站多年最大瞬时风速为19.1m/s，多年平均风速2.6m/s，平均大风日数为5.5日，多年平均雷暴日数29天，多年平均沙尘暴日数为0.6天。</w:t>
            </w:r>
          </w:p>
          <w:p w14:paraId="0065982D">
            <w:pPr>
              <w:widowControl/>
              <w:spacing w:line="480" w:lineRule="exact"/>
              <w:ind w:firstLine="480" w:firstLineChars="200"/>
              <w:jc w:val="left"/>
              <w:rPr>
                <w:bCs/>
                <w:sz w:val="24"/>
              </w:rPr>
            </w:pPr>
            <w:r>
              <w:rPr>
                <w:bCs/>
                <w:sz w:val="24"/>
              </w:rPr>
              <w:t>河北省属于我国风能资源丰富省份之一，主要分布在张家口、承德坝上地区，秦皇岛、唐山、沧州沿海地区以及太行山、燕山山区，其中张家口坝上地区和唐山、沧州沿海地区为百万千瓦级风电基地。风速的年变化均以冬春季最大，秋季次之，夏季最小，冬夏风向有明显的季节转换，主导风向根据区域不同有所差异。</w:t>
            </w:r>
          </w:p>
          <w:p w14:paraId="77ED7F3A">
            <w:pPr>
              <w:widowControl/>
              <w:jc w:val="left"/>
              <w:rPr>
                <w:b/>
                <w:bCs/>
                <w:kern w:val="0"/>
                <w:sz w:val="24"/>
              </w:rPr>
            </w:pPr>
            <w:r>
              <w:drawing>
                <wp:inline distT="0" distB="0" distL="114300" distR="114300">
                  <wp:extent cx="5028565" cy="4069080"/>
                  <wp:effectExtent l="0" t="0" r="635" b="762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7" cstate="print"/>
                          <a:stretch>
                            <a:fillRect/>
                          </a:stretch>
                        </pic:blipFill>
                        <pic:spPr>
                          <a:xfrm>
                            <a:off x="0" y="0"/>
                            <a:ext cx="5028565" cy="4069080"/>
                          </a:xfrm>
                          <a:prstGeom prst="rect">
                            <a:avLst/>
                          </a:prstGeom>
                          <a:noFill/>
                          <a:ln>
                            <a:noFill/>
                          </a:ln>
                        </pic:spPr>
                      </pic:pic>
                    </a:graphicData>
                  </a:graphic>
                </wp:inline>
              </w:drawing>
            </w:r>
          </w:p>
          <w:p w14:paraId="207BD539">
            <w:pPr>
              <w:widowControl/>
              <w:jc w:val="center"/>
            </w:pPr>
            <w:r>
              <w:rPr>
                <w:b/>
                <w:bCs/>
                <w:kern w:val="0"/>
                <w:szCs w:val="21"/>
              </w:rPr>
              <w:t>图3-</w:t>
            </w:r>
            <w:r>
              <w:rPr>
                <w:rFonts w:hint="eastAsia"/>
                <w:b/>
                <w:bCs/>
                <w:kern w:val="0"/>
                <w:szCs w:val="21"/>
              </w:rPr>
              <w:t>8</w:t>
            </w:r>
            <w:r>
              <w:rPr>
                <w:b/>
                <w:bCs/>
                <w:kern w:val="0"/>
                <w:szCs w:val="21"/>
              </w:rPr>
              <w:t xml:space="preserve">   河北省100m高度平均风速分布图</w:t>
            </w:r>
          </w:p>
          <w:p w14:paraId="2FEE54FB">
            <w:pPr>
              <w:widowControl/>
              <w:spacing w:line="480" w:lineRule="exact"/>
              <w:ind w:firstLine="480" w:firstLineChars="200"/>
              <w:jc w:val="left"/>
              <w:rPr>
                <w:bCs/>
                <w:sz w:val="24"/>
              </w:rPr>
            </w:pPr>
            <w:r>
              <w:rPr>
                <w:rFonts w:hint="eastAsia"/>
                <w:bCs/>
                <w:sz w:val="24"/>
              </w:rPr>
              <w:t>本项目场址位于河北省唐山市曹妃甸区</w:t>
            </w:r>
            <w:r>
              <w:rPr>
                <w:sz w:val="24"/>
              </w:rPr>
              <w:t>孙塘庄镇、双井镇、柳赞镇和唐海镇</w:t>
            </w:r>
            <w:r>
              <w:rPr>
                <w:rFonts w:hint="eastAsia"/>
                <w:bCs/>
                <w:sz w:val="24"/>
              </w:rPr>
              <w:t>周边。由资源分布图可知，本风电场风能资源良好，适合风电场建设。</w:t>
            </w:r>
          </w:p>
          <w:p w14:paraId="2AAB9814">
            <w:pPr>
              <w:widowControl/>
              <w:spacing w:line="480" w:lineRule="exact"/>
              <w:jc w:val="left"/>
              <w:rPr>
                <w:sz w:val="24"/>
              </w:rPr>
            </w:pPr>
            <w:r>
              <w:rPr>
                <w:b/>
                <w:bCs/>
                <w:kern w:val="0"/>
                <w:sz w:val="24"/>
              </w:rPr>
              <w:t xml:space="preserve">4、环境空气质量现状 </w:t>
            </w:r>
          </w:p>
          <w:p w14:paraId="7EB6D892">
            <w:pPr>
              <w:spacing w:line="480" w:lineRule="exact"/>
              <w:ind w:firstLine="480" w:firstLineChars="200"/>
              <w:rPr>
                <w:sz w:val="24"/>
              </w:rPr>
            </w:pPr>
            <w:r>
              <w:rPr>
                <w:sz w:val="24"/>
              </w:rPr>
              <w:t>（1）基本污染物</w:t>
            </w:r>
          </w:p>
          <w:p w14:paraId="310D32ED">
            <w:pPr>
              <w:spacing w:line="480" w:lineRule="exact"/>
              <w:ind w:firstLine="480" w:firstLineChars="200"/>
            </w:pPr>
            <w:r>
              <w:rPr>
                <w:sz w:val="24"/>
                <w:szCs w:val="22"/>
              </w:rPr>
              <w:t>项目所在区域环境空气质量达标情况数据采用唐山市生态环境局公开发布的</w:t>
            </w:r>
            <w:r>
              <w:rPr>
                <w:sz w:val="24"/>
                <w:szCs w:val="22"/>
                <w:lang w:val="zh-CN"/>
              </w:rPr>
              <w:t>《</w:t>
            </w:r>
            <w:r>
              <w:rPr>
                <w:sz w:val="24"/>
                <w:szCs w:val="22"/>
              </w:rPr>
              <w:t>2023</w:t>
            </w:r>
            <w:r>
              <w:rPr>
                <w:sz w:val="24"/>
                <w:szCs w:val="22"/>
                <w:lang w:val="zh-CN"/>
              </w:rPr>
              <w:t>年唐山市环境状况公报》中唐山市空气质量数据，</w:t>
            </w:r>
            <w:r>
              <w:rPr>
                <w:sz w:val="24"/>
                <w:szCs w:val="22"/>
              </w:rPr>
              <w:t>具体情况见下表。</w:t>
            </w:r>
          </w:p>
          <w:p w14:paraId="73EAFE9C">
            <w:pPr>
              <w:pStyle w:val="5"/>
              <w:spacing w:before="0" w:after="0" w:line="480" w:lineRule="exact"/>
              <w:jc w:val="center"/>
            </w:pPr>
            <w:r>
              <w:rPr>
                <w:b/>
                <w:bCs/>
              </w:rPr>
              <w:t>表3-</w:t>
            </w:r>
            <w:r>
              <w:rPr>
                <w:rFonts w:hint="eastAsia"/>
                <w:b/>
                <w:bCs/>
              </w:rPr>
              <w:t>4</w:t>
            </w:r>
            <w:r>
              <w:rPr>
                <w:b/>
                <w:bCs/>
              </w:rPr>
              <w:t xml:space="preserve">    2023年唐山市环境质量达标情况评价表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
            <w:tblGrid>
              <w:gridCol w:w="926"/>
              <w:gridCol w:w="2100"/>
              <w:gridCol w:w="1362"/>
              <w:gridCol w:w="1207"/>
              <w:gridCol w:w="1220"/>
              <w:gridCol w:w="1129"/>
            </w:tblGrid>
            <w:tr w14:paraId="1AF0CC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63E4B0E0">
                  <w:pPr>
                    <w:widowControl/>
                    <w:spacing w:line="0" w:lineRule="atLeast"/>
                    <w:jc w:val="center"/>
                    <w:rPr>
                      <w:kern w:val="0"/>
                      <w:szCs w:val="21"/>
                    </w:rPr>
                  </w:pPr>
                  <w:r>
                    <w:rPr>
                      <w:kern w:val="0"/>
                      <w:szCs w:val="21"/>
                    </w:rPr>
                    <w:t>污染物</w:t>
                  </w:r>
                </w:p>
              </w:tc>
              <w:tc>
                <w:tcPr>
                  <w:tcW w:w="2100" w:type="dxa"/>
                  <w:vAlign w:val="center"/>
                </w:tcPr>
                <w:p w14:paraId="722D7E14">
                  <w:pPr>
                    <w:widowControl/>
                    <w:spacing w:line="0" w:lineRule="atLeast"/>
                    <w:jc w:val="center"/>
                    <w:rPr>
                      <w:kern w:val="0"/>
                      <w:szCs w:val="21"/>
                    </w:rPr>
                  </w:pPr>
                  <w:r>
                    <w:rPr>
                      <w:kern w:val="0"/>
                      <w:szCs w:val="21"/>
                    </w:rPr>
                    <w:t>年评价指标</w:t>
                  </w:r>
                </w:p>
              </w:tc>
              <w:tc>
                <w:tcPr>
                  <w:tcW w:w="1362" w:type="dxa"/>
                  <w:vAlign w:val="center"/>
                </w:tcPr>
                <w:p w14:paraId="271C3E51">
                  <w:pPr>
                    <w:widowControl/>
                    <w:spacing w:line="0" w:lineRule="atLeast"/>
                    <w:jc w:val="center"/>
                    <w:rPr>
                      <w:kern w:val="0"/>
                      <w:szCs w:val="21"/>
                    </w:rPr>
                  </w:pPr>
                  <w:r>
                    <w:rPr>
                      <w:kern w:val="0"/>
                      <w:szCs w:val="21"/>
                    </w:rPr>
                    <w:t>现状浓度/（µg/m</w:t>
                  </w:r>
                  <w:r>
                    <w:rPr>
                      <w:kern w:val="0"/>
                      <w:szCs w:val="21"/>
                      <w:vertAlign w:val="superscript"/>
                    </w:rPr>
                    <w:t>3</w:t>
                  </w:r>
                  <w:r>
                    <w:rPr>
                      <w:kern w:val="0"/>
                      <w:szCs w:val="21"/>
                    </w:rPr>
                    <w:t>）</w:t>
                  </w:r>
                </w:p>
              </w:tc>
              <w:tc>
                <w:tcPr>
                  <w:tcW w:w="1207" w:type="dxa"/>
                  <w:vAlign w:val="center"/>
                </w:tcPr>
                <w:p w14:paraId="015F91C9">
                  <w:pPr>
                    <w:widowControl/>
                    <w:spacing w:line="0" w:lineRule="atLeast"/>
                    <w:jc w:val="center"/>
                    <w:rPr>
                      <w:kern w:val="0"/>
                      <w:szCs w:val="21"/>
                    </w:rPr>
                  </w:pPr>
                  <w:r>
                    <w:rPr>
                      <w:kern w:val="0"/>
                      <w:szCs w:val="21"/>
                    </w:rPr>
                    <w:t>标准值/（µg/m</w:t>
                  </w:r>
                  <w:r>
                    <w:rPr>
                      <w:kern w:val="0"/>
                      <w:szCs w:val="21"/>
                      <w:vertAlign w:val="superscript"/>
                    </w:rPr>
                    <w:t>3</w:t>
                  </w:r>
                  <w:r>
                    <w:rPr>
                      <w:kern w:val="0"/>
                      <w:szCs w:val="21"/>
                    </w:rPr>
                    <w:t>）</w:t>
                  </w:r>
                </w:p>
              </w:tc>
              <w:tc>
                <w:tcPr>
                  <w:tcW w:w="1220" w:type="dxa"/>
                  <w:vAlign w:val="center"/>
                </w:tcPr>
                <w:p w14:paraId="6A983757">
                  <w:pPr>
                    <w:widowControl/>
                    <w:spacing w:line="0" w:lineRule="atLeast"/>
                    <w:jc w:val="center"/>
                    <w:rPr>
                      <w:kern w:val="0"/>
                      <w:szCs w:val="21"/>
                    </w:rPr>
                  </w:pPr>
                  <w:r>
                    <w:rPr>
                      <w:kern w:val="0"/>
                      <w:szCs w:val="21"/>
                    </w:rPr>
                    <w:t>占标率/%</w:t>
                  </w:r>
                </w:p>
              </w:tc>
              <w:tc>
                <w:tcPr>
                  <w:tcW w:w="1129" w:type="dxa"/>
                  <w:vAlign w:val="center"/>
                </w:tcPr>
                <w:p w14:paraId="1DBD92FA">
                  <w:pPr>
                    <w:widowControl/>
                    <w:spacing w:line="0" w:lineRule="atLeast"/>
                    <w:jc w:val="center"/>
                    <w:rPr>
                      <w:kern w:val="0"/>
                      <w:szCs w:val="21"/>
                    </w:rPr>
                  </w:pPr>
                  <w:r>
                    <w:rPr>
                      <w:kern w:val="0"/>
                      <w:szCs w:val="21"/>
                    </w:rPr>
                    <w:t>达标情况</w:t>
                  </w:r>
                </w:p>
              </w:tc>
            </w:tr>
            <w:tr w14:paraId="7E607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23EB279">
                  <w:pPr>
                    <w:adjustRightInd w:val="0"/>
                    <w:snapToGrid w:val="0"/>
                    <w:jc w:val="center"/>
                    <w:rPr>
                      <w:kern w:val="0"/>
                      <w:szCs w:val="21"/>
                    </w:rPr>
                  </w:pPr>
                  <w:r>
                    <w:rPr>
                      <w:szCs w:val="21"/>
                    </w:rPr>
                    <w:t>SO</w:t>
                  </w:r>
                  <w:r>
                    <w:rPr>
                      <w:szCs w:val="21"/>
                      <w:vertAlign w:val="subscript"/>
                    </w:rPr>
                    <w:t>2</w:t>
                  </w:r>
                </w:p>
              </w:tc>
              <w:tc>
                <w:tcPr>
                  <w:tcW w:w="2100" w:type="dxa"/>
                  <w:vAlign w:val="center"/>
                </w:tcPr>
                <w:p w14:paraId="2711A25B">
                  <w:pPr>
                    <w:adjustRightInd w:val="0"/>
                    <w:snapToGrid w:val="0"/>
                    <w:jc w:val="center"/>
                    <w:rPr>
                      <w:kern w:val="0"/>
                      <w:szCs w:val="21"/>
                    </w:rPr>
                  </w:pPr>
                  <w:r>
                    <w:rPr>
                      <w:szCs w:val="21"/>
                    </w:rPr>
                    <w:t>年平均质量浓度</w:t>
                  </w:r>
                </w:p>
              </w:tc>
              <w:tc>
                <w:tcPr>
                  <w:tcW w:w="1362" w:type="dxa"/>
                  <w:vAlign w:val="center"/>
                </w:tcPr>
                <w:p w14:paraId="40EC5C07">
                  <w:pPr>
                    <w:adjustRightInd w:val="0"/>
                    <w:snapToGrid w:val="0"/>
                    <w:jc w:val="center"/>
                    <w:rPr>
                      <w:kern w:val="0"/>
                      <w:szCs w:val="21"/>
                    </w:rPr>
                  </w:pPr>
                  <w:r>
                    <w:rPr>
                      <w:kern w:val="0"/>
                      <w:szCs w:val="21"/>
                    </w:rPr>
                    <w:t>7</w:t>
                  </w:r>
                </w:p>
              </w:tc>
              <w:tc>
                <w:tcPr>
                  <w:tcW w:w="1207" w:type="dxa"/>
                  <w:vAlign w:val="center"/>
                </w:tcPr>
                <w:p w14:paraId="6DB8B682">
                  <w:pPr>
                    <w:adjustRightInd w:val="0"/>
                    <w:snapToGrid w:val="0"/>
                    <w:jc w:val="center"/>
                    <w:rPr>
                      <w:kern w:val="0"/>
                      <w:szCs w:val="21"/>
                    </w:rPr>
                  </w:pPr>
                  <w:r>
                    <w:rPr>
                      <w:szCs w:val="21"/>
                    </w:rPr>
                    <w:t>60</w:t>
                  </w:r>
                </w:p>
              </w:tc>
              <w:tc>
                <w:tcPr>
                  <w:tcW w:w="1220" w:type="dxa"/>
                  <w:vAlign w:val="center"/>
                </w:tcPr>
                <w:p w14:paraId="186BD80C">
                  <w:pPr>
                    <w:widowControl/>
                    <w:jc w:val="center"/>
                    <w:textAlignment w:val="center"/>
                    <w:rPr>
                      <w:kern w:val="0"/>
                      <w:szCs w:val="21"/>
                    </w:rPr>
                  </w:pPr>
                  <w:r>
                    <w:rPr>
                      <w:kern w:val="0"/>
                      <w:szCs w:val="21"/>
                    </w:rPr>
                    <w:t>11.67</w:t>
                  </w:r>
                </w:p>
              </w:tc>
              <w:tc>
                <w:tcPr>
                  <w:tcW w:w="1129" w:type="dxa"/>
                  <w:vAlign w:val="center"/>
                </w:tcPr>
                <w:p w14:paraId="1C4DBDAE">
                  <w:pPr>
                    <w:widowControl/>
                    <w:jc w:val="center"/>
                    <w:textAlignment w:val="center"/>
                    <w:rPr>
                      <w:kern w:val="0"/>
                      <w:szCs w:val="21"/>
                    </w:rPr>
                  </w:pPr>
                  <w:r>
                    <w:rPr>
                      <w:kern w:val="0"/>
                      <w:szCs w:val="21"/>
                    </w:rPr>
                    <w:t>达标</w:t>
                  </w:r>
                </w:p>
              </w:tc>
            </w:tr>
            <w:tr w14:paraId="51D14D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0814EA79">
                  <w:pPr>
                    <w:adjustRightInd w:val="0"/>
                    <w:snapToGrid w:val="0"/>
                    <w:jc w:val="center"/>
                    <w:rPr>
                      <w:kern w:val="0"/>
                      <w:szCs w:val="21"/>
                    </w:rPr>
                  </w:pPr>
                  <w:r>
                    <w:rPr>
                      <w:szCs w:val="21"/>
                    </w:rPr>
                    <w:t>NO</w:t>
                  </w:r>
                  <w:r>
                    <w:rPr>
                      <w:szCs w:val="21"/>
                      <w:vertAlign w:val="subscript"/>
                    </w:rPr>
                    <w:t>2</w:t>
                  </w:r>
                </w:p>
              </w:tc>
              <w:tc>
                <w:tcPr>
                  <w:tcW w:w="2100" w:type="dxa"/>
                  <w:vAlign w:val="center"/>
                </w:tcPr>
                <w:p w14:paraId="205B47AD">
                  <w:pPr>
                    <w:adjustRightInd w:val="0"/>
                    <w:snapToGrid w:val="0"/>
                    <w:jc w:val="center"/>
                    <w:rPr>
                      <w:kern w:val="0"/>
                      <w:szCs w:val="21"/>
                    </w:rPr>
                  </w:pPr>
                  <w:r>
                    <w:rPr>
                      <w:szCs w:val="21"/>
                    </w:rPr>
                    <w:t>年平均质量浓度</w:t>
                  </w:r>
                </w:p>
              </w:tc>
              <w:tc>
                <w:tcPr>
                  <w:tcW w:w="1362" w:type="dxa"/>
                  <w:vAlign w:val="center"/>
                </w:tcPr>
                <w:p w14:paraId="7F70EAF9">
                  <w:pPr>
                    <w:adjustRightInd w:val="0"/>
                    <w:snapToGrid w:val="0"/>
                    <w:jc w:val="center"/>
                    <w:rPr>
                      <w:kern w:val="0"/>
                      <w:szCs w:val="21"/>
                    </w:rPr>
                  </w:pPr>
                  <w:r>
                    <w:rPr>
                      <w:kern w:val="0"/>
                      <w:szCs w:val="21"/>
                    </w:rPr>
                    <w:t>33</w:t>
                  </w:r>
                </w:p>
              </w:tc>
              <w:tc>
                <w:tcPr>
                  <w:tcW w:w="1207" w:type="dxa"/>
                  <w:vAlign w:val="center"/>
                </w:tcPr>
                <w:p w14:paraId="2E13E99B">
                  <w:pPr>
                    <w:adjustRightInd w:val="0"/>
                    <w:snapToGrid w:val="0"/>
                    <w:jc w:val="center"/>
                    <w:rPr>
                      <w:kern w:val="0"/>
                      <w:szCs w:val="21"/>
                    </w:rPr>
                  </w:pPr>
                  <w:r>
                    <w:rPr>
                      <w:szCs w:val="21"/>
                    </w:rPr>
                    <w:t>40</w:t>
                  </w:r>
                </w:p>
              </w:tc>
              <w:tc>
                <w:tcPr>
                  <w:tcW w:w="1220" w:type="dxa"/>
                  <w:vAlign w:val="center"/>
                </w:tcPr>
                <w:p w14:paraId="46702426">
                  <w:pPr>
                    <w:widowControl/>
                    <w:jc w:val="center"/>
                    <w:textAlignment w:val="center"/>
                    <w:rPr>
                      <w:kern w:val="0"/>
                      <w:szCs w:val="21"/>
                    </w:rPr>
                  </w:pPr>
                  <w:r>
                    <w:rPr>
                      <w:kern w:val="0"/>
                      <w:szCs w:val="21"/>
                    </w:rPr>
                    <w:t>82.50</w:t>
                  </w:r>
                </w:p>
              </w:tc>
              <w:tc>
                <w:tcPr>
                  <w:tcW w:w="1129" w:type="dxa"/>
                  <w:vAlign w:val="center"/>
                </w:tcPr>
                <w:p w14:paraId="7EDC5EA4">
                  <w:pPr>
                    <w:widowControl/>
                    <w:jc w:val="center"/>
                    <w:textAlignment w:val="center"/>
                    <w:rPr>
                      <w:kern w:val="0"/>
                      <w:szCs w:val="21"/>
                    </w:rPr>
                  </w:pPr>
                  <w:r>
                    <w:rPr>
                      <w:kern w:val="0"/>
                      <w:szCs w:val="21"/>
                    </w:rPr>
                    <w:t>达标</w:t>
                  </w:r>
                </w:p>
              </w:tc>
            </w:tr>
            <w:tr w14:paraId="555997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41CC38BF">
                  <w:pPr>
                    <w:adjustRightInd w:val="0"/>
                    <w:snapToGrid w:val="0"/>
                    <w:jc w:val="center"/>
                    <w:rPr>
                      <w:kern w:val="0"/>
                      <w:szCs w:val="21"/>
                    </w:rPr>
                  </w:pPr>
                  <w:r>
                    <w:rPr>
                      <w:szCs w:val="21"/>
                    </w:rPr>
                    <w:t>PM</w:t>
                  </w:r>
                  <w:r>
                    <w:rPr>
                      <w:szCs w:val="21"/>
                      <w:vertAlign w:val="subscript"/>
                    </w:rPr>
                    <w:t>10</w:t>
                  </w:r>
                </w:p>
              </w:tc>
              <w:tc>
                <w:tcPr>
                  <w:tcW w:w="2100" w:type="dxa"/>
                  <w:vAlign w:val="center"/>
                </w:tcPr>
                <w:p w14:paraId="51D2ED34">
                  <w:pPr>
                    <w:adjustRightInd w:val="0"/>
                    <w:snapToGrid w:val="0"/>
                    <w:jc w:val="center"/>
                    <w:rPr>
                      <w:kern w:val="0"/>
                      <w:szCs w:val="21"/>
                    </w:rPr>
                  </w:pPr>
                  <w:r>
                    <w:rPr>
                      <w:szCs w:val="21"/>
                    </w:rPr>
                    <w:t>年平均质量浓度</w:t>
                  </w:r>
                </w:p>
              </w:tc>
              <w:tc>
                <w:tcPr>
                  <w:tcW w:w="1362" w:type="dxa"/>
                  <w:vAlign w:val="center"/>
                </w:tcPr>
                <w:p w14:paraId="216284F5">
                  <w:pPr>
                    <w:adjustRightInd w:val="0"/>
                    <w:snapToGrid w:val="0"/>
                    <w:jc w:val="center"/>
                    <w:rPr>
                      <w:kern w:val="0"/>
                      <w:szCs w:val="21"/>
                    </w:rPr>
                  </w:pPr>
                  <w:r>
                    <w:rPr>
                      <w:kern w:val="0"/>
                      <w:szCs w:val="21"/>
                    </w:rPr>
                    <w:t>74</w:t>
                  </w:r>
                </w:p>
              </w:tc>
              <w:tc>
                <w:tcPr>
                  <w:tcW w:w="1207" w:type="dxa"/>
                  <w:vAlign w:val="center"/>
                </w:tcPr>
                <w:p w14:paraId="49D47F4B">
                  <w:pPr>
                    <w:adjustRightInd w:val="0"/>
                    <w:snapToGrid w:val="0"/>
                    <w:jc w:val="center"/>
                    <w:rPr>
                      <w:kern w:val="0"/>
                      <w:szCs w:val="21"/>
                    </w:rPr>
                  </w:pPr>
                  <w:r>
                    <w:rPr>
                      <w:szCs w:val="21"/>
                    </w:rPr>
                    <w:t>70</w:t>
                  </w:r>
                </w:p>
              </w:tc>
              <w:tc>
                <w:tcPr>
                  <w:tcW w:w="1220" w:type="dxa"/>
                  <w:vAlign w:val="center"/>
                </w:tcPr>
                <w:p w14:paraId="0CF75937">
                  <w:pPr>
                    <w:widowControl/>
                    <w:jc w:val="center"/>
                    <w:textAlignment w:val="center"/>
                    <w:rPr>
                      <w:kern w:val="0"/>
                      <w:szCs w:val="21"/>
                    </w:rPr>
                  </w:pPr>
                  <w:r>
                    <w:rPr>
                      <w:kern w:val="0"/>
                      <w:szCs w:val="21"/>
                    </w:rPr>
                    <w:t>105.71</w:t>
                  </w:r>
                </w:p>
              </w:tc>
              <w:tc>
                <w:tcPr>
                  <w:tcW w:w="1129" w:type="dxa"/>
                  <w:vAlign w:val="center"/>
                </w:tcPr>
                <w:p w14:paraId="2591B508">
                  <w:pPr>
                    <w:widowControl/>
                    <w:jc w:val="center"/>
                    <w:textAlignment w:val="center"/>
                    <w:rPr>
                      <w:kern w:val="0"/>
                      <w:szCs w:val="21"/>
                    </w:rPr>
                  </w:pPr>
                  <w:r>
                    <w:rPr>
                      <w:kern w:val="0"/>
                      <w:szCs w:val="21"/>
                    </w:rPr>
                    <w:t>超标</w:t>
                  </w:r>
                </w:p>
              </w:tc>
            </w:tr>
            <w:tr w14:paraId="438D4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B4DF967">
                  <w:pPr>
                    <w:adjustRightInd w:val="0"/>
                    <w:snapToGrid w:val="0"/>
                    <w:jc w:val="center"/>
                    <w:rPr>
                      <w:kern w:val="0"/>
                      <w:szCs w:val="21"/>
                    </w:rPr>
                  </w:pPr>
                  <w:r>
                    <w:rPr>
                      <w:szCs w:val="21"/>
                    </w:rPr>
                    <w:t>PM</w:t>
                  </w:r>
                  <w:r>
                    <w:rPr>
                      <w:szCs w:val="21"/>
                      <w:vertAlign w:val="subscript"/>
                    </w:rPr>
                    <w:t>2.5</w:t>
                  </w:r>
                </w:p>
              </w:tc>
              <w:tc>
                <w:tcPr>
                  <w:tcW w:w="2100" w:type="dxa"/>
                  <w:vAlign w:val="center"/>
                </w:tcPr>
                <w:p w14:paraId="777DD267">
                  <w:pPr>
                    <w:adjustRightInd w:val="0"/>
                    <w:snapToGrid w:val="0"/>
                    <w:jc w:val="center"/>
                    <w:rPr>
                      <w:kern w:val="0"/>
                      <w:szCs w:val="21"/>
                    </w:rPr>
                  </w:pPr>
                  <w:r>
                    <w:rPr>
                      <w:szCs w:val="21"/>
                    </w:rPr>
                    <w:t>年平均质量浓度</w:t>
                  </w:r>
                </w:p>
              </w:tc>
              <w:tc>
                <w:tcPr>
                  <w:tcW w:w="1362" w:type="dxa"/>
                  <w:vAlign w:val="center"/>
                </w:tcPr>
                <w:p w14:paraId="7F5BCAB4">
                  <w:pPr>
                    <w:adjustRightInd w:val="0"/>
                    <w:snapToGrid w:val="0"/>
                    <w:jc w:val="center"/>
                    <w:rPr>
                      <w:kern w:val="0"/>
                      <w:szCs w:val="21"/>
                    </w:rPr>
                  </w:pPr>
                  <w:r>
                    <w:rPr>
                      <w:kern w:val="0"/>
                      <w:szCs w:val="21"/>
                    </w:rPr>
                    <w:t>40</w:t>
                  </w:r>
                </w:p>
              </w:tc>
              <w:tc>
                <w:tcPr>
                  <w:tcW w:w="1207" w:type="dxa"/>
                  <w:vAlign w:val="center"/>
                </w:tcPr>
                <w:p w14:paraId="188FFD9A">
                  <w:pPr>
                    <w:adjustRightInd w:val="0"/>
                    <w:snapToGrid w:val="0"/>
                    <w:jc w:val="center"/>
                    <w:rPr>
                      <w:kern w:val="0"/>
                      <w:szCs w:val="21"/>
                    </w:rPr>
                  </w:pPr>
                  <w:r>
                    <w:rPr>
                      <w:szCs w:val="21"/>
                    </w:rPr>
                    <w:t>35</w:t>
                  </w:r>
                </w:p>
              </w:tc>
              <w:tc>
                <w:tcPr>
                  <w:tcW w:w="1220" w:type="dxa"/>
                  <w:vAlign w:val="center"/>
                </w:tcPr>
                <w:p w14:paraId="343F8A89">
                  <w:pPr>
                    <w:widowControl/>
                    <w:jc w:val="center"/>
                    <w:textAlignment w:val="center"/>
                    <w:rPr>
                      <w:kern w:val="0"/>
                      <w:szCs w:val="21"/>
                    </w:rPr>
                  </w:pPr>
                  <w:r>
                    <w:rPr>
                      <w:kern w:val="0"/>
                      <w:szCs w:val="21"/>
                    </w:rPr>
                    <w:t>114.29</w:t>
                  </w:r>
                </w:p>
              </w:tc>
              <w:tc>
                <w:tcPr>
                  <w:tcW w:w="1129" w:type="dxa"/>
                  <w:vAlign w:val="center"/>
                </w:tcPr>
                <w:p w14:paraId="77E473EA">
                  <w:pPr>
                    <w:widowControl/>
                    <w:jc w:val="center"/>
                    <w:textAlignment w:val="center"/>
                    <w:rPr>
                      <w:kern w:val="0"/>
                      <w:szCs w:val="21"/>
                    </w:rPr>
                  </w:pPr>
                  <w:r>
                    <w:rPr>
                      <w:kern w:val="0"/>
                      <w:szCs w:val="21"/>
                    </w:rPr>
                    <w:t>超标</w:t>
                  </w:r>
                </w:p>
              </w:tc>
            </w:tr>
            <w:tr w14:paraId="34CBE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5B01F87">
                  <w:pPr>
                    <w:adjustRightInd w:val="0"/>
                    <w:snapToGrid w:val="0"/>
                    <w:jc w:val="center"/>
                    <w:rPr>
                      <w:kern w:val="0"/>
                      <w:szCs w:val="21"/>
                    </w:rPr>
                  </w:pPr>
                  <w:r>
                    <w:rPr>
                      <w:szCs w:val="21"/>
                    </w:rPr>
                    <w:t>CO</w:t>
                  </w:r>
                </w:p>
              </w:tc>
              <w:tc>
                <w:tcPr>
                  <w:tcW w:w="2100" w:type="dxa"/>
                  <w:vAlign w:val="center"/>
                </w:tcPr>
                <w:p w14:paraId="3CDA0CB5">
                  <w:pPr>
                    <w:adjustRightInd w:val="0"/>
                    <w:snapToGrid w:val="0"/>
                    <w:jc w:val="center"/>
                    <w:rPr>
                      <w:kern w:val="0"/>
                      <w:szCs w:val="21"/>
                    </w:rPr>
                  </w:pPr>
                  <w:r>
                    <w:rPr>
                      <w:kern w:val="0"/>
                      <w:szCs w:val="21"/>
                    </w:rPr>
                    <w:t>日均值第95百分位浓度</w:t>
                  </w:r>
                </w:p>
              </w:tc>
              <w:tc>
                <w:tcPr>
                  <w:tcW w:w="1362" w:type="dxa"/>
                  <w:vAlign w:val="center"/>
                </w:tcPr>
                <w:p w14:paraId="15652B10">
                  <w:pPr>
                    <w:adjustRightInd w:val="0"/>
                    <w:snapToGrid w:val="0"/>
                    <w:jc w:val="center"/>
                    <w:rPr>
                      <w:kern w:val="0"/>
                      <w:szCs w:val="21"/>
                    </w:rPr>
                  </w:pPr>
                  <w:r>
                    <w:rPr>
                      <w:kern w:val="0"/>
                      <w:szCs w:val="21"/>
                    </w:rPr>
                    <w:t>1500</w:t>
                  </w:r>
                </w:p>
              </w:tc>
              <w:tc>
                <w:tcPr>
                  <w:tcW w:w="1207" w:type="dxa"/>
                  <w:vAlign w:val="center"/>
                </w:tcPr>
                <w:p w14:paraId="72E9447D">
                  <w:pPr>
                    <w:adjustRightInd w:val="0"/>
                    <w:snapToGrid w:val="0"/>
                    <w:jc w:val="center"/>
                    <w:rPr>
                      <w:kern w:val="0"/>
                      <w:szCs w:val="21"/>
                    </w:rPr>
                  </w:pPr>
                  <w:r>
                    <w:rPr>
                      <w:szCs w:val="21"/>
                    </w:rPr>
                    <w:t>4000</w:t>
                  </w:r>
                </w:p>
              </w:tc>
              <w:tc>
                <w:tcPr>
                  <w:tcW w:w="1220" w:type="dxa"/>
                  <w:vAlign w:val="center"/>
                </w:tcPr>
                <w:p w14:paraId="519699C4">
                  <w:pPr>
                    <w:widowControl/>
                    <w:jc w:val="center"/>
                    <w:textAlignment w:val="center"/>
                    <w:rPr>
                      <w:kern w:val="0"/>
                      <w:szCs w:val="21"/>
                    </w:rPr>
                  </w:pPr>
                  <w:r>
                    <w:rPr>
                      <w:kern w:val="0"/>
                      <w:szCs w:val="21"/>
                    </w:rPr>
                    <w:t>37.50</w:t>
                  </w:r>
                </w:p>
              </w:tc>
              <w:tc>
                <w:tcPr>
                  <w:tcW w:w="1129" w:type="dxa"/>
                  <w:vAlign w:val="center"/>
                </w:tcPr>
                <w:p w14:paraId="2B155770">
                  <w:pPr>
                    <w:widowControl/>
                    <w:jc w:val="center"/>
                    <w:textAlignment w:val="center"/>
                    <w:rPr>
                      <w:kern w:val="0"/>
                      <w:szCs w:val="21"/>
                    </w:rPr>
                  </w:pPr>
                  <w:r>
                    <w:rPr>
                      <w:kern w:val="0"/>
                      <w:szCs w:val="21"/>
                    </w:rPr>
                    <w:t>达标</w:t>
                  </w:r>
                </w:p>
              </w:tc>
            </w:tr>
            <w:tr w14:paraId="38D51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18156648">
                  <w:pPr>
                    <w:adjustRightInd w:val="0"/>
                    <w:snapToGrid w:val="0"/>
                    <w:jc w:val="center"/>
                    <w:rPr>
                      <w:kern w:val="0"/>
                      <w:szCs w:val="21"/>
                    </w:rPr>
                  </w:pPr>
                  <w:r>
                    <w:rPr>
                      <w:szCs w:val="21"/>
                    </w:rPr>
                    <w:t>O</w:t>
                  </w:r>
                  <w:r>
                    <w:rPr>
                      <w:szCs w:val="21"/>
                      <w:vertAlign w:val="subscript"/>
                    </w:rPr>
                    <w:t>3</w:t>
                  </w:r>
                </w:p>
              </w:tc>
              <w:tc>
                <w:tcPr>
                  <w:tcW w:w="2100" w:type="dxa"/>
                  <w:vAlign w:val="center"/>
                </w:tcPr>
                <w:p w14:paraId="190CE63F">
                  <w:pPr>
                    <w:adjustRightInd w:val="0"/>
                    <w:snapToGrid w:val="0"/>
                    <w:jc w:val="center"/>
                    <w:rPr>
                      <w:kern w:val="0"/>
                      <w:szCs w:val="21"/>
                    </w:rPr>
                  </w:pPr>
                  <w:r>
                    <w:rPr>
                      <w:kern w:val="0"/>
                      <w:szCs w:val="21"/>
                    </w:rPr>
                    <w:t>日最大8小时平均第90百分位浓度</w:t>
                  </w:r>
                </w:p>
              </w:tc>
              <w:tc>
                <w:tcPr>
                  <w:tcW w:w="1362" w:type="dxa"/>
                  <w:vAlign w:val="center"/>
                </w:tcPr>
                <w:p w14:paraId="37EC77A2">
                  <w:pPr>
                    <w:adjustRightInd w:val="0"/>
                    <w:snapToGrid w:val="0"/>
                    <w:jc w:val="center"/>
                    <w:rPr>
                      <w:kern w:val="0"/>
                      <w:szCs w:val="21"/>
                    </w:rPr>
                  </w:pPr>
                  <w:r>
                    <w:rPr>
                      <w:kern w:val="0"/>
                      <w:szCs w:val="21"/>
                    </w:rPr>
                    <w:t>181</w:t>
                  </w:r>
                </w:p>
              </w:tc>
              <w:tc>
                <w:tcPr>
                  <w:tcW w:w="1207" w:type="dxa"/>
                  <w:vAlign w:val="center"/>
                </w:tcPr>
                <w:p w14:paraId="28777BA0">
                  <w:pPr>
                    <w:adjustRightInd w:val="0"/>
                    <w:snapToGrid w:val="0"/>
                    <w:jc w:val="center"/>
                    <w:rPr>
                      <w:kern w:val="0"/>
                      <w:szCs w:val="21"/>
                    </w:rPr>
                  </w:pPr>
                  <w:r>
                    <w:rPr>
                      <w:szCs w:val="21"/>
                    </w:rPr>
                    <w:t>160</w:t>
                  </w:r>
                </w:p>
              </w:tc>
              <w:tc>
                <w:tcPr>
                  <w:tcW w:w="1220" w:type="dxa"/>
                  <w:vAlign w:val="center"/>
                </w:tcPr>
                <w:p w14:paraId="1F6085F4">
                  <w:pPr>
                    <w:widowControl/>
                    <w:jc w:val="center"/>
                    <w:textAlignment w:val="center"/>
                    <w:rPr>
                      <w:kern w:val="0"/>
                      <w:szCs w:val="21"/>
                    </w:rPr>
                  </w:pPr>
                  <w:r>
                    <w:rPr>
                      <w:kern w:val="0"/>
                      <w:szCs w:val="21"/>
                    </w:rPr>
                    <w:t>113.13</w:t>
                  </w:r>
                </w:p>
              </w:tc>
              <w:tc>
                <w:tcPr>
                  <w:tcW w:w="1129" w:type="dxa"/>
                  <w:vAlign w:val="center"/>
                </w:tcPr>
                <w:p w14:paraId="16BC0CDE">
                  <w:pPr>
                    <w:widowControl/>
                    <w:jc w:val="center"/>
                    <w:textAlignment w:val="center"/>
                    <w:rPr>
                      <w:kern w:val="0"/>
                      <w:szCs w:val="21"/>
                    </w:rPr>
                  </w:pPr>
                  <w:r>
                    <w:rPr>
                      <w:kern w:val="0"/>
                      <w:szCs w:val="21"/>
                    </w:rPr>
                    <w:t>超标</w:t>
                  </w:r>
                </w:p>
              </w:tc>
            </w:tr>
          </w:tbl>
          <w:p w14:paraId="4028B4BD">
            <w:pPr>
              <w:adjustRightInd w:val="0"/>
              <w:snapToGrid w:val="0"/>
              <w:spacing w:line="480" w:lineRule="exact"/>
              <w:ind w:firstLine="480" w:firstLineChars="200"/>
              <w:rPr>
                <w:sz w:val="24"/>
              </w:rPr>
            </w:pPr>
            <w:r>
              <w:rPr>
                <w:sz w:val="24"/>
              </w:rPr>
              <w:t>由上表可知，项目所在区域SO</w:t>
            </w:r>
            <w:r>
              <w:rPr>
                <w:sz w:val="24"/>
                <w:vertAlign w:val="subscript"/>
              </w:rPr>
              <w:t>2</w:t>
            </w:r>
            <w:r>
              <w:rPr>
                <w:sz w:val="24"/>
              </w:rPr>
              <w:t>，NO</w:t>
            </w:r>
            <w:r>
              <w:rPr>
                <w:sz w:val="24"/>
                <w:vertAlign w:val="subscript"/>
              </w:rPr>
              <w:t>2</w:t>
            </w:r>
            <w:r>
              <w:rPr>
                <w:sz w:val="24"/>
              </w:rPr>
              <w:t>年平均质量浓度、CO日均值第95百分位浓度满足空气质量标准要求；PM</w:t>
            </w:r>
            <w:r>
              <w:rPr>
                <w:sz w:val="24"/>
                <w:vertAlign w:val="subscript"/>
              </w:rPr>
              <w:t>10</w:t>
            </w:r>
            <w:r>
              <w:rPr>
                <w:sz w:val="24"/>
              </w:rPr>
              <w:t>、PM</w:t>
            </w:r>
            <w:r>
              <w:rPr>
                <w:sz w:val="24"/>
                <w:vertAlign w:val="subscript"/>
              </w:rPr>
              <w:t>2.5</w:t>
            </w:r>
            <w:r>
              <w:rPr>
                <w:sz w:val="24"/>
              </w:rPr>
              <w:t>年平均质量浓度，O</w:t>
            </w:r>
            <w:r>
              <w:rPr>
                <w:sz w:val="24"/>
                <w:vertAlign w:val="subscript"/>
              </w:rPr>
              <w:t>3</w:t>
            </w:r>
            <w:r>
              <w:rPr>
                <w:sz w:val="24"/>
              </w:rPr>
              <w:t>日最大8小时平均第90百分位浓度超过环境质量标准要求，即项目所在区域为不达标区。</w:t>
            </w:r>
          </w:p>
          <w:p w14:paraId="5265A7A5">
            <w:pPr>
              <w:pStyle w:val="5"/>
              <w:spacing w:before="0" w:after="0" w:line="480" w:lineRule="exact"/>
              <w:jc w:val="center"/>
            </w:pPr>
            <w:r>
              <w:rPr>
                <w:b/>
                <w:bCs/>
              </w:rPr>
              <w:t>表3-</w:t>
            </w:r>
            <w:r>
              <w:rPr>
                <w:rFonts w:hint="eastAsia"/>
                <w:b/>
                <w:bCs/>
              </w:rPr>
              <w:t xml:space="preserve">5 </w:t>
            </w:r>
            <w:r>
              <w:rPr>
                <w:b/>
                <w:bCs/>
              </w:rPr>
              <w:t xml:space="preserve">  2023年曹妃甸区环境质量达标情况评价表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
            <w:tblGrid>
              <w:gridCol w:w="926"/>
              <w:gridCol w:w="2520"/>
              <w:gridCol w:w="1500"/>
              <w:gridCol w:w="1442"/>
              <w:gridCol w:w="894"/>
              <w:gridCol w:w="662"/>
            </w:tblGrid>
            <w:tr w14:paraId="633F7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F9C6E21">
                  <w:pPr>
                    <w:widowControl/>
                    <w:spacing w:line="0" w:lineRule="atLeast"/>
                    <w:jc w:val="center"/>
                    <w:rPr>
                      <w:kern w:val="0"/>
                      <w:szCs w:val="21"/>
                    </w:rPr>
                  </w:pPr>
                  <w:r>
                    <w:rPr>
                      <w:kern w:val="0"/>
                      <w:szCs w:val="21"/>
                    </w:rPr>
                    <w:t>污染物</w:t>
                  </w:r>
                </w:p>
              </w:tc>
              <w:tc>
                <w:tcPr>
                  <w:tcW w:w="2520" w:type="dxa"/>
                  <w:vAlign w:val="center"/>
                </w:tcPr>
                <w:p w14:paraId="0089846E">
                  <w:pPr>
                    <w:widowControl/>
                    <w:spacing w:line="0" w:lineRule="atLeast"/>
                    <w:jc w:val="center"/>
                    <w:rPr>
                      <w:kern w:val="0"/>
                      <w:szCs w:val="21"/>
                    </w:rPr>
                  </w:pPr>
                  <w:r>
                    <w:rPr>
                      <w:kern w:val="0"/>
                      <w:szCs w:val="21"/>
                    </w:rPr>
                    <w:t>年评价指标</w:t>
                  </w:r>
                </w:p>
              </w:tc>
              <w:tc>
                <w:tcPr>
                  <w:tcW w:w="1500" w:type="dxa"/>
                  <w:vAlign w:val="center"/>
                </w:tcPr>
                <w:p w14:paraId="74628185">
                  <w:pPr>
                    <w:widowControl/>
                    <w:spacing w:line="0" w:lineRule="atLeast"/>
                    <w:jc w:val="center"/>
                    <w:rPr>
                      <w:kern w:val="0"/>
                      <w:szCs w:val="21"/>
                    </w:rPr>
                  </w:pPr>
                  <w:r>
                    <w:rPr>
                      <w:kern w:val="0"/>
                      <w:szCs w:val="21"/>
                    </w:rPr>
                    <w:t>现状浓度/（µg/m</w:t>
                  </w:r>
                  <w:r>
                    <w:rPr>
                      <w:kern w:val="0"/>
                      <w:szCs w:val="21"/>
                      <w:vertAlign w:val="superscript"/>
                    </w:rPr>
                    <w:t>3</w:t>
                  </w:r>
                  <w:r>
                    <w:rPr>
                      <w:kern w:val="0"/>
                      <w:szCs w:val="21"/>
                    </w:rPr>
                    <w:t>）</w:t>
                  </w:r>
                </w:p>
              </w:tc>
              <w:tc>
                <w:tcPr>
                  <w:tcW w:w="1442" w:type="dxa"/>
                  <w:vAlign w:val="center"/>
                </w:tcPr>
                <w:p w14:paraId="37FC93D7">
                  <w:pPr>
                    <w:widowControl/>
                    <w:spacing w:line="0" w:lineRule="atLeast"/>
                    <w:jc w:val="center"/>
                    <w:rPr>
                      <w:kern w:val="0"/>
                      <w:szCs w:val="21"/>
                    </w:rPr>
                  </w:pPr>
                  <w:r>
                    <w:rPr>
                      <w:kern w:val="0"/>
                      <w:szCs w:val="21"/>
                    </w:rPr>
                    <w:t>标准值/（µg/m</w:t>
                  </w:r>
                  <w:r>
                    <w:rPr>
                      <w:kern w:val="0"/>
                      <w:szCs w:val="21"/>
                      <w:vertAlign w:val="superscript"/>
                    </w:rPr>
                    <w:t>3</w:t>
                  </w:r>
                  <w:r>
                    <w:rPr>
                      <w:kern w:val="0"/>
                      <w:szCs w:val="21"/>
                    </w:rPr>
                    <w:t>）</w:t>
                  </w:r>
                </w:p>
              </w:tc>
              <w:tc>
                <w:tcPr>
                  <w:tcW w:w="894" w:type="dxa"/>
                  <w:vAlign w:val="center"/>
                </w:tcPr>
                <w:p w14:paraId="2DF54A8E">
                  <w:pPr>
                    <w:widowControl/>
                    <w:spacing w:line="0" w:lineRule="atLeast"/>
                    <w:jc w:val="center"/>
                    <w:rPr>
                      <w:kern w:val="0"/>
                      <w:szCs w:val="21"/>
                    </w:rPr>
                  </w:pPr>
                  <w:r>
                    <w:rPr>
                      <w:kern w:val="0"/>
                      <w:szCs w:val="21"/>
                    </w:rPr>
                    <w:t>占标率/%</w:t>
                  </w:r>
                </w:p>
              </w:tc>
              <w:tc>
                <w:tcPr>
                  <w:tcW w:w="662" w:type="dxa"/>
                  <w:vAlign w:val="center"/>
                </w:tcPr>
                <w:p w14:paraId="77946C6C">
                  <w:pPr>
                    <w:widowControl/>
                    <w:spacing w:line="0" w:lineRule="atLeast"/>
                    <w:jc w:val="center"/>
                    <w:rPr>
                      <w:kern w:val="0"/>
                      <w:szCs w:val="21"/>
                    </w:rPr>
                  </w:pPr>
                  <w:r>
                    <w:rPr>
                      <w:kern w:val="0"/>
                      <w:szCs w:val="21"/>
                    </w:rPr>
                    <w:t>达标情况</w:t>
                  </w:r>
                </w:p>
              </w:tc>
            </w:tr>
            <w:tr w14:paraId="453854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64B82167">
                  <w:pPr>
                    <w:adjustRightInd w:val="0"/>
                    <w:snapToGrid w:val="0"/>
                    <w:jc w:val="center"/>
                    <w:rPr>
                      <w:kern w:val="0"/>
                      <w:szCs w:val="21"/>
                    </w:rPr>
                  </w:pPr>
                  <w:r>
                    <w:rPr>
                      <w:szCs w:val="21"/>
                    </w:rPr>
                    <w:t>SO</w:t>
                  </w:r>
                  <w:r>
                    <w:rPr>
                      <w:szCs w:val="21"/>
                      <w:vertAlign w:val="subscript"/>
                    </w:rPr>
                    <w:t>2</w:t>
                  </w:r>
                </w:p>
              </w:tc>
              <w:tc>
                <w:tcPr>
                  <w:tcW w:w="2520" w:type="dxa"/>
                  <w:vAlign w:val="center"/>
                </w:tcPr>
                <w:p w14:paraId="01E8817D">
                  <w:pPr>
                    <w:adjustRightInd w:val="0"/>
                    <w:snapToGrid w:val="0"/>
                    <w:jc w:val="center"/>
                    <w:rPr>
                      <w:kern w:val="0"/>
                      <w:szCs w:val="21"/>
                    </w:rPr>
                  </w:pPr>
                  <w:r>
                    <w:rPr>
                      <w:szCs w:val="21"/>
                    </w:rPr>
                    <w:t>年平均质量浓度</w:t>
                  </w:r>
                </w:p>
              </w:tc>
              <w:tc>
                <w:tcPr>
                  <w:tcW w:w="1500" w:type="dxa"/>
                  <w:vAlign w:val="center"/>
                </w:tcPr>
                <w:p w14:paraId="7E025899">
                  <w:pPr>
                    <w:jc w:val="center"/>
                    <w:rPr>
                      <w:kern w:val="0"/>
                      <w:szCs w:val="21"/>
                    </w:rPr>
                  </w:pPr>
                  <w:r>
                    <w:rPr>
                      <w:kern w:val="0"/>
                      <w:szCs w:val="21"/>
                    </w:rPr>
                    <w:t>9</w:t>
                  </w:r>
                </w:p>
              </w:tc>
              <w:tc>
                <w:tcPr>
                  <w:tcW w:w="1442" w:type="dxa"/>
                  <w:vAlign w:val="center"/>
                </w:tcPr>
                <w:p w14:paraId="18979B31">
                  <w:pPr>
                    <w:adjustRightInd w:val="0"/>
                    <w:snapToGrid w:val="0"/>
                    <w:jc w:val="center"/>
                    <w:rPr>
                      <w:kern w:val="0"/>
                      <w:szCs w:val="21"/>
                    </w:rPr>
                  </w:pPr>
                  <w:r>
                    <w:rPr>
                      <w:szCs w:val="21"/>
                    </w:rPr>
                    <w:t>60</w:t>
                  </w:r>
                </w:p>
              </w:tc>
              <w:tc>
                <w:tcPr>
                  <w:tcW w:w="894" w:type="dxa"/>
                  <w:vAlign w:val="center"/>
                </w:tcPr>
                <w:p w14:paraId="45430FF3">
                  <w:pPr>
                    <w:widowControl/>
                    <w:jc w:val="center"/>
                    <w:textAlignment w:val="center"/>
                    <w:rPr>
                      <w:kern w:val="0"/>
                      <w:szCs w:val="21"/>
                    </w:rPr>
                  </w:pPr>
                  <w:r>
                    <w:rPr>
                      <w:kern w:val="0"/>
                      <w:szCs w:val="21"/>
                    </w:rPr>
                    <w:t>15.00</w:t>
                  </w:r>
                </w:p>
              </w:tc>
              <w:tc>
                <w:tcPr>
                  <w:tcW w:w="662" w:type="dxa"/>
                  <w:vAlign w:val="center"/>
                </w:tcPr>
                <w:p w14:paraId="118AFCBD">
                  <w:pPr>
                    <w:jc w:val="center"/>
                    <w:rPr>
                      <w:kern w:val="0"/>
                      <w:szCs w:val="21"/>
                    </w:rPr>
                  </w:pPr>
                  <w:r>
                    <w:rPr>
                      <w:kern w:val="0"/>
                      <w:szCs w:val="21"/>
                    </w:rPr>
                    <w:t>达标</w:t>
                  </w:r>
                </w:p>
              </w:tc>
            </w:tr>
            <w:tr w14:paraId="21B0F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7D4B92C7">
                  <w:pPr>
                    <w:adjustRightInd w:val="0"/>
                    <w:snapToGrid w:val="0"/>
                    <w:jc w:val="center"/>
                    <w:rPr>
                      <w:kern w:val="0"/>
                      <w:szCs w:val="21"/>
                    </w:rPr>
                  </w:pPr>
                  <w:r>
                    <w:rPr>
                      <w:szCs w:val="21"/>
                    </w:rPr>
                    <w:t>NO</w:t>
                  </w:r>
                  <w:r>
                    <w:rPr>
                      <w:szCs w:val="21"/>
                      <w:vertAlign w:val="subscript"/>
                    </w:rPr>
                    <w:t>2</w:t>
                  </w:r>
                </w:p>
              </w:tc>
              <w:tc>
                <w:tcPr>
                  <w:tcW w:w="2520" w:type="dxa"/>
                  <w:vAlign w:val="center"/>
                </w:tcPr>
                <w:p w14:paraId="12BE1952">
                  <w:pPr>
                    <w:adjustRightInd w:val="0"/>
                    <w:snapToGrid w:val="0"/>
                    <w:jc w:val="center"/>
                    <w:rPr>
                      <w:kern w:val="0"/>
                      <w:szCs w:val="21"/>
                    </w:rPr>
                  </w:pPr>
                  <w:r>
                    <w:rPr>
                      <w:szCs w:val="21"/>
                    </w:rPr>
                    <w:t>年平均质量浓度</w:t>
                  </w:r>
                </w:p>
              </w:tc>
              <w:tc>
                <w:tcPr>
                  <w:tcW w:w="1500" w:type="dxa"/>
                  <w:vAlign w:val="center"/>
                </w:tcPr>
                <w:p w14:paraId="4218AD8C">
                  <w:pPr>
                    <w:jc w:val="center"/>
                    <w:rPr>
                      <w:kern w:val="0"/>
                      <w:szCs w:val="21"/>
                    </w:rPr>
                  </w:pPr>
                  <w:r>
                    <w:rPr>
                      <w:kern w:val="0"/>
                      <w:szCs w:val="21"/>
                    </w:rPr>
                    <w:t>29</w:t>
                  </w:r>
                </w:p>
              </w:tc>
              <w:tc>
                <w:tcPr>
                  <w:tcW w:w="1442" w:type="dxa"/>
                  <w:vAlign w:val="center"/>
                </w:tcPr>
                <w:p w14:paraId="384AE512">
                  <w:pPr>
                    <w:adjustRightInd w:val="0"/>
                    <w:snapToGrid w:val="0"/>
                    <w:jc w:val="center"/>
                    <w:rPr>
                      <w:kern w:val="0"/>
                      <w:szCs w:val="21"/>
                    </w:rPr>
                  </w:pPr>
                  <w:r>
                    <w:rPr>
                      <w:szCs w:val="21"/>
                    </w:rPr>
                    <w:t>40</w:t>
                  </w:r>
                </w:p>
              </w:tc>
              <w:tc>
                <w:tcPr>
                  <w:tcW w:w="894" w:type="dxa"/>
                  <w:vAlign w:val="center"/>
                </w:tcPr>
                <w:p w14:paraId="09769A81">
                  <w:pPr>
                    <w:widowControl/>
                    <w:jc w:val="center"/>
                    <w:textAlignment w:val="center"/>
                    <w:rPr>
                      <w:kern w:val="0"/>
                      <w:szCs w:val="21"/>
                    </w:rPr>
                  </w:pPr>
                  <w:r>
                    <w:rPr>
                      <w:kern w:val="0"/>
                      <w:szCs w:val="21"/>
                    </w:rPr>
                    <w:t>72.50</w:t>
                  </w:r>
                </w:p>
              </w:tc>
              <w:tc>
                <w:tcPr>
                  <w:tcW w:w="662" w:type="dxa"/>
                  <w:vAlign w:val="center"/>
                </w:tcPr>
                <w:p w14:paraId="10FD2A8A">
                  <w:pPr>
                    <w:jc w:val="center"/>
                    <w:rPr>
                      <w:kern w:val="0"/>
                      <w:szCs w:val="21"/>
                    </w:rPr>
                  </w:pPr>
                  <w:r>
                    <w:rPr>
                      <w:kern w:val="0"/>
                      <w:szCs w:val="21"/>
                    </w:rPr>
                    <w:t>达标</w:t>
                  </w:r>
                </w:p>
              </w:tc>
            </w:tr>
            <w:tr w14:paraId="7EA9A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688176F9">
                  <w:pPr>
                    <w:adjustRightInd w:val="0"/>
                    <w:snapToGrid w:val="0"/>
                    <w:jc w:val="center"/>
                    <w:rPr>
                      <w:kern w:val="0"/>
                      <w:szCs w:val="21"/>
                    </w:rPr>
                  </w:pPr>
                  <w:r>
                    <w:rPr>
                      <w:szCs w:val="21"/>
                    </w:rPr>
                    <w:t>PM</w:t>
                  </w:r>
                  <w:r>
                    <w:rPr>
                      <w:szCs w:val="21"/>
                      <w:vertAlign w:val="subscript"/>
                    </w:rPr>
                    <w:t>10</w:t>
                  </w:r>
                </w:p>
              </w:tc>
              <w:tc>
                <w:tcPr>
                  <w:tcW w:w="2520" w:type="dxa"/>
                  <w:vAlign w:val="center"/>
                </w:tcPr>
                <w:p w14:paraId="6CF2DA86">
                  <w:pPr>
                    <w:adjustRightInd w:val="0"/>
                    <w:snapToGrid w:val="0"/>
                    <w:jc w:val="center"/>
                    <w:rPr>
                      <w:kern w:val="0"/>
                      <w:szCs w:val="21"/>
                    </w:rPr>
                  </w:pPr>
                  <w:r>
                    <w:rPr>
                      <w:szCs w:val="21"/>
                    </w:rPr>
                    <w:t>年平均质量浓度</w:t>
                  </w:r>
                </w:p>
              </w:tc>
              <w:tc>
                <w:tcPr>
                  <w:tcW w:w="1500" w:type="dxa"/>
                  <w:vAlign w:val="center"/>
                </w:tcPr>
                <w:p w14:paraId="0BB7F725">
                  <w:pPr>
                    <w:jc w:val="center"/>
                    <w:rPr>
                      <w:kern w:val="0"/>
                      <w:szCs w:val="21"/>
                    </w:rPr>
                  </w:pPr>
                  <w:r>
                    <w:rPr>
                      <w:kern w:val="0"/>
                      <w:szCs w:val="21"/>
                    </w:rPr>
                    <w:t>63</w:t>
                  </w:r>
                </w:p>
              </w:tc>
              <w:tc>
                <w:tcPr>
                  <w:tcW w:w="1442" w:type="dxa"/>
                  <w:vAlign w:val="center"/>
                </w:tcPr>
                <w:p w14:paraId="6F2D7ECB">
                  <w:pPr>
                    <w:adjustRightInd w:val="0"/>
                    <w:snapToGrid w:val="0"/>
                    <w:jc w:val="center"/>
                    <w:rPr>
                      <w:kern w:val="0"/>
                      <w:szCs w:val="21"/>
                    </w:rPr>
                  </w:pPr>
                  <w:r>
                    <w:rPr>
                      <w:szCs w:val="21"/>
                    </w:rPr>
                    <w:t>70</w:t>
                  </w:r>
                </w:p>
              </w:tc>
              <w:tc>
                <w:tcPr>
                  <w:tcW w:w="894" w:type="dxa"/>
                  <w:vAlign w:val="center"/>
                </w:tcPr>
                <w:p w14:paraId="1FFC9149">
                  <w:pPr>
                    <w:widowControl/>
                    <w:jc w:val="center"/>
                    <w:textAlignment w:val="center"/>
                    <w:rPr>
                      <w:kern w:val="0"/>
                      <w:szCs w:val="21"/>
                    </w:rPr>
                  </w:pPr>
                  <w:r>
                    <w:rPr>
                      <w:kern w:val="0"/>
                      <w:szCs w:val="21"/>
                    </w:rPr>
                    <w:t>90.00</w:t>
                  </w:r>
                </w:p>
              </w:tc>
              <w:tc>
                <w:tcPr>
                  <w:tcW w:w="662" w:type="dxa"/>
                  <w:vAlign w:val="center"/>
                </w:tcPr>
                <w:p w14:paraId="070860A7">
                  <w:pPr>
                    <w:jc w:val="center"/>
                    <w:rPr>
                      <w:kern w:val="0"/>
                      <w:szCs w:val="21"/>
                    </w:rPr>
                  </w:pPr>
                  <w:r>
                    <w:rPr>
                      <w:kern w:val="0"/>
                      <w:szCs w:val="21"/>
                    </w:rPr>
                    <w:t>达标</w:t>
                  </w:r>
                </w:p>
              </w:tc>
            </w:tr>
            <w:tr w14:paraId="48DD4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35D2AA1A">
                  <w:pPr>
                    <w:adjustRightInd w:val="0"/>
                    <w:snapToGrid w:val="0"/>
                    <w:jc w:val="center"/>
                    <w:rPr>
                      <w:kern w:val="0"/>
                      <w:szCs w:val="21"/>
                    </w:rPr>
                  </w:pPr>
                  <w:r>
                    <w:rPr>
                      <w:szCs w:val="21"/>
                    </w:rPr>
                    <w:t>PM</w:t>
                  </w:r>
                  <w:r>
                    <w:rPr>
                      <w:szCs w:val="21"/>
                      <w:vertAlign w:val="subscript"/>
                    </w:rPr>
                    <w:t>2.5</w:t>
                  </w:r>
                </w:p>
              </w:tc>
              <w:tc>
                <w:tcPr>
                  <w:tcW w:w="2520" w:type="dxa"/>
                  <w:vAlign w:val="center"/>
                </w:tcPr>
                <w:p w14:paraId="3D2EC661">
                  <w:pPr>
                    <w:adjustRightInd w:val="0"/>
                    <w:snapToGrid w:val="0"/>
                    <w:jc w:val="center"/>
                    <w:rPr>
                      <w:kern w:val="0"/>
                      <w:szCs w:val="21"/>
                    </w:rPr>
                  </w:pPr>
                  <w:r>
                    <w:rPr>
                      <w:szCs w:val="21"/>
                    </w:rPr>
                    <w:t>年平均质量浓度</w:t>
                  </w:r>
                </w:p>
              </w:tc>
              <w:tc>
                <w:tcPr>
                  <w:tcW w:w="1500" w:type="dxa"/>
                  <w:vAlign w:val="center"/>
                </w:tcPr>
                <w:p w14:paraId="2B3077AE">
                  <w:pPr>
                    <w:jc w:val="center"/>
                    <w:rPr>
                      <w:kern w:val="0"/>
                      <w:szCs w:val="21"/>
                    </w:rPr>
                  </w:pPr>
                  <w:r>
                    <w:rPr>
                      <w:kern w:val="0"/>
                      <w:szCs w:val="21"/>
                    </w:rPr>
                    <w:t>36</w:t>
                  </w:r>
                </w:p>
              </w:tc>
              <w:tc>
                <w:tcPr>
                  <w:tcW w:w="1442" w:type="dxa"/>
                  <w:vAlign w:val="center"/>
                </w:tcPr>
                <w:p w14:paraId="4A941A4D">
                  <w:pPr>
                    <w:adjustRightInd w:val="0"/>
                    <w:snapToGrid w:val="0"/>
                    <w:jc w:val="center"/>
                    <w:rPr>
                      <w:kern w:val="0"/>
                      <w:szCs w:val="21"/>
                    </w:rPr>
                  </w:pPr>
                  <w:r>
                    <w:rPr>
                      <w:szCs w:val="21"/>
                    </w:rPr>
                    <w:t>35</w:t>
                  </w:r>
                </w:p>
              </w:tc>
              <w:tc>
                <w:tcPr>
                  <w:tcW w:w="894" w:type="dxa"/>
                  <w:vAlign w:val="center"/>
                </w:tcPr>
                <w:p w14:paraId="50CCDFDE">
                  <w:pPr>
                    <w:widowControl/>
                    <w:jc w:val="center"/>
                    <w:textAlignment w:val="center"/>
                    <w:rPr>
                      <w:kern w:val="0"/>
                      <w:szCs w:val="21"/>
                    </w:rPr>
                  </w:pPr>
                  <w:r>
                    <w:rPr>
                      <w:kern w:val="0"/>
                      <w:szCs w:val="21"/>
                    </w:rPr>
                    <w:t>102.86</w:t>
                  </w:r>
                </w:p>
              </w:tc>
              <w:tc>
                <w:tcPr>
                  <w:tcW w:w="662" w:type="dxa"/>
                  <w:vAlign w:val="center"/>
                </w:tcPr>
                <w:p w14:paraId="4BC7BCEA">
                  <w:pPr>
                    <w:jc w:val="center"/>
                    <w:rPr>
                      <w:kern w:val="0"/>
                      <w:szCs w:val="21"/>
                    </w:rPr>
                  </w:pPr>
                  <w:r>
                    <w:rPr>
                      <w:kern w:val="0"/>
                      <w:szCs w:val="21"/>
                    </w:rPr>
                    <w:t>超标</w:t>
                  </w:r>
                </w:p>
              </w:tc>
            </w:tr>
            <w:tr w14:paraId="15F98C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CFCED40">
                  <w:pPr>
                    <w:adjustRightInd w:val="0"/>
                    <w:snapToGrid w:val="0"/>
                    <w:jc w:val="center"/>
                    <w:rPr>
                      <w:kern w:val="0"/>
                      <w:szCs w:val="21"/>
                    </w:rPr>
                  </w:pPr>
                  <w:r>
                    <w:rPr>
                      <w:szCs w:val="21"/>
                    </w:rPr>
                    <w:t>CO</w:t>
                  </w:r>
                </w:p>
              </w:tc>
              <w:tc>
                <w:tcPr>
                  <w:tcW w:w="2520" w:type="dxa"/>
                  <w:vAlign w:val="center"/>
                </w:tcPr>
                <w:p w14:paraId="5702F2BD">
                  <w:pPr>
                    <w:adjustRightInd w:val="0"/>
                    <w:snapToGrid w:val="0"/>
                    <w:jc w:val="center"/>
                    <w:rPr>
                      <w:kern w:val="0"/>
                      <w:szCs w:val="21"/>
                    </w:rPr>
                  </w:pPr>
                  <w:r>
                    <w:rPr>
                      <w:kern w:val="0"/>
                      <w:szCs w:val="21"/>
                    </w:rPr>
                    <w:t>日均值第95百分位浓度</w:t>
                  </w:r>
                </w:p>
              </w:tc>
              <w:tc>
                <w:tcPr>
                  <w:tcW w:w="1500" w:type="dxa"/>
                  <w:vAlign w:val="center"/>
                </w:tcPr>
                <w:p w14:paraId="1CD3AC0E">
                  <w:pPr>
                    <w:jc w:val="center"/>
                    <w:rPr>
                      <w:kern w:val="0"/>
                      <w:szCs w:val="21"/>
                    </w:rPr>
                  </w:pPr>
                  <w:r>
                    <w:rPr>
                      <w:kern w:val="0"/>
                      <w:szCs w:val="21"/>
                    </w:rPr>
                    <w:t>1100</w:t>
                  </w:r>
                </w:p>
              </w:tc>
              <w:tc>
                <w:tcPr>
                  <w:tcW w:w="1442" w:type="dxa"/>
                  <w:vAlign w:val="center"/>
                </w:tcPr>
                <w:p w14:paraId="378B1CBE">
                  <w:pPr>
                    <w:adjustRightInd w:val="0"/>
                    <w:snapToGrid w:val="0"/>
                    <w:jc w:val="center"/>
                    <w:rPr>
                      <w:kern w:val="0"/>
                      <w:szCs w:val="21"/>
                    </w:rPr>
                  </w:pPr>
                  <w:r>
                    <w:rPr>
                      <w:szCs w:val="21"/>
                    </w:rPr>
                    <w:t>4000</w:t>
                  </w:r>
                </w:p>
              </w:tc>
              <w:tc>
                <w:tcPr>
                  <w:tcW w:w="894" w:type="dxa"/>
                  <w:vAlign w:val="center"/>
                </w:tcPr>
                <w:p w14:paraId="084B1283">
                  <w:pPr>
                    <w:widowControl/>
                    <w:jc w:val="center"/>
                    <w:textAlignment w:val="center"/>
                    <w:rPr>
                      <w:kern w:val="0"/>
                      <w:szCs w:val="21"/>
                    </w:rPr>
                  </w:pPr>
                  <w:r>
                    <w:rPr>
                      <w:kern w:val="0"/>
                      <w:szCs w:val="21"/>
                    </w:rPr>
                    <w:t>27.50</w:t>
                  </w:r>
                </w:p>
              </w:tc>
              <w:tc>
                <w:tcPr>
                  <w:tcW w:w="662" w:type="dxa"/>
                  <w:vAlign w:val="center"/>
                </w:tcPr>
                <w:p w14:paraId="66CCFB23">
                  <w:pPr>
                    <w:jc w:val="center"/>
                    <w:rPr>
                      <w:kern w:val="0"/>
                      <w:szCs w:val="21"/>
                    </w:rPr>
                  </w:pPr>
                  <w:r>
                    <w:rPr>
                      <w:kern w:val="0"/>
                      <w:szCs w:val="21"/>
                    </w:rPr>
                    <w:t>达标</w:t>
                  </w:r>
                </w:p>
              </w:tc>
            </w:tr>
            <w:tr w14:paraId="06CA9E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926" w:type="dxa"/>
                  <w:vAlign w:val="center"/>
                </w:tcPr>
                <w:p w14:paraId="5BE7D43C">
                  <w:pPr>
                    <w:adjustRightInd w:val="0"/>
                    <w:snapToGrid w:val="0"/>
                    <w:jc w:val="center"/>
                    <w:rPr>
                      <w:kern w:val="0"/>
                      <w:szCs w:val="21"/>
                    </w:rPr>
                  </w:pPr>
                  <w:r>
                    <w:rPr>
                      <w:szCs w:val="21"/>
                    </w:rPr>
                    <w:t>O</w:t>
                  </w:r>
                  <w:r>
                    <w:rPr>
                      <w:szCs w:val="21"/>
                      <w:vertAlign w:val="subscript"/>
                    </w:rPr>
                    <w:t>3</w:t>
                  </w:r>
                </w:p>
              </w:tc>
              <w:tc>
                <w:tcPr>
                  <w:tcW w:w="2520" w:type="dxa"/>
                  <w:vAlign w:val="center"/>
                </w:tcPr>
                <w:p w14:paraId="015A9B90">
                  <w:pPr>
                    <w:adjustRightInd w:val="0"/>
                    <w:snapToGrid w:val="0"/>
                    <w:jc w:val="center"/>
                    <w:rPr>
                      <w:kern w:val="0"/>
                      <w:szCs w:val="21"/>
                    </w:rPr>
                  </w:pPr>
                  <w:r>
                    <w:rPr>
                      <w:kern w:val="0"/>
                      <w:szCs w:val="21"/>
                    </w:rPr>
                    <w:t>日最大8小时平均第90百分位浓度</w:t>
                  </w:r>
                </w:p>
              </w:tc>
              <w:tc>
                <w:tcPr>
                  <w:tcW w:w="1500" w:type="dxa"/>
                  <w:vAlign w:val="center"/>
                </w:tcPr>
                <w:p w14:paraId="2EE2BD48">
                  <w:pPr>
                    <w:jc w:val="center"/>
                    <w:rPr>
                      <w:kern w:val="0"/>
                      <w:szCs w:val="21"/>
                    </w:rPr>
                  </w:pPr>
                  <w:r>
                    <w:rPr>
                      <w:kern w:val="0"/>
                      <w:szCs w:val="21"/>
                    </w:rPr>
                    <w:t>189</w:t>
                  </w:r>
                </w:p>
              </w:tc>
              <w:tc>
                <w:tcPr>
                  <w:tcW w:w="1442" w:type="dxa"/>
                  <w:vAlign w:val="center"/>
                </w:tcPr>
                <w:p w14:paraId="094833B7">
                  <w:pPr>
                    <w:adjustRightInd w:val="0"/>
                    <w:snapToGrid w:val="0"/>
                    <w:jc w:val="center"/>
                    <w:rPr>
                      <w:kern w:val="0"/>
                      <w:szCs w:val="21"/>
                    </w:rPr>
                  </w:pPr>
                  <w:r>
                    <w:rPr>
                      <w:szCs w:val="21"/>
                    </w:rPr>
                    <w:t>160</w:t>
                  </w:r>
                </w:p>
              </w:tc>
              <w:tc>
                <w:tcPr>
                  <w:tcW w:w="894" w:type="dxa"/>
                  <w:vAlign w:val="center"/>
                </w:tcPr>
                <w:p w14:paraId="689C59D8">
                  <w:pPr>
                    <w:widowControl/>
                    <w:jc w:val="center"/>
                    <w:textAlignment w:val="center"/>
                    <w:rPr>
                      <w:kern w:val="0"/>
                      <w:szCs w:val="21"/>
                    </w:rPr>
                  </w:pPr>
                  <w:r>
                    <w:rPr>
                      <w:kern w:val="0"/>
                      <w:szCs w:val="21"/>
                    </w:rPr>
                    <w:t>118.13</w:t>
                  </w:r>
                </w:p>
              </w:tc>
              <w:tc>
                <w:tcPr>
                  <w:tcW w:w="662" w:type="dxa"/>
                  <w:vAlign w:val="center"/>
                </w:tcPr>
                <w:p w14:paraId="071791D3">
                  <w:pPr>
                    <w:jc w:val="center"/>
                    <w:rPr>
                      <w:kern w:val="0"/>
                      <w:szCs w:val="21"/>
                    </w:rPr>
                  </w:pPr>
                  <w:r>
                    <w:rPr>
                      <w:kern w:val="0"/>
                      <w:szCs w:val="21"/>
                    </w:rPr>
                    <w:t>超标</w:t>
                  </w:r>
                </w:p>
              </w:tc>
            </w:tr>
          </w:tbl>
          <w:p w14:paraId="2CE844C9">
            <w:pPr>
              <w:spacing w:line="460" w:lineRule="exact"/>
              <w:ind w:firstLine="480" w:firstLineChars="200"/>
              <w:rPr>
                <w:sz w:val="24"/>
              </w:rPr>
            </w:pPr>
            <w:r>
              <w:rPr>
                <w:sz w:val="24"/>
              </w:rPr>
              <w:t>由上表可知，</w:t>
            </w:r>
            <w:r>
              <w:rPr>
                <w:spacing w:val="4"/>
                <w:kern w:val="0"/>
                <w:sz w:val="24"/>
              </w:rPr>
              <w:t>项目所在区域</w:t>
            </w:r>
            <w:r>
              <w:rPr>
                <w:sz w:val="24"/>
              </w:rPr>
              <w:t>SO</w:t>
            </w:r>
            <w:r>
              <w:rPr>
                <w:sz w:val="24"/>
                <w:vertAlign w:val="subscript"/>
              </w:rPr>
              <w:t>2</w:t>
            </w:r>
            <w:r>
              <w:rPr>
                <w:spacing w:val="4"/>
                <w:kern w:val="0"/>
                <w:sz w:val="24"/>
              </w:rPr>
              <w:t>、</w:t>
            </w:r>
            <w:r>
              <w:rPr>
                <w:sz w:val="24"/>
              </w:rPr>
              <w:t>NO</w:t>
            </w:r>
            <w:r>
              <w:rPr>
                <w:sz w:val="24"/>
                <w:vertAlign w:val="subscript"/>
              </w:rPr>
              <w:t>2</w:t>
            </w:r>
            <w:r>
              <w:rPr>
                <w:spacing w:val="4"/>
                <w:kern w:val="0"/>
                <w:sz w:val="24"/>
              </w:rPr>
              <w:t>、PM</w:t>
            </w:r>
            <w:r>
              <w:rPr>
                <w:spacing w:val="4"/>
                <w:kern w:val="0"/>
                <w:sz w:val="24"/>
                <w:vertAlign w:val="subscript"/>
              </w:rPr>
              <w:t>10</w:t>
            </w:r>
            <w:r>
              <w:rPr>
                <w:sz w:val="24"/>
              </w:rPr>
              <w:t>年平均质量浓度</w:t>
            </w:r>
            <w:r>
              <w:rPr>
                <w:spacing w:val="4"/>
                <w:kern w:val="0"/>
                <w:sz w:val="24"/>
              </w:rPr>
              <w:t>、CO日均值第95百分位浓度满足空气质量标准要求；</w:t>
            </w:r>
            <w:r>
              <w:rPr>
                <w:sz w:val="24"/>
              </w:rPr>
              <w:t>PM</w:t>
            </w:r>
            <w:r>
              <w:rPr>
                <w:sz w:val="24"/>
                <w:vertAlign w:val="subscript"/>
              </w:rPr>
              <w:t>2.5</w:t>
            </w:r>
            <w:r>
              <w:rPr>
                <w:sz w:val="24"/>
              </w:rPr>
              <w:t>年平均质量浓度，O</w:t>
            </w:r>
            <w:r>
              <w:rPr>
                <w:sz w:val="24"/>
                <w:vertAlign w:val="subscript"/>
              </w:rPr>
              <w:t>3</w:t>
            </w:r>
            <w:r>
              <w:rPr>
                <w:sz w:val="24"/>
              </w:rPr>
              <w:t>日最大8小时平均第90百分位浓度</w:t>
            </w:r>
            <w:r>
              <w:rPr>
                <w:spacing w:val="4"/>
                <w:kern w:val="0"/>
                <w:sz w:val="24"/>
              </w:rPr>
              <w:t>超过环境质量标准要求，即项目所在区域为不达标区。</w:t>
            </w:r>
          </w:p>
          <w:p w14:paraId="53AA6142">
            <w:pPr>
              <w:spacing w:line="480" w:lineRule="exact"/>
              <w:ind w:firstLine="480" w:firstLineChars="200"/>
              <w:rPr>
                <w:sz w:val="24"/>
              </w:rPr>
            </w:pPr>
            <w:r>
              <w:rPr>
                <w:sz w:val="24"/>
              </w:rPr>
              <w:t>监测数据客观的反映了唐山市曹妃甸环境空气质量的现状，分析超标原因为：随着唐山市曹妃甸工业的快速发展、能源消耗和机动车保有量的快速增长，排放的大量污染物导致PM</w:t>
            </w:r>
            <w:r>
              <w:rPr>
                <w:sz w:val="24"/>
                <w:vertAlign w:val="subscript"/>
              </w:rPr>
              <w:t>2.5</w:t>
            </w:r>
            <w:r>
              <w:rPr>
                <w:sz w:val="24"/>
              </w:rPr>
              <w:t>污染呈加剧态势。根据《美丽河北建设行动方案（2023-2027年）》可知，通过调整优化产业结构、能源结构，深入开展大气污染治理攻坚行动，切实改善环境空气质量，通过控制扬尘污染、削减燃煤总量、控制机动车污染和严把燃煤质量关等方面的行动，项目所在区域将会逐步得到改善。</w:t>
            </w:r>
          </w:p>
          <w:p w14:paraId="60C014F6">
            <w:pPr>
              <w:spacing w:line="480" w:lineRule="exact"/>
              <w:rPr>
                <w:b/>
                <w:bCs/>
                <w:sz w:val="24"/>
              </w:rPr>
            </w:pPr>
            <w:r>
              <w:rPr>
                <w:b/>
                <w:bCs/>
                <w:sz w:val="24"/>
              </w:rPr>
              <w:t>5、声环境</w:t>
            </w:r>
          </w:p>
          <w:p w14:paraId="5BBAF74D">
            <w:pPr>
              <w:spacing w:line="480" w:lineRule="exact"/>
              <w:ind w:firstLine="480" w:firstLineChars="200"/>
              <w:rPr>
                <w:sz w:val="24"/>
              </w:rPr>
            </w:pPr>
            <w:r>
              <w:rPr>
                <w:sz w:val="24"/>
              </w:rPr>
              <w:t>2025年2月19日至2025年2月20日唐山环安科技有限公司</w:t>
            </w:r>
            <w:r>
              <w:rPr>
                <w:spacing w:val="9"/>
                <w:sz w:val="24"/>
              </w:rPr>
              <w:t>对升压站厂界进行噪声</w:t>
            </w:r>
            <w:r>
              <w:rPr>
                <w:spacing w:val="8"/>
                <w:sz w:val="24"/>
              </w:rPr>
              <w:t>现状监测，监测结果如下：</w:t>
            </w:r>
          </w:p>
          <w:p w14:paraId="501C49C9">
            <w:pPr>
              <w:spacing w:line="480" w:lineRule="exact"/>
              <w:ind w:firstLine="548" w:firstLineChars="200"/>
              <w:rPr>
                <w:sz w:val="24"/>
              </w:rPr>
            </w:pPr>
            <w:r>
              <w:rPr>
                <w:spacing w:val="17"/>
                <w:sz w:val="24"/>
              </w:rPr>
              <w:t>(</w:t>
            </w:r>
            <w:r>
              <w:rPr>
                <w:spacing w:val="16"/>
                <w:sz w:val="24"/>
              </w:rPr>
              <w:t>1) 声环境质量现状监测</w:t>
            </w:r>
          </w:p>
          <w:p w14:paraId="2DFCA91D">
            <w:pPr>
              <w:spacing w:line="480" w:lineRule="exact"/>
              <w:ind w:firstLine="528" w:firstLineChars="200"/>
              <w:rPr>
                <w:sz w:val="24"/>
              </w:rPr>
            </w:pPr>
            <w:r>
              <w:rPr>
                <w:spacing w:val="12"/>
                <w:sz w:val="24"/>
              </w:rPr>
              <w:t>1</w:t>
            </w:r>
            <w:r>
              <w:rPr>
                <w:spacing w:val="8"/>
                <w:sz w:val="24"/>
              </w:rPr>
              <w:t>) 监测点布设：在项目升压站厂界各布设1个监测点，共计4个监测点。</w:t>
            </w:r>
          </w:p>
          <w:p w14:paraId="590AA8DB">
            <w:pPr>
              <w:spacing w:line="480" w:lineRule="exact"/>
              <w:ind w:firstLine="544" w:firstLineChars="200"/>
              <w:rPr>
                <w:sz w:val="24"/>
              </w:rPr>
            </w:pPr>
            <w:r>
              <w:rPr>
                <w:spacing w:val="16"/>
                <w:sz w:val="24"/>
              </w:rPr>
              <w:t>2</w:t>
            </w:r>
            <w:r>
              <w:rPr>
                <w:spacing w:val="14"/>
                <w:sz w:val="24"/>
              </w:rPr>
              <w:t>)</w:t>
            </w:r>
            <w:r>
              <w:rPr>
                <w:spacing w:val="8"/>
                <w:sz w:val="24"/>
              </w:rPr>
              <w:t xml:space="preserve"> 监测因子：等效连续</w:t>
            </w:r>
            <w:r>
              <w:rPr>
                <w:sz w:val="24"/>
              </w:rPr>
              <w:t>A</w:t>
            </w:r>
            <w:r>
              <w:rPr>
                <w:spacing w:val="8"/>
                <w:sz w:val="24"/>
              </w:rPr>
              <w:t>声级：</w:t>
            </w:r>
            <w:r>
              <w:rPr>
                <w:sz w:val="24"/>
              </w:rPr>
              <w:t>Leq</w:t>
            </w:r>
            <w:r>
              <w:rPr>
                <w:spacing w:val="8"/>
                <w:sz w:val="24"/>
              </w:rPr>
              <w:t xml:space="preserve"> </w:t>
            </w:r>
            <w:r>
              <w:rPr>
                <w:spacing w:val="8"/>
                <w:position w:val="-2"/>
                <w:sz w:val="24"/>
              </w:rPr>
              <w:t>(</w:t>
            </w:r>
            <w:r>
              <w:rPr>
                <w:position w:val="-2"/>
                <w:sz w:val="24"/>
              </w:rPr>
              <w:t>A</w:t>
            </w:r>
            <w:r>
              <w:rPr>
                <w:spacing w:val="8"/>
                <w:position w:val="-2"/>
                <w:sz w:val="24"/>
              </w:rPr>
              <w:t xml:space="preserve">) </w:t>
            </w:r>
            <w:r>
              <w:rPr>
                <w:spacing w:val="8"/>
                <w:sz w:val="24"/>
              </w:rPr>
              <w:t>。</w:t>
            </w:r>
          </w:p>
          <w:p w14:paraId="1D05E644">
            <w:pPr>
              <w:spacing w:line="480" w:lineRule="exact"/>
              <w:ind w:firstLine="536" w:firstLineChars="200"/>
              <w:rPr>
                <w:sz w:val="24"/>
              </w:rPr>
            </w:pPr>
            <w:r>
              <w:rPr>
                <w:spacing w:val="14"/>
                <w:sz w:val="24"/>
              </w:rPr>
              <w:t>3) 监</w:t>
            </w:r>
            <w:r>
              <w:rPr>
                <w:spacing w:val="7"/>
                <w:sz w:val="24"/>
              </w:rPr>
              <w:t>测时间及频率：监测时间为</w:t>
            </w:r>
            <w:r>
              <w:rPr>
                <w:sz w:val="24"/>
              </w:rPr>
              <w:t>2025年2月19日-2025年2月20日</w:t>
            </w:r>
            <w:r>
              <w:rPr>
                <w:spacing w:val="7"/>
                <w:sz w:val="24"/>
              </w:rPr>
              <w:t>，昼、夜各一次。</w:t>
            </w:r>
          </w:p>
          <w:p w14:paraId="6CC51F8A">
            <w:pPr>
              <w:spacing w:line="480" w:lineRule="exact"/>
              <w:ind w:firstLine="528" w:firstLineChars="200"/>
              <w:rPr>
                <w:sz w:val="24"/>
              </w:rPr>
            </w:pPr>
            <w:r>
              <w:rPr>
                <w:spacing w:val="12"/>
                <w:position w:val="3"/>
                <w:sz w:val="24"/>
              </w:rPr>
              <w:t>4</w:t>
            </w:r>
            <w:r>
              <w:rPr>
                <w:spacing w:val="8"/>
                <w:position w:val="3"/>
                <w:sz w:val="24"/>
              </w:rPr>
              <w:t>) 监测方法：按照《声环境质量标准》(</w:t>
            </w:r>
            <w:r>
              <w:rPr>
                <w:position w:val="3"/>
                <w:sz w:val="24"/>
              </w:rPr>
              <w:t>GB</w:t>
            </w:r>
            <w:r>
              <w:rPr>
                <w:spacing w:val="8"/>
                <w:position w:val="3"/>
                <w:sz w:val="24"/>
              </w:rPr>
              <w:t>3096-2008)的规定进行。</w:t>
            </w:r>
          </w:p>
          <w:p w14:paraId="1925DBD7">
            <w:pPr>
              <w:spacing w:line="480" w:lineRule="exact"/>
              <w:ind w:firstLine="548" w:firstLineChars="200"/>
              <w:rPr>
                <w:sz w:val="24"/>
              </w:rPr>
            </w:pPr>
            <w:r>
              <w:rPr>
                <w:spacing w:val="17"/>
                <w:sz w:val="24"/>
              </w:rPr>
              <w:t>(</w:t>
            </w:r>
            <w:r>
              <w:rPr>
                <w:spacing w:val="16"/>
                <w:sz w:val="24"/>
              </w:rPr>
              <w:t>2) 声环境质量现状评价</w:t>
            </w:r>
          </w:p>
          <w:p w14:paraId="60505790">
            <w:pPr>
              <w:spacing w:line="480" w:lineRule="exact"/>
              <w:ind w:firstLine="520" w:firstLineChars="200"/>
              <w:rPr>
                <w:sz w:val="24"/>
              </w:rPr>
            </w:pPr>
            <w:r>
              <w:rPr>
                <w:spacing w:val="10"/>
                <w:sz w:val="24"/>
              </w:rPr>
              <w:t>1</w:t>
            </w:r>
            <w:r>
              <w:rPr>
                <w:spacing w:val="8"/>
                <w:sz w:val="24"/>
              </w:rPr>
              <w:t>) 评价方法：采用等效声级与相应标准值比较的方法进行。</w:t>
            </w:r>
          </w:p>
          <w:p w14:paraId="4163A89F">
            <w:pPr>
              <w:spacing w:line="480" w:lineRule="exact"/>
              <w:ind w:firstLine="520" w:firstLineChars="200"/>
              <w:rPr>
                <w:sz w:val="24"/>
              </w:rPr>
            </w:pPr>
            <w:r>
              <w:rPr>
                <w:spacing w:val="10"/>
                <w:position w:val="3"/>
                <w:sz w:val="24"/>
              </w:rPr>
              <w:t>2) 评价</w:t>
            </w:r>
            <w:r>
              <w:rPr>
                <w:spacing w:val="6"/>
                <w:position w:val="3"/>
                <w:sz w:val="24"/>
              </w:rPr>
              <w:t>标</w:t>
            </w:r>
            <w:r>
              <w:rPr>
                <w:spacing w:val="5"/>
                <w:position w:val="3"/>
                <w:sz w:val="24"/>
              </w:rPr>
              <w:t>准：《声环境质量标准》(</w:t>
            </w:r>
            <w:r>
              <w:rPr>
                <w:position w:val="3"/>
                <w:sz w:val="24"/>
              </w:rPr>
              <w:t>GB</w:t>
            </w:r>
            <w:r>
              <w:rPr>
                <w:spacing w:val="5"/>
                <w:position w:val="3"/>
                <w:sz w:val="24"/>
              </w:rPr>
              <w:t>3096-2008) 1类区标准。</w:t>
            </w:r>
          </w:p>
          <w:p w14:paraId="16BF08B7">
            <w:pPr>
              <w:spacing w:line="480" w:lineRule="exact"/>
              <w:ind w:firstLine="524" w:firstLineChars="200"/>
              <w:rPr>
                <w:sz w:val="24"/>
              </w:rPr>
            </w:pPr>
            <w:r>
              <w:rPr>
                <w:spacing w:val="11"/>
                <w:sz w:val="24"/>
              </w:rPr>
              <w:t>3</w:t>
            </w:r>
            <w:r>
              <w:rPr>
                <w:spacing w:val="8"/>
                <w:sz w:val="24"/>
              </w:rPr>
              <w:t>) 评价结果：声环境质量现状监测及评价结果见下表。</w:t>
            </w:r>
          </w:p>
          <w:p w14:paraId="770E64C1">
            <w:pPr>
              <w:spacing w:line="480" w:lineRule="exact"/>
              <w:ind w:firstLine="480" w:firstLineChars="200"/>
              <w:rPr>
                <w:sz w:val="24"/>
              </w:rPr>
            </w:pPr>
            <w:r>
              <w:rPr>
                <w:sz w:val="24"/>
              </w:rPr>
              <w:t>声环境质量现状监测结果详见下表。</w:t>
            </w:r>
          </w:p>
          <w:p w14:paraId="5B0AD6AB">
            <w:pPr>
              <w:spacing w:line="480" w:lineRule="exact"/>
              <w:jc w:val="center"/>
              <w:rPr>
                <w:sz w:val="24"/>
              </w:rPr>
            </w:pPr>
            <w:r>
              <w:rPr>
                <w:b/>
                <w:bCs/>
                <w:szCs w:val="21"/>
              </w:rPr>
              <w:t>表3-</w:t>
            </w:r>
            <w:r>
              <w:rPr>
                <w:rFonts w:hint="eastAsia"/>
                <w:b/>
                <w:bCs/>
                <w:szCs w:val="21"/>
              </w:rPr>
              <w:t>6</w:t>
            </w:r>
            <w:r>
              <w:rPr>
                <w:b/>
                <w:bCs/>
                <w:szCs w:val="21"/>
              </w:rPr>
              <w:t xml:space="preserve">   声环境监测结果一览表   单位：dB（A）</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91"/>
              <w:gridCol w:w="1025"/>
              <w:gridCol w:w="2249"/>
              <w:gridCol w:w="1092"/>
              <w:gridCol w:w="1578"/>
              <w:gridCol w:w="902"/>
            </w:tblGrid>
            <w:tr w14:paraId="4B26A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tcBorders>
                    <w:tl2br w:val="nil"/>
                    <w:tr2bl w:val="nil"/>
                  </w:tcBorders>
                  <w:vAlign w:val="center"/>
                </w:tcPr>
                <w:p w14:paraId="1FA1424C">
                  <w:pPr>
                    <w:spacing w:line="240" w:lineRule="exact"/>
                    <w:jc w:val="center"/>
                    <w:rPr>
                      <w:szCs w:val="21"/>
                    </w:rPr>
                  </w:pPr>
                  <w:r>
                    <w:rPr>
                      <w:szCs w:val="21"/>
                    </w:rPr>
                    <w:t>检测日期</w:t>
                  </w:r>
                </w:p>
              </w:tc>
              <w:tc>
                <w:tcPr>
                  <w:tcW w:w="1025" w:type="dxa"/>
                  <w:tcBorders>
                    <w:tl2br w:val="nil"/>
                    <w:tr2bl w:val="nil"/>
                  </w:tcBorders>
                  <w:vAlign w:val="center"/>
                </w:tcPr>
                <w:p w14:paraId="5E63B6AC">
                  <w:pPr>
                    <w:spacing w:line="240" w:lineRule="exact"/>
                    <w:jc w:val="center"/>
                    <w:rPr>
                      <w:szCs w:val="21"/>
                    </w:rPr>
                  </w:pPr>
                  <w:r>
                    <w:rPr>
                      <w:szCs w:val="21"/>
                    </w:rPr>
                    <w:t>检测时段</w:t>
                  </w:r>
                </w:p>
              </w:tc>
              <w:tc>
                <w:tcPr>
                  <w:tcW w:w="2249" w:type="dxa"/>
                  <w:tcBorders>
                    <w:tl2br w:val="nil"/>
                    <w:tr2bl w:val="nil"/>
                  </w:tcBorders>
                  <w:vAlign w:val="center"/>
                </w:tcPr>
                <w:p w14:paraId="63D160EF">
                  <w:pPr>
                    <w:spacing w:line="240" w:lineRule="exact"/>
                    <w:jc w:val="center"/>
                    <w:rPr>
                      <w:szCs w:val="21"/>
                    </w:rPr>
                  </w:pPr>
                  <w:r>
                    <w:rPr>
                      <w:szCs w:val="21"/>
                    </w:rPr>
                    <w:t>检测点位</w:t>
                  </w:r>
                </w:p>
              </w:tc>
              <w:tc>
                <w:tcPr>
                  <w:tcW w:w="1092" w:type="dxa"/>
                  <w:tcBorders>
                    <w:tl2br w:val="nil"/>
                    <w:tr2bl w:val="nil"/>
                  </w:tcBorders>
                  <w:vAlign w:val="center"/>
                </w:tcPr>
                <w:p w14:paraId="0FAA9970">
                  <w:pPr>
                    <w:jc w:val="center"/>
                    <w:rPr>
                      <w:szCs w:val="21"/>
                    </w:rPr>
                  </w:pPr>
                  <w:r>
                    <w:rPr>
                      <w:szCs w:val="21"/>
                    </w:rPr>
                    <w:t>检测结果</w:t>
                  </w:r>
                </w:p>
              </w:tc>
              <w:tc>
                <w:tcPr>
                  <w:tcW w:w="1578" w:type="dxa"/>
                  <w:tcBorders>
                    <w:tl2br w:val="nil"/>
                    <w:tr2bl w:val="nil"/>
                  </w:tcBorders>
                  <w:vAlign w:val="center"/>
                </w:tcPr>
                <w:p w14:paraId="68B30E9E">
                  <w:pPr>
                    <w:jc w:val="center"/>
                    <w:rPr>
                      <w:szCs w:val="21"/>
                    </w:rPr>
                  </w:pPr>
                  <w:r>
                    <w:rPr>
                      <w:szCs w:val="21"/>
                    </w:rPr>
                    <w:t>标准限值</w:t>
                  </w:r>
                </w:p>
              </w:tc>
              <w:tc>
                <w:tcPr>
                  <w:tcW w:w="902" w:type="dxa"/>
                  <w:tcBorders>
                    <w:tl2br w:val="nil"/>
                    <w:tr2bl w:val="nil"/>
                  </w:tcBorders>
                  <w:vAlign w:val="center"/>
                </w:tcPr>
                <w:p w14:paraId="32E51432">
                  <w:pPr>
                    <w:jc w:val="center"/>
                    <w:rPr>
                      <w:szCs w:val="21"/>
                    </w:rPr>
                  </w:pPr>
                  <w:r>
                    <w:rPr>
                      <w:szCs w:val="21"/>
                    </w:rPr>
                    <w:t>评价</w:t>
                  </w:r>
                </w:p>
              </w:tc>
            </w:tr>
            <w:tr w14:paraId="5B402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restart"/>
                  <w:tcBorders>
                    <w:tl2br w:val="nil"/>
                    <w:tr2bl w:val="nil"/>
                  </w:tcBorders>
                  <w:vAlign w:val="center"/>
                </w:tcPr>
                <w:p w14:paraId="74206D3D">
                  <w:pPr>
                    <w:jc w:val="center"/>
                    <w:rPr>
                      <w:szCs w:val="21"/>
                    </w:rPr>
                  </w:pPr>
                  <w:r>
                    <w:rPr>
                      <w:szCs w:val="21"/>
                    </w:rPr>
                    <w:t>2025.02.19-2025.02.20</w:t>
                  </w:r>
                </w:p>
              </w:tc>
              <w:tc>
                <w:tcPr>
                  <w:tcW w:w="1025" w:type="dxa"/>
                  <w:vMerge w:val="restart"/>
                  <w:tcBorders>
                    <w:tl2br w:val="nil"/>
                    <w:tr2bl w:val="nil"/>
                  </w:tcBorders>
                  <w:vAlign w:val="center"/>
                </w:tcPr>
                <w:p w14:paraId="67E96B77">
                  <w:pPr>
                    <w:jc w:val="center"/>
                    <w:rPr>
                      <w:szCs w:val="21"/>
                    </w:rPr>
                  </w:pPr>
                  <w:r>
                    <w:rPr>
                      <w:szCs w:val="21"/>
                    </w:rPr>
                    <w:t>昼间</w:t>
                  </w:r>
                </w:p>
              </w:tc>
              <w:tc>
                <w:tcPr>
                  <w:tcW w:w="2249" w:type="dxa"/>
                  <w:tcBorders>
                    <w:tl2br w:val="nil"/>
                    <w:tr2bl w:val="nil"/>
                  </w:tcBorders>
                  <w:vAlign w:val="center"/>
                </w:tcPr>
                <w:p w14:paraId="0141B72C">
                  <w:pPr>
                    <w:pStyle w:val="40"/>
                    <w:jc w:val="center"/>
                    <w:rPr>
                      <w:rFonts w:ascii="Times New Roman" w:cs="Times New Roman"/>
                      <w:color w:val="auto"/>
                      <w:sz w:val="21"/>
                      <w:szCs w:val="21"/>
                    </w:rPr>
                  </w:pPr>
                  <w:r>
                    <w:rPr>
                      <w:rFonts w:ascii="Times New Roman" w:cs="Times New Roman"/>
                      <w:color w:val="auto"/>
                      <w:sz w:val="21"/>
                      <w:szCs w:val="21"/>
                    </w:rPr>
                    <w:t>厂界南1#</w:t>
                  </w:r>
                </w:p>
              </w:tc>
              <w:tc>
                <w:tcPr>
                  <w:tcW w:w="1092" w:type="dxa"/>
                  <w:tcBorders>
                    <w:tl2br w:val="nil"/>
                    <w:tr2bl w:val="nil"/>
                  </w:tcBorders>
                  <w:vAlign w:val="center"/>
                </w:tcPr>
                <w:p w14:paraId="7702C8F5">
                  <w:pPr>
                    <w:jc w:val="center"/>
                    <w:rPr>
                      <w:szCs w:val="21"/>
                    </w:rPr>
                  </w:pPr>
                  <w:r>
                    <w:rPr>
                      <w:szCs w:val="21"/>
                    </w:rPr>
                    <w:t>42</w:t>
                  </w:r>
                </w:p>
              </w:tc>
              <w:tc>
                <w:tcPr>
                  <w:tcW w:w="1578" w:type="dxa"/>
                  <w:tcBorders>
                    <w:tl2br w:val="nil"/>
                    <w:tr2bl w:val="nil"/>
                  </w:tcBorders>
                  <w:vAlign w:val="center"/>
                </w:tcPr>
                <w:p w14:paraId="2BB509BA">
                  <w:pPr>
                    <w:jc w:val="center"/>
                    <w:rPr>
                      <w:szCs w:val="21"/>
                    </w:rPr>
                  </w:pPr>
                  <w:r>
                    <w:rPr>
                      <w:szCs w:val="21"/>
                    </w:rPr>
                    <w:t>55</w:t>
                  </w:r>
                </w:p>
              </w:tc>
              <w:tc>
                <w:tcPr>
                  <w:tcW w:w="902" w:type="dxa"/>
                  <w:tcBorders>
                    <w:tl2br w:val="nil"/>
                    <w:tr2bl w:val="nil"/>
                  </w:tcBorders>
                  <w:vAlign w:val="center"/>
                </w:tcPr>
                <w:p w14:paraId="2EF2F995">
                  <w:pPr>
                    <w:jc w:val="center"/>
                    <w:rPr>
                      <w:szCs w:val="21"/>
                    </w:rPr>
                  </w:pPr>
                  <w:r>
                    <w:rPr>
                      <w:szCs w:val="21"/>
                    </w:rPr>
                    <w:t>达标</w:t>
                  </w:r>
                </w:p>
              </w:tc>
            </w:tr>
            <w:tr w14:paraId="7EAB0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2A6B0461">
                  <w:pPr>
                    <w:jc w:val="center"/>
                    <w:rPr>
                      <w:szCs w:val="21"/>
                    </w:rPr>
                  </w:pPr>
                </w:p>
              </w:tc>
              <w:tc>
                <w:tcPr>
                  <w:tcW w:w="1025" w:type="dxa"/>
                  <w:vMerge w:val="continue"/>
                  <w:tcBorders>
                    <w:tl2br w:val="nil"/>
                    <w:tr2bl w:val="nil"/>
                  </w:tcBorders>
                  <w:vAlign w:val="center"/>
                </w:tcPr>
                <w:p w14:paraId="0290803B">
                  <w:pPr>
                    <w:jc w:val="center"/>
                    <w:rPr>
                      <w:szCs w:val="21"/>
                    </w:rPr>
                  </w:pPr>
                </w:p>
              </w:tc>
              <w:tc>
                <w:tcPr>
                  <w:tcW w:w="2249" w:type="dxa"/>
                  <w:tcBorders>
                    <w:tl2br w:val="nil"/>
                    <w:tr2bl w:val="nil"/>
                  </w:tcBorders>
                  <w:vAlign w:val="center"/>
                </w:tcPr>
                <w:p w14:paraId="088ED54D">
                  <w:pPr>
                    <w:pStyle w:val="40"/>
                    <w:jc w:val="center"/>
                    <w:rPr>
                      <w:rFonts w:ascii="Times New Roman" w:cs="Times New Roman"/>
                      <w:color w:val="auto"/>
                      <w:sz w:val="21"/>
                      <w:szCs w:val="21"/>
                    </w:rPr>
                  </w:pPr>
                  <w:r>
                    <w:rPr>
                      <w:rFonts w:ascii="Times New Roman" w:cs="Times New Roman"/>
                      <w:color w:val="auto"/>
                      <w:sz w:val="21"/>
                      <w:szCs w:val="21"/>
                    </w:rPr>
                    <w:t>厂界西2#</w:t>
                  </w:r>
                </w:p>
              </w:tc>
              <w:tc>
                <w:tcPr>
                  <w:tcW w:w="1092" w:type="dxa"/>
                  <w:tcBorders>
                    <w:tl2br w:val="nil"/>
                    <w:tr2bl w:val="nil"/>
                  </w:tcBorders>
                  <w:vAlign w:val="center"/>
                </w:tcPr>
                <w:p w14:paraId="3C855016">
                  <w:pPr>
                    <w:jc w:val="center"/>
                    <w:rPr>
                      <w:szCs w:val="21"/>
                    </w:rPr>
                  </w:pPr>
                  <w:r>
                    <w:rPr>
                      <w:szCs w:val="21"/>
                    </w:rPr>
                    <w:t>43</w:t>
                  </w:r>
                </w:p>
              </w:tc>
              <w:tc>
                <w:tcPr>
                  <w:tcW w:w="1578" w:type="dxa"/>
                  <w:tcBorders>
                    <w:tl2br w:val="nil"/>
                    <w:tr2bl w:val="nil"/>
                  </w:tcBorders>
                  <w:vAlign w:val="center"/>
                </w:tcPr>
                <w:p w14:paraId="7E4D3A59">
                  <w:pPr>
                    <w:jc w:val="center"/>
                    <w:rPr>
                      <w:szCs w:val="21"/>
                    </w:rPr>
                  </w:pPr>
                  <w:r>
                    <w:rPr>
                      <w:szCs w:val="21"/>
                    </w:rPr>
                    <w:t>55</w:t>
                  </w:r>
                </w:p>
              </w:tc>
              <w:tc>
                <w:tcPr>
                  <w:tcW w:w="902" w:type="dxa"/>
                  <w:tcBorders>
                    <w:tl2br w:val="nil"/>
                    <w:tr2bl w:val="nil"/>
                  </w:tcBorders>
                  <w:vAlign w:val="center"/>
                </w:tcPr>
                <w:p w14:paraId="639E96A9">
                  <w:pPr>
                    <w:jc w:val="center"/>
                    <w:rPr>
                      <w:szCs w:val="21"/>
                    </w:rPr>
                  </w:pPr>
                  <w:r>
                    <w:rPr>
                      <w:szCs w:val="21"/>
                    </w:rPr>
                    <w:t>达标</w:t>
                  </w:r>
                </w:p>
              </w:tc>
            </w:tr>
            <w:tr w14:paraId="1D500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5B5E2B72">
                  <w:pPr>
                    <w:jc w:val="center"/>
                    <w:rPr>
                      <w:szCs w:val="21"/>
                    </w:rPr>
                  </w:pPr>
                </w:p>
              </w:tc>
              <w:tc>
                <w:tcPr>
                  <w:tcW w:w="1025" w:type="dxa"/>
                  <w:vMerge w:val="continue"/>
                  <w:tcBorders>
                    <w:tl2br w:val="nil"/>
                    <w:tr2bl w:val="nil"/>
                  </w:tcBorders>
                  <w:vAlign w:val="center"/>
                </w:tcPr>
                <w:p w14:paraId="55385EEF">
                  <w:pPr>
                    <w:jc w:val="center"/>
                    <w:rPr>
                      <w:szCs w:val="21"/>
                    </w:rPr>
                  </w:pPr>
                </w:p>
              </w:tc>
              <w:tc>
                <w:tcPr>
                  <w:tcW w:w="2249" w:type="dxa"/>
                  <w:tcBorders>
                    <w:tl2br w:val="nil"/>
                    <w:tr2bl w:val="nil"/>
                  </w:tcBorders>
                  <w:vAlign w:val="center"/>
                </w:tcPr>
                <w:p w14:paraId="5C1841CF">
                  <w:pPr>
                    <w:pStyle w:val="40"/>
                    <w:jc w:val="center"/>
                    <w:rPr>
                      <w:rFonts w:ascii="Times New Roman" w:cs="Times New Roman"/>
                      <w:color w:val="auto"/>
                      <w:sz w:val="21"/>
                      <w:szCs w:val="21"/>
                    </w:rPr>
                  </w:pPr>
                  <w:r>
                    <w:rPr>
                      <w:rFonts w:ascii="Times New Roman" w:cs="Times New Roman"/>
                      <w:color w:val="auto"/>
                      <w:sz w:val="21"/>
                      <w:szCs w:val="21"/>
                    </w:rPr>
                    <w:t>厂界北3#</w:t>
                  </w:r>
                </w:p>
              </w:tc>
              <w:tc>
                <w:tcPr>
                  <w:tcW w:w="1092" w:type="dxa"/>
                  <w:tcBorders>
                    <w:tl2br w:val="nil"/>
                    <w:tr2bl w:val="nil"/>
                  </w:tcBorders>
                  <w:vAlign w:val="center"/>
                </w:tcPr>
                <w:p w14:paraId="064054D6">
                  <w:pPr>
                    <w:jc w:val="center"/>
                    <w:rPr>
                      <w:szCs w:val="21"/>
                    </w:rPr>
                  </w:pPr>
                  <w:r>
                    <w:rPr>
                      <w:szCs w:val="21"/>
                    </w:rPr>
                    <w:t>44</w:t>
                  </w:r>
                </w:p>
              </w:tc>
              <w:tc>
                <w:tcPr>
                  <w:tcW w:w="1578" w:type="dxa"/>
                  <w:tcBorders>
                    <w:tl2br w:val="nil"/>
                    <w:tr2bl w:val="nil"/>
                  </w:tcBorders>
                  <w:vAlign w:val="center"/>
                </w:tcPr>
                <w:p w14:paraId="1CD27580">
                  <w:pPr>
                    <w:jc w:val="center"/>
                    <w:rPr>
                      <w:szCs w:val="21"/>
                    </w:rPr>
                  </w:pPr>
                  <w:r>
                    <w:rPr>
                      <w:szCs w:val="21"/>
                    </w:rPr>
                    <w:t>55</w:t>
                  </w:r>
                </w:p>
              </w:tc>
              <w:tc>
                <w:tcPr>
                  <w:tcW w:w="902" w:type="dxa"/>
                  <w:tcBorders>
                    <w:tl2br w:val="nil"/>
                    <w:tr2bl w:val="nil"/>
                  </w:tcBorders>
                  <w:vAlign w:val="center"/>
                </w:tcPr>
                <w:p w14:paraId="3F74AA0C">
                  <w:pPr>
                    <w:jc w:val="center"/>
                    <w:rPr>
                      <w:szCs w:val="21"/>
                    </w:rPr>
                  </w:pPr>
                  <w:r>
                    <w:rPr>
                      <w:szCs w:val="21"/>
                    </w:rPr>
                    <w:t>达标</w:t>
                  </w:r>
                </w:p>
              </w:tc>
            </w:tr>
            <w:tr w14:paraId="0D700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09ABB0E1">
                  <w:pPr>
                    <w:jc w:val="center"/>
                    <w:rPr>
                      <w:szCs w:val="21"/>
                    </w:rPr>
                  </w:pPr>
                </w:p>
              </w:tc>
              <w:tc>
                <w:tcPr>
                  <w:tcW w:w="1025" w:type="dxa"/>
                  <w:vMerge w:val="continue"/>
                  <w:tcBorders>
                    <w:tl2br w:val="nil"/>
                    <w:tr2bl w:val="nil"/>
                  </w:tcBorders>
                  <w:vAlign w:val="center"/>
                </w:tcPr>
                <w:p w14:paraId="79ECAB4D">
                  <w:pPr>
                    <w:jc w:val="center"/>
                    <w:rPr>
                      <w:szCs w:val="21"/>
                    </w:rPr>
                  </w:pPr>
                </w:p>
              </w:tc>
              <w:tc>
                <w:tcPr>
                  <w:tcW w:w="2249" w:type="dxa"/>
                  <w:tcBorders>
                    <w:tl2br w:val="nil"/>
                    <w:tr2bl w:val="nil"/>
                  </w:tcBorders>
                  <w:vAlign w:val="center"/>
                </w:tcPr>
                <w:p w14:paraId="1DD85153">
                  <w:pPr>
                    <w:pStyle w:val="40"/>
                    <w:jc w:val="center"/>
                    <w:rPr>
                      <w:rFonts w:ascii="Times New Roman" w:cs="Times New Roman"/>
                      <w:color w:val="auto"/>
                      <w:sz w:val="21"/>
                      <w:szCs w:val="21"/>
                    </w:rPr>
                  </w:pPr>
                  <w:r>
                    <w:rPr>
                      <w:rFonts w:ascii="Times New Roman" w:cs="Times New Roman"/>
                      <w:color w:val="auto"/>
                      <w:sz w:val="21"/>
                      <w:szCs w:val="21"/>
                    </w:rPr>
                    <w:t>厂界东4#</w:t>
                  </w:r>
                </w:p>
              </w:tc>
              <w:tc>
                <w:tcPr>
                  <w:tcW w:w="1092" w:type="dxa"/>
                  <w:tcBorders>
                    <w:tl2br w:val="nil"/>
                    <w:tr2bl w:val="nil"/>
                  </w:tcBorders>
                  <w:vAlign w:val="center"/>
                </w:tcPr>
                <w:p w14:paraId="0590FB9E">
                  <w:pPr>
                    <w:jc w:val="center"/>
                    <w:rPr>
                      <w:szCs w:val="21"/>
                    </w:rPr>
                  </w:pPr>
                  <w:r>
                    <w:rPr>
                      <w:szCs w:val="21"/>
                    </w:rPr>
                    <w:t>48</w:t>
                  </w:r>
                </w:p>
              </w:tc>
              <w:tc>
                <w:tcPr>
                  <w:tcW w:w="1578" w:type="dxa"/>
                  <w:tcBorders>
                    <w:tl2br w:val="nil"/>
                    <w:tr2bl w:val="nil"/>
                  </w:tcBorders>
                  <w:vAlign w:val="center"/>
                </w:tcPr>
                <w:p w14:paraId="2A64D299">
                  <w:pPr>
                    <w:jc w:val="center"/>
                    <w:rPr>
                      <w:szCs w:val="21"/>
                    </w:rPr>
                  </w:pPr>
                  <w:r>
                    <w:rPr>
                      <w:szCs w:val="21"/>
                    </w:rPr>
                    <w:t>55</w:t>
                  </w:r>
                </w:p>
              </w:tc>
              <w:tc>
                <w:tcPr>
                  <w:tcW w:w="902" w:type="dxa"/>
                  <w:tcBorders>
                    <w:tl2br w:val="nil"/>
                    <w:tr2bl w:val="nil"/>
                  </w:tcBorders>
                  <w:vAlign w:val="center"/>
                </w:tcPr>
                <w:p w14:paraId="74C9BD77">
                  <w:pPr>
                    <w:jc w:val="center"/>
                    <w:rPr>
                      <w:szCs w:val="21"/>
                    </w:rPr>
                  </w:pPr>
                  <w:r>
                    <w:rPr>
                      <w:szCs w:val="21"/>
                    </w:rPr>
                    <w:t>达标</w:t>
                  </w:r>
                </w:p>
              </w:tc>
            </w:tr>
            <w:tr w14:paraId="2CE19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6C5B185B">
                  <w:pPr>
                    <w:jc w:val="center"/>
                    <w:rPr>
                      <w:szCs w:val="21"/>
                    </w:rPr>
                  </w:pPr>
                </w:p>
              </w:tc>
              <w:tc>
                <w:tcPr>
                  <w:tcW w:w="1025" w:type="dxa"/>
                  <w:vMerge w:val="restart"/>
                  <w:tcBorders>
                    <w:tl2br w:val="nil"/>
                    <w:tr2bl w:val="nil"/>
                  </w:tcBorders>
                  <w:vAlign w:val="center"/>
                </w:tcPr>
                <w:p w14:paraId="32CA575E">
                  <w:pPr>
                    <w:jc w:val="center"/>
                    <w:rPr>
                      <w:szCs w:val="21"/>
                    </w:rPr>
                  </w:pPr>
                  <w:r>
                    <w:rPr>
                      <w:szCs w:val="21"/>
                    </w:rPr>
                    <w:t>夜间</w:t>
                  </w:r>
                </w:p>
              </w:tc>
              <w:tc>
                <w:tcPr>
                  <w:tcW w:w="2249" w:type="dxa"/>
                  <w:tcBorders>
                    <w:tl2br w:val="nil"/>
                    <w:tr2bl w:val="nil"/>
                  </w:tcBorders>
                  <w:vAlign w:val="center"/>
                </w:tcPr>
                <w:p w14:paraId="21D18C80">
                  <w:pPr>
                    <w:pStyle w:val="40"/>
                    <w:jc w:val="center"/>
                    <w:rPr>
                      <w:rFonts w:ascii="Times New Roman" w:cs="Times New Roman"/>
                      <w:color w:val="auto"/>
                      <w:sz w:val="21"/>
                      <w:szCs w:val="21"/>
                    </w:rPr>
                  </w:pPr>
                  <w:r>
                    <w:rPr>
                      <w:rFonts w:ascii="Times New Roman" w:cs="Times New Roman"/>
                      <w:color w:val="auto"/>
                      <w:sz w:val="21"/>
                      <w:szCs w:val="21"/>
                    </w:rPr>
                    <w:t>厂界南1#</w:t>
                  </w:r>
                </w:p>
              </w:tc>
              <w:tc>
                <w:tcPr>
                  <w:tcW w:w="1092" w:type="dxa"/>
                  <w:tcBorders>
                    <w:tl2br w:val="nil"/>
                    <w:tr2bl w:val="nil"/>
                  </w:tcBorders>
                  <w:vAlign w:val="center"/>
                </w:tcPr>
                <w:p w14:paraId="07879F6E">
                  <w:pPr>
                    <w:jc w:val="center"/>
                    <w:rPr>
                      <w:szCs w:val="21"/>
                    </w:rPr>
                  </w:pPr>
                  <w:r>
                    <w:rPr>
                      <w:szCs w:val="21"/>
                    </w:rPr>
                    <w:t>44</w:t>
                  </w:r>
                </w:p>
              </w:tc>
              <w:tc>
                <w:tcPr>
                  <w:tcW w:w="1578" w:type="dxa"/>
                  <w:tcBorders>
                    <w:tl2br w:val="nil"/>
                    <w:tr2bl w:val="nil"/>
                  </w:tcBorders>
                  <w:vAlign w:val="center"/>
                </w:tcPr>
                <w:p w14:paraId="6638D2A9">
                  <w:pPr>
                    <w:jc w:val="center"/>
                    <w:rPr>
                      <w:szCs w:val="21"/>
                    </w:rPr>
                  </w:pPr>
                  <w:r>
                    <w:rPr>
                      <w:szCs w:val="21"/>
                    </w:rPr>
                    <w:t>45</w:t>
                  </w:r>
                </w:p>
              </w:tc>
              <w:tc>
                <w:tcPr>
                  <w:tcW w:w="902" w:type="dxa"/>
                  <w:tcBorders>
                    <w:tl2br w:val="nil"/>
                    <w:tr2bl w:val="nil"/>
                  </w:tcBorders>
                  <w:vAlign w:val="center"/>
                </w:tcPr>
                <w:p w14:paraId="33389F14">
                  <w:pPr>
                    <w:jc w:val="center"/>
                    <w:rPr>
                      <w:szCs w:val="21"/>
                    </w:rPr>
                  </w:pPr>
                  <w:r>
                    <w:rPr>
                      <w:szCs w:val="21"/>
                    </w:rPr>
                    <w:t>达标</w:t>
                  </w:r>
                </w:p>
              </w:tc>
            </w:tr>
            <w:tr w14:paraId="7313B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656698A0">
                  <w:pPr>
                    <w:jc w:val="center"/>
                    <w:rPr>
                      <w:szCs w:val="21"/>
                    </w:rPr>
                  </w:pPr>
                </w:p>
              </w:tc>
              <w:tc>
                <w:tcPr>
                  <w:tcW w:w="1025" w:type="dxa"/>
                  <w:vMerge w:val="continue"/>
                  <w:tcBorders>
                    <w:tl2br w:val="nil"/>
                    <w:tr2bl w:val="nil"/>
                  </w:tcBorders>
                  <w:vAlign w:val="center"/>
                </w:tcPr>
                <w:p w14:paraId="64C47795">
                  <w:pPr>
                    <w:jc w:val="center"/>
                    <w:rPr>
                      <w:szCs w:val="21"/>
                    </w:rPr>
                  </w:pPr>
                </w:p>
              </w:tc>
              <w:tc>
                <w:tcPr>
                  <w:tcW w:w="2249" w:type="dxa"/>
                  <w:tcBorders>
                    <w:tl2br w:val="nil"/>
                    <w:tr2bl w:val="nil"/>
                  </w:tcBorders>
                  <w:vAlign w:val="center"/>
                </w:tcPr>
                <w:p w14:paraId="67C6CC3C">
                  <w:pPr>
                    <w:pStyle w:val="40"/>
                    <w:jc w:val="center"/>
                    <w:rPr>
                      <w:rFonts w:ascii="Times New Roman" w:cs="Times New Roman"/>
                      <w:color w:val="auto"/>
                      <w:sz w:val="21"/>
                      <w:szCs w:val="21"/>
                    </w:rPr>
                  </w:pPr>
                  <w:r>
                    <w:rPr>
                      <w:rFonts w:ascii="Times New Roman" w:cs="Times New Roman"/>
                      <w:color w:val="auto"/>
                      <w:sz w:val="21"/>
                      <w:szCs w:val="21"/>
                    </w:rPr>
                    <w:t>厂界西2#</w:t>
                  </w:r>
                </w:p>
              </w:tc>
              <w:tc>
                <w:tcPr>
                  <w:tcW w:w="1092" w:type="dxa"/>
                  <w:tcBorders>
                    <w:tl2br w:val="nil"/>
                    <w:tr2bl w:val="nil"/>
                  </w:tcBorders>
                  <w:vAlign w:val="center"/>
                </w:tcPr>
                <w:p w14:paraId="342CE3C4">
                  <w:pPr>
                    <w:jc w:val="center"/>
                    <w:rPr>
                      <w:szCs w:val="21"/>
                    </w:rPr>
                  </w:pPr>
                  <w:r>
                    <w:rPr>
                      <w:szCs w:val="21"/>
                    </w:rPr>
                    <w:t>43</w:t>
                  </w:r>
                </w:p>
              </w:tc>
              <w:tc>
                <w:tcPr>
                  <w:tcW w:w="1578" w:type="dxa"/>
                  <w:tcBorders>
                    <w:tl2br w:val="nil"/>
                    <w:tr2bl w:val="nil"/>
                  </w:tcBorders>
                  <w:vAlign w:val="center"/>
                </w:tcPr>
                <w:p w14:paraId="6AE11082">
                  <w:pPr>
                    <w:jc w:val="center"/>
                    <w:rPr>
                      <w:szCs w:val="21"/>
                    </w:rPr>
                  </w:pPr>
                  <w:r>
                    <w:rPr>
                      <w:szCs w:val="21"/>
                    </w:rPr>
                    <w:t>45</w:t>
                  </w:r>
                </w:p>
              </w:tc>
              <w:tc>
                <w:tcPr>
                  <w:tcW w:w="902" w:type="dxa"/>
                  <w:tcBorders>
                    <w:tl2br w:val="nil"/>
                    <w:tr2bl w:val="nil"/>
                  </w:tcBorders>
                  <w:vAlign w:val="center"/>
                </w:tcPr>
                <w:p w14:paraId="3439A391">
                  <w:pPr>
                    <w:jc w:val="center"/>
                    <w:rPr>
                      <w:szCs w:val="21"/>
                    </w:rPr>
                  </w:pPr>
                  <w:r>
                    <w:rPr>
                      <w:szCs w:val="21"/>
                    </w:rPr>
                    <w:t>达标</w:t>
                  </w:r>
                </w:p>
              </w:tc>
            </w:tr>
            <w:tr w14:paraId="5CD90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50107496">
                  <w:pPr>
                    <w:jc w:val="center"/>
                    <w:rPr>
                      <w:szCs w:val="21"/>
                    </w:rPr>
                  </w:pPr>
                </w:p>
              </w:tc>
              <w:tc>
                <w:tcPr>
                  <w:tcW w:w="1025" w:type="dxa"/>
                  <w:vMerge w:val="continue"/>
                  <w:tcBorders>
                    <w:tl2br w:val="nil"/>
                    <w:tr2bl w:val="nil"/>
                  </w:tcBorders>
                  <w:vAlign w:val="center"/>
                </w:tcPr>
                <w:p w14:paraId="794BB022">
                  <w:pPr>
                    <w:jc w:val="center"/>
                    <w:rPr>
                      <w:szCs w:val="21"/>
                    </w:rPr>
                  </w:pPr>
                </w:p>
              </w:tc>
              <w:tc>
                <w:tcPr>
                  <w:tcW w:w="2249" w:type="dxa"/>
                  <w:tcBorders>
                    <w:tl2br w:val="nil"/>
                    <w:tr2bl w:val="nil"/>
                  </w:tcBorders>
                  <w:vAlign w:val="center"/>
                </w:tcPr>
                <w:p w14:paraId="5B9635A6">
                  <w:pPr>
                    <w:pStyle w:val="40"/>
                    <w:jc w:val="center"/>
                    <w:rPr>
                      <w:rFonts w:ascii="Times New Roman" w:cs="Times New Roman"/>
                      <w:color w:val="auto"/>
                      <w:sz w:val="21"/>
                      <w:szCs w:val="21"/>
                    </w:rPr>
                  </w:pPr>
                  <w:r>
                    <w:rPr>
                      <w:rFonts w:ascii="Times New Roman" w:cs="Times New Roman"/>
                      <w:color w:val="auto"/>
                      <w:sz w:val="21"/>
                      <w:szCs w:val="21"/>
                    </w:rPr>
                    <w:t>厂界北3#</w:t>
                  </w:r>
                </w:p>
              </w:tc>
              <w:tc>
                <w:tcPr>
                  <w:tcW w:w="1092" w:type="dxa"/>
                  <w:tcBorders>
                    <w:tl2br w:val="nil"/>
                    <w:tr2bl w:val="nil"/>
                  </w:tcBorders>
                  <w:vAlign w:val="center"/>
                </w:tcPr>
                <w:p w14:paraId="53203095">
                  <w:pPr>
                    <w:jc w:val="center"/>
                    <w:rPr>
                      <w:szCs w:val="21"/>
                    </w:rPr>
                  </w:pPr>
                  <w:r>
                    <w:rPr>
                      <w:szCs w:val="21"/>
                    </w:rPr>
                    <w:t>43</w:t>
                  </w:r>
                </w:p>
              </w:tc>
              <w:tc>
                <w:tcPr>
                  <w:tcW w:w="1578" w:type="dxa"/>
                  <w:tcBorders>
                    <w:tl2br w:val="nil"/>
                    <w:tr2bl w:val="nil"/>
                  </w:tcBorders>
                  <w:vAlign w:val="center"/>
                </w:tcPr>
                <w:p w14:paraId="37870C81">
                  <w:pPr>
                    <w:jc w:val="center"/>
                    <w:rPr>
                      <w:szCs w:val="21"/>
                    </w:rPr>
                  </w:pPr>
                  <w:r>
                    <w:rPr>
                      <w:szCs w:val="21"/>
                    </w:rPr>
                    <w:t>45</w:t>
                  </w:r>
                </w:p>
              </w:tc>
              <w:tc>
                <w:tcPr>
                  <w:tcW w:w="902" w:type="dxa"/>
                  <w:tcBorders>
                    <w:tl2br w:val="nil"/>
                    <w:tr2bl w:val="nil"/>
                  </w:tcBorders>
                  <w:vAlign w:val="center"/>
                </w:tcPr>
                <w:p w14:paraId="39F54459">
                  <w:pPr>
                    <w:jc w:val="center"/>
                    <w:rPr>
                      <w:szCs w:val="21"/>
                    </w:rPr>
                  </w:pPr>
                  <w:r>
                    <w:rPr>
                      <w:szCs w:val="21"/>
                    </w:rPr>
                    <w:t>达标</w:t>
                  </w:r>
                </w:p>
              </w:tc>
            </w:tr>
            <w:tr w14:paraId="7FE5C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91" w:type="dxa"/>
                  <w:vMerge w:val="continue"/>
                  <w:tcBorders>
                    <w:tl2br w:val="nil"/>
                    <w:tr2bl w:val="nil"/>
                  </w:tcBorders>
                  <w:vAlign w:val="center"/>
                </w:tcPr>
                <w:p w14:paraId="560FE319">
                  <w:pPr>
                    <w:jc w:val="center"/>
                    <w:rPr>
                      <w:szCs w:val="21"/>
                    </w:rPr>
                  </w:pPr>
                </w:p>
              </w:tc>
              <w:tc>
                <w:tcPr>
                  <w:tcW w:w="1025" w:type="dxa"/>
                  <w:vMerge w:val="continue"/>
                  <w:tcBorders>
                    <w:tl2br w:val="nil"/>
                    <w:tr2bl w:val="nil"/>
                  </w:tcBorders>
                  <w:vAlign w:val="center"/>
                </w:tcPr>
                <w:p w14:paraId="63B0DFB8">
                  <w:pPr>
                    <w:jc w:val="center"/>
                    <w:rPr>
                      <w:szCs w:val="21"/>
                    </w:rPr>
                  </w:pPr>
                </w:p>
              </w:tc>
              <w:tc>
                <w:tcPr>
                  <w:tcW w:w="2249" w:type="dxa"/>
                  <w:tcBorders>
                    <w:tl2br w:val="nil"/>
                    <w:tr2bl w:val="nil"/>
                  </w:tcBorders>
                  <w:vAlign w:val="center"/>
                </w:tcPr>
                <w:p w14:paraId="6B84645C">
                  <w:pPr>
                    <w:pStyle w:val="40"/>
                    <w:jc w:val="center"/>
                    <w:rPr>
                      <w:rFonts w:ascii="Times New Roman" w:cs="Times New Roman"/>
                      <w:color w:val="auto"/>
                      <w:sz w:val="21"/>
                      <w:szCs w:val="21"/>
                    </w:rPr>
                  </w:pPr>
                  <w:r>
                    <w:rPr>
                      <w:rFonts w:ascii="Times New Roman" w:cs="Times New Roman"/>
                      <w:color w:val="auto"/>
                      <w:sz w:val="21"/>
                      <w:szCs w:val="21"/>
                    </w:rPr>
                    <w:t>厂界东4#</w:t>
                  </w:r>
                </w:p>
              </w:tc>
              <w:tc>
                <w:tcPr>
                  <w:tcW w:w="1092" w:type="dxa"/>
                  <w:tcBorders>
                    <w:tl2br w:val="nil"/>
                    <w:tr2bl w:val="nil"/>
                  </w:tcBorders>
                  <w:vAlign w:val="center"/>
                </w:tcPr>
                <w:p w14:paraId="28408B5B">
                  <w:pPr>
                    <w:jc w:val="center"/>
                    <w:rPr>
                      <w:szCs w:val="21"/>
                    </w:rPr>
                  </w:pPr>
                  <w:r>
                    <w:rPr>
                      <w:szCs w:val="21"/>
                    </w:rPr>
                    <w:t>44</w:t>
                  </w:r>
                </w:p>
              </w:tc>
              <w:tc>
                <w:tcPr>
                  <w:tcW w:w="1578" w:type="dxa"/>
                  <w:tcBorders>
                    <w:tl2br w:val="nil"/>
                    <w:tr2bl w:val="nil"/>
                  </w:tcBorders>
                  <w:vAlign w:val="center"/>
                </w:tcPr>
                <w:p w14:paraId="07C60E2E">
                  <w:pPr>
                    <w:jc w:val="center"/>
                    <w:rPr>
                      <w:szCs w:val="21"/>
                    </w:rPr>
                  </w:pPr>
                  <w:r>
                    <w:rPr>
                      <w:szCs w:val="21"/>
                    </w:rPr>
                    <w:t>45</w:t>
                  </w:r>
                </w:p>
              </w:tc>
              <w:tc>
                <w:tcPr>
                  <w:tcW w:w="902" w:type="dxa"/>
                  <w:tcBorders>
                    <w:tl2br w:val="nil"/>
                    <w:tr2bl w:val="nil"/>
                  </w:tcBorders>
                  <w:vAlign w:val="center"/>
                </w:tcPr>
                <w:p w14:paraId="0404BD24">
                  <w:pPr>
                    <w:jc w:val="center"/>
                    <w:rPr>
                      <w:szCs w:val="21"/>
                    </w:rPr>
                  </w:pPr>
                  <w:r>
                    <w:rPr>
                      <w:szCs w:val="21"/>
                    </w:rPr>
                    <w:t>达标</w:t>
                  </w:r>
                </w:p>
              </w:tc>
            </w:tr>
          </w:tbl>
          <w:p w14:paraId="36444D4D">
            <w:pPr>
              <w:spacing w:line="480" w:lineRule="exact"/>
              <w:ind w:firstLine="480" w:firstLineChars="200"/>
              <w:rPr>
                <w:sz w:val="24"/>
              </w:rPr>
            </w:pPr>
            <w:r>
              <w:rPr>
                <w:sz w:val="24"/>
              </w:rPr>
              <w:t>根据上表声环境质量现状监测结果分析，各个监测点位昼间噪声监测值为42~48dB（A），夜间噪声监测值为43~44dB（A），各监测点均可满足《声环境质量标准》(GB3096-2008) 中1类区标准。</w:t>
            </w:r>
          </w:p>
          <w:p w14:paraId="35A02014">
            <w:pPr>
              <w:spacing w:line="480" w:lineRule="exact"/>
              <w:rPr>
                <w:b/>
                <w:bCs/>
                <w:sz w:val="24"/>
              </w:rPr>
            </w:pPr>
            <w:r>
              <w:rPr>
                <w:b/>
                <w:bCs/>
                <w:sz w:val="24"/>
              </w:rPr>
              <w:t>6、水、土壤环境</w:t>
            </w:r>
          </w:p>
          <w:p w14:paraId="74741F15">
            <w:pPr>
              <w:pStyle w:val="11"/>
              <w:widowControl w:val="0"/>
              <w:adjustRightInd w:val="0"/>
              <w:spacing w:before="0" w:after="0" w:line="480" w:lineRule="exact"/>
              <w:ind w:right="0" w:firstLine="480" w:firstLineChars="200"/>
            </w:pPr>
            <w:r>
              <w:rPr>
                <w:sz w:val="24"/>
                <w:szCs w:val="24"/>
              </w:rPr>
              <w:t>本项目对</w:t>
            </w:r>
            <w:r>
              <w:rPr>
                <w:rFonts w:hint="eastAsia"/>
                <w:sz w:val="24"/>
                <w:szCs w:val="24"/>
              </w:rPr>
              <w:t>危废贮存库</w:t>
            </w:r>
            <w:r>
              <w:rPr>
                <w:sz w:val="24"/>
                <w:szCs w:val="24"/>
              </w:rPr>
              <w:t>、贮油池、事故油池等均采取防渗措施，污水处理站为一体化设施，生活污水经处理后回用绿化或</w:t>
            </w:r>
            <w:r>
              <w:rPr>
                <w:rFonts w:hint="eastAsia"/>
                <w:sz w:val="24"/>
                <w:szCs w:val="24"/>
              </w:rPr>
              <w:t>泼洒抑尘</w:t>
            </w:r>
            <w:r>
              <w:rPr>
                <w:sz w:val="24"/>
                <w:szCs w:val="24"/>
              </w:rPr>
              <w:t>不外排，采取相关措施后本项目不涉及地表水、地下水及土壤影响途径，无需进行水、声及土壤等现状监测。</w:t>
            </w:r>
          </w:p>
        </w:tc>
      </w:tr>
      <w:tr w14:paraId="7BF8E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5" w:hRule="atLeast"/>
          <w:jc w:val="center"/>
        </w:trPr>
        <w:tc>
          <w:tcPr>
            <w:tcW w:w="225" w:type="pct"/>
            <w:vAlign w:val="center"/>
          </w:tcPr>
          <w:p w14:paraId="12A85ABE">
            <w:pPr>
              <w:adjustRightInd w:val="0"/>
              <w:snapToGrid w:val="0"/>
              <w:jc w:val="center"/>
              <w:rPr>
                <w:kern w:val="0"/>
                <w:sz w:val="24"/>
              </w:rPr>
            </w:pPr>
            <w:r>
              <w:rPr>
                <w:bCs/>
                <w:sz w:val="24"/>
              </w:rPr>
              <w:t>与项目有关的原有环境污染和生态破坏问题</w:t>
            </w:r>
          </w:p>
        </w:tc>
        <w:tc>
          <w:tcPr>
            <w:tcW w:w="4774" w:type="pct"/>
            <w:vAlign w:val="center"/>
          </w:tcPr>
          <w:p w14:paraId="706AC98D">
            <w:pPr>
              <w:pStyle w:val="11"/>
              <w:widowControl w:val="0"/>
              <w:adjustRightInd w:val="0"/>
              <w:spacing w:before="0" w:after="0" w:line="480" w:lineRule="exact"/>
              <w:ind w:right="0" w:firstLine="484" w:firstLineChars="200"/>
              <w:rPr>
                <w:spacing w:val="1"/>
                <w:sz w:val="24"/>
                <w:szCs w:val="24"/>
              </w:rPr>
            </w:pPr>
            <w:r>
              <w:rPr>
                <w:spacing w:val="1"/>
                <w:sz w:val="24"/>
                <w:szCs w:val="24"/>
              </w:rPr>
              <w:t>本项目选址位于</w:t>
            </w:r>
            <w:r>
              <w:rPr>
                <w:rFonts w:hint="eastAsia"/>
                <w:spacing w:val="1"/>
                <w:sz w:val="24"/>
                <w:szCs w:val="24"/>
              </w:rPr>
              <w:t>唐山市曹妃甸区</w:t>
            </w:r>
            <w:r>
              <w:rPr>
                <w:spacing w:val="1"/>
                <w:sz w:val="24"/>
                <w:szCs w:val="24"/>
              </w:rPr>
              <w:t>。经现场踏勘，风电机组选址现状包括坑塘水面、沟渠、果园、设施农用地、旱地、水田、农村道路等，220kV升压站选址现状为坑塘水面</w:t>
            </w:r>
            <w:r>
              <w:rPr>
                <w:rFonts w:hint="eastAsia"/>
                <w:spacing w:val="1"/>
                <w:sz w:val="24"/>
                <w:szCs w:val="24"/>
              </w:rPr>
              <w:t>，本项目所占坑塘水面均为人工坑塘。</w:t>
            </w:r>
          </w:p>
          <w:p w14:paraId="6EF1A233">
            <w:pPr>
              <w:pStyle w:val="11"/>
              <w:widowControl w:val="0"/>
              <w:adjustRightInd w:val="0"/>
              <w:spacing w:before="0" w:after="0" w:line="480" w:lineRule="exact"/>
              <w:ind w:right="0" w:firstLine="484" w:firstLineChars="200"/>
              <w:rPr>
                <w:spacing w:val="1"/>
                <w:sz w:val="24"/>
                <w:szCs w:val="24"/>
              </w:rPr>
            </w:pPr>
            <w:r>
              <w:rPr>
                <w:spacing w:val="1"/>
                <w:sz w:val="24"/>
                <w:szCs w:val="24"/>
              </w:rPr>
              <w:t>本项目为新建项目，不涉及与本项目有关的原有环境污染和生态破坏问题。</w:t>
            </w:r>
          </w:p>
          <w:p w14:paraId="50C4AA87">
            <w:pPr>
              <w:pStyle w:val="11"/>
              <w:widowControl w:val="0"/>
              <w:adjustRightInd w:val="0"/>
              <w:spacing w:before="0" w:after="0" w:line="480" w:lineRule="exact"/>
              <w:ind w:right="0" w:firstLine="484" w:firstLineChars="200"/>
              <w:rPr>
                <w:spacing w:val="1"/>
                <w:sz w:val="24"/>
                <w:szCs w:val="24"/>
              </w:rPr>
            </w:pPr>
            <w:r>
              <w:rPr>
                <w:spacing w:val="1"/>
                <w:sz w:val="24"/>
                <w:szCs w:val="24"/>
              </w:rPr>
              <w:t>本项目部分风机点位及升压站选址周边环境现状见下图：</w:t>
            </w:r>
          </w:p>
          <w:p w14:paraId="6D7424A3">
            <w:pPr>
              <w:pStyle w:val="12"/>
              <w:ind w:left="0" w:firstLine="0"/>
            </w:pPr>
            <w:r>
              <w:rPr>
                <w:rFonts w:hint="eastAsia"/>
              </w:rPr>
              <w:drawing>
                <wp:inline distT="0" distB="0" distL="114300" distR="114300">
                  <wp:extent cx="5027295" cy="2827020"/>
                  <wp:effectExtent l="0" t="0" r="1905" b="11430"/>
                  <wp:docPr id="2" name="图片 2" descr="pic_20241126_141832(837023979231632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ic_20241126_141832(8370239792316329606)"/>
                          <pic:cNvPicPr>
                            <a:picLocks noChangeAspect="1"/>
                          </pic:cNvPicPr>
                        </pic:nvPicPr>
                        <pic:blipFill>
                          <a:blip r:embed="rId38" cstate="print"/>
                          <a:stretch>
                            <a:fillRect/>
                          </a:stretch>
                        </pic:blipFill>
                        <pic:spPr>
                          <a:xfrm>
                            <a:off x="0" y="0"/>
                            <a:ext cx="5027295" cy="2827020"/>
                          </a:xfrm>
                          <a:prstGeom prst="rect">
                            <a:avLst/>
                          </a:prstGeom>
                        </pic:spPr>
                      </pic:pic>
                    </a:graphicData>
                  </a:graphic>
                </wp:inline>
              </w:drawing>
            </w:r>
          </w:p>
          <w:p w14:paraId="7BC45AAB">
            <w:pPr>
              <w:pStyle w:val="43"/>
              <w:jc w:val="center"/>
              <w:rPr>
                <w:rFonts w:ascii="Times New Roman" w:hAnsi="Times New Roman" w:eastAsia="宋体"/>
              </w:rPr>
            </w:pPr>
            <w:r>
              <w:rPr>
                <w:rFonts w:ascii="Times New Roman" w:hAnsi="Times New Roman" w:eastAsia="宋体"/>
              </w:rPr>
              <w:t>升压站选址周边环境现状——坑塘水面</w:t>
            </w:r>
          </w:p>
          <w:p w14:paraId="3B2B83C9">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6" name="图片 16" descr="pic_20241220_143624(810609019998632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ic_20241220_143624(8106090199986324403)"/>
                          <pic:cNvPicPr>
                            <a:picLocks noChangeAspect="1"/>
                          </pic:cNvPicPr>
                        </pic:nvPicPr>
                        <pic:blipFill>
                          <a:blip r:embed="rId39" cstate="print"/>
                          <a:stretch>
                            <a:fillRect/>
                          </a:stretch>
                        </pic:blipFill>
                        <pic:spPr>
                          <a:xfrm>
                            <a:off x="0" y="0"/>
                            <a:ext cx="5027295" cy="2827020"/>
                          </a:xfrm>
                          <a:prstGeom prst="rect">
                            <a:avLst/>
                          </a:prstGeom>
                        </pic:spPr>
                      </pic:pic>
                    </a:graphicData>
                  </a:graphic>
                </wp:inline>
              </w:drawing>
            </w:r>
          </w:p>
          <w:p w14:paraId="5488E694">
            <w:pPr>
              <w:pStyle w:val="43"/>
              <w:ind w:firstLine="0"/>
              <w:jc w:val="center"/>
              <w:rPr>
                <w:rFonts w:ascii="Times New Roman" w:hAnsi="Times New Roman" w:eastAsia="宋体"/>
              </w:rPr>
            </w:pPr>
            <w:r>
              <w:rPr>
                <w:rFonts w:ascii="Times New Roman" w:hAnsi="Times New Roman" w:eastAsia="宋体"/>
              </w:rPr>
              <w:t>J2风电机组选址周边环境现状——坑塘水面</w:t>
            </w:r>
          </w:p>
          <w:p w14:paraId="2220C8A1">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7" name="图片 17" descr="pic_20241126_145759(29222118764908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ic_20241126_145759(2922211876490800058)"/>
                          <pic:cNvPicPr>
                            <a:picLocks noChangeAspect="1"/>
                          </pic:cNvPicPr>
                        </pic:nvPicPr>
                        <pic:blipFill>
                          <a:blip r:embed="rId40" cstate="print"/>
                          <a:stretch>
                            <a:fillRect/>
                          </a:stretch>
                        </pic:blipFill>
                        <pic:spPr>
                          <a:xfrm>
                            <a:off x="0" y="0"/>
                            <a:ext cx="5027295" cy="2827020"/>
                          </a:xfrm>
                          <a:prstGeom prst="rect">
                            <a:avLst/>
                          </a:prstGeom>
                        </pic:spPr>
                      </pic:pic>
                    </a:graphicData>
                  </a:graphic>
                </wp:inline>
              </w:drawing>
            </w:r>
          </w:p>
          <w:p w14:paraId="1729AEF1">
            <w:pPr>
              <w:pStyle w:val="43"/>
              <w:ind w:firstLine="0"/>
              <w:jc w:val="center"/>
              <w:rPr>
                <w:rFonts w:ascii="Times New Roman" w:hAnsi="Times New Roman" w:eastAsia="宋体"/>
              </w:rPr>
            </w:pPr>
            <w:r>
              <w:rPr>
                <w:rFonts w:ascii="Times New Roman" w:hAnsi="Times New Roman" w:eastAsia="宋体"/>
              </w:rPr>
              <w:t>J11风电机组选址周边环境现状——旱地</w:t>
            </w:r>
          </w:p>
          <w:p w14:paraId="00985EB2">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19" name="图片 19" descr="pic_20241210_130814(494358799310864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ic_20241210_130814(4943587993108645164)"/>
                          <pic:cNvPicPr>
                            <a:picLocks noChangeAspect="1"/>
                          </pic:cNvPicPr>
                        </pic:nvPicPr>
                        <pic:blipFill>
                          <a:blip r:embed="rId41" cstate="print"/>
                          <a:stretch>
                            <a:fillRect/>
                          </a:stretch>
                        </pic:blipFill>
                        <pic:spPr>
                          <a:xfrm>
                            <a:off x="0" y="0"/>
                            <a:ext cx="5027295" cy="2827020"/>
                          </a:xfrm>
                          <a:prstGeom prst="rect">
                            <a:avLst/>
                          </a:prstGeom>
                        </pic:spPr>
                      </pic:pic>
                    </a:graphicData>
                  </a:graphic>
                </wp:inline>
              </w:drawing>
            </w:r>
          </w:p>
          <w:p w14:paraId="207866C1">
            <w:pPr>
              <w:pStyle w:val="43"/>
              <w:ind w:firstLine="0"/>
              <w:jc w:val="center"/>
              <w:rPr>
                <w:rFonts w:ascii="Times New Roman" w:hAnsi="Times New Roman" w:eastAsia="宋体"/>
              </w:rPr>
            </w:pPr>
            <w:r>
              <w:rPr>
                <w:rFonts w:ascii="Times New Roman" w:hAnsi="Times New Roman" w:eastAsia="宋体"/>
              </w:rPr>
              <w:t>J12风电机组选址周边环境现状——水田、坑塘水面、沟渠</w:t>
            </w:r>
          </w:p>
          <w:p w14:paraId="49BADD02">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20" name="图片 20" descr="pic_20241220_113656(877030274489132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ic_20241220_113656(8770302744891328923)"/>
                          <pic:cNvPicPr>
                            <a:picLocks noChangeAspect="1"/>
                          </pic:cNvPicPr>
                        </pic:nvPicPr>
                        <pic:blipFill>
                          <a:blip r:embed="rId42" cstate="print"/>
                          <a:stretch>
                            <a:fillRect/>
                          </a:stretch>
                        </pic:blipFill>
                        <pic:spPr>
                          <a:xfrm>
                            <a:off x="0" y="0"/>
                            <a:ext cx="5027295" cy="2827020"/>
                          </a:xfrm>
                          <a:prstGeom prst="rect">
                            <a:avLst/>
                          </a:prstGeom>
                        </pic:spPr>
                      </pic:pic>
                    </a:graphicData>
                  </a:graphic>
                </wp:inline>
              </w:drawing>
            </w:r>
          </w:p>
          <w:p w14:paraId="57C874E5">
            <w:pPr>
              <w:pStyle w:val="43"/>
              <w:jc w:val="center"/>
              <w:rPr>
                <w:rFonts w:ascii="Times New Roman" w:hAnsi="Times New Roman" w:eastAsia="宋体"/>
              </w:rPr>
            </w:pPr>
            <w:r>
              <w:rPr>
                <w:rFonts w:ascii="Times New Roman" w:hAnsi="Times New Roman" w:eastAsia="宋体"/>
              </w:rPr>
              <w:t>J14风电机组选址周边环境现状——坑塘水面、沟渠</w:t>
            </w:r>
          </w:p>
          <w:p w14:paraId="5CD33CFE">
            <w:pPr>
              <w:pStyle w:val="43"/>
              <w:ind w:firstLine="0"/>
              <w:rPr>
                <w:rFonts w:ascii="Times New Roman" w:hAnsi="Times New Roman" w:eastAsia="宋体"/>
              </w:rPr>
            </w:pPr>
            <w:r>
              <w:rPr>
                <w:rFonts w:ascii="Times New Roman" w:hAnsi="Times New Roman" w:eastAsia="宋体"/>
              </w:rPr>
              <w:drawing>
                <wp:inline distT="0" distB="0" distL="114300" distR="114300">
                  <wp:extent cx="5027295" cy="2827020"/>
                  <wp:effectExtent l="0" t="0" r="1905" b="11430"/>
                  <wp:docPr id="22" name="图片 22" descr="pic_20241210_125920(33731068723022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ic_20241210_125920(3373106872302277283)"/>
                          <pic:cNvPicPr>
                            <a:picLocks noChangeAspect="1"/>
                          </pic:cNvPicPr>
                        </pic:nvPicPr>
                        <pic:blipFill>
                          <a:blip r:embed="rId43" cstate="print"/>
                          <a:stretch>
                            <a:fillRect/>
                          </a:stretch>
                        </pic:blipFill>
                        <pic:spPr>
                          <a:xfrm>
                            <a:off x="0" y="0"/>
                            <a:ext cx="5027295" cy="2827020"/>
                          </a:xfrm>
                          <a:prstGeom prst="rect">
                            <a:avLst/>
                          </a:prstGeom>
                        </pic:spPr>
                      </pic:pic>
                    </a:graphicData>
                  </a:graphic>
                </wp:inline>
              </w:drawing>
            </w:r>
          </w:p>
          <w:p w14:paraId="213553FA">
            <w:pPr>
              <w:pStyle w:val="43"/>
              <w:jc w:val="center"/>
              <w:rPr>
                <w:rFonts w:ascii="Times New Roman" w:hAnsi="Times New Roman" w:eastAsia="宋体"/>
              </w:rPr>
            </w:pPr>
            <w:r>
              <w:rPr>
                <w:rFonts w:ascii="Times New Roman" w:hAnsi="Times New Roman" w:eastAsia="宋体"/>
              </w:rPr>
              <w:t>J18风电机组选址周边环境现状——农村道路、坑塘水面、沟渠</w:t>
            </w:r>
          </w:p>
          <w:p w14:paraId="4E813093">
            <w:pPr>
              <w:pStyle w:val="43"/>
              <w:ind w:firstLine="0"/>
              <w:jc w:val="center"/>
              <w:rPr>
                <w:rFonts w:ascii="Times New Roman" w:hAnsi="Times New Roman" w:eastAsia="宋体"/>
              </w:rPr>
            </w:pPr>
            <w:r>
              <w:rPr>
                <w:rFonts w:ascii="Times New Roman" w:hAnsi="Times New Roman" w:eastAsia="宋体"/>
              </w:rPr>
              <w:drawing>
                <wp:inline distT="0" distB="0" distL="114300" distR="114300">
                  <wp:extent cx="5008880" cy="2837815"/>
                  <wp:effectExtent l="0" t="0" r="1270" b="635"/>
                  <wp:docPr id="23" name="图片 23" descr="pic_20240809_143524(394974789535391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ic_20240809_143524(3949747895353918103)"/>
                          <pic:cNvPicPr>
                            <a:picLocks noChangeAspect="1"/>
                          </pic:cNvPicPr>
                        </pic:nvPicPr>
                        <pic:blipFill>
                          <a:blip r:embed="rId44" cstate="print"/>
                          <a:stretch>
                            <a:fillRect/>
                          </a:stretch>
                        </pic:blipFill>
                        <pic:spPr>
                          <a:xfrm>
                            <a:off x="0" y="0"/>
                            <a:ext cx="5008880" cy="2837815"/>
                          </a:xfrm>
                          <a:prstGeom prst="rect">
                            <a:avLst/>
                          </a:prstGeom>
                        </pic:spPr>
                      </pic:pic>
                    </a:graphicData>
                  </a:graphic>
                </wp:inline>
              </w:drawing>
            </w:r>
          </w:p>
          <w:p w14:paraId="75016078">
            <w:pPr>
              <w:pStyle w:val="43"/>
              <w:jc w:val="center"/>
              <w:rPr>
                <w:rFonts w:ascii="Times New Roman" w:hAnsi="Times New Roman" w:eastAsia="宋体"/>
              </w:rPr>
            </w:pPr>
            <w:r>
              <w:rPr>
                <w:rFonts w:ascii="Times New Roman" w:hAnsi="Times New Roman" w:eastAsia="宋体"/>
              </w:rPr>
              <w:t>J32风电机组选址周边环境现状——水田、沟渠</w:t>
            </w:r>
          </w:p>
        </w:tc>
      </w:tr>
      <w:tr w14:paraId="3B326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225" w:type="pct"/>
            <w:vAlign w:val="center"/>
          </w:tcPr>
          <w:p w14:paraId="294B1715">
            <w:pPr>
              <w:adjustRightInd w:val="0"/>
              <w:snapToGrid w:val="0"/>
              <w:jc w:val="center"/>
              <w:rPr>
                <w:kern w:val="0"/>
                <w:sz w:val="24"/>
              </w:rPr>
            </w:pPr>
            <w:r>
              <w:rPr>
                <w:kern w:val="0"/>
                <w:sz w:val="24"/>
              </w:rPr>
              <w:t>生态环境保护目标</w:t>
            </w:r>
          </w:p>
        </w:tc>
        <w:tc>
          <w:tcPr>
            <w:tcW w:w="4774" w:type="pct"/>
            <w:vAlign w:val="center"/>
          </w:tcPr>
          <w:p w14:paraId="42CE6B9B">
            <w:pPr>
              <w:widowControl/>
              <w:adjustRightInd w:val="0"/>
              <w:snapToGrid w:val="0"/>
              <w:spacing w:line="480" w:lineRule="exact"/>
              <w:rPr>
                <w:b/>
                <w:bCs/>
                <w:sz w:val="24"/>
              </w:rPr>
            </w:pPr>
            <w:r>
              <w:rPr>
                <w:rFonts w:hint="eastAsia"/>
                <w:b/>
                <w:bCs/>
                <w:sz w:val="24"/>
              </w:rPr>
              <w:t>一、</w:t>
            </w:r>
            <w:r>
              <w:rPr>
                <w:b/>
                <w:bCs/>
                <w:sz w:val="24"/>
              </w:rPr>
              <w:t>施工期环境保护目标</w:t>
            </w:r>
          </w:p>
          <w:p w14:paraId="7896D16C">
            <w:pPr>
              <w:widowControl/>
              <w:adjustRightInd w:val="0"/>
              <w:snapToGrid w:val="0"/>
              <w:spacing w:line="480" w:lineRule="exact"/>
              <w:rPr>
                <w:b/>
                <w:bCs/>
                <w:sz w:val="24"/>
              </w:rPr>
            </w:pPr>
            <w:r>
              <w:rPr>
                <w:b/>
                <w:bCs/>
                <w:sz w:val="24"/>
              </w:rPr>
              <w:t>1、大气环境</w:t>
            </w:r>
          </w:p>
          <w:p w14:paraId="11945342">
            <w:pPr>
              <w:widowControl/>
              <w:adjustRightInd w:val="0"/>
              <w:snapToGrid w:val="0"/>
              <w:spacing w:line="480" w:lineRule="exact"/>
              <w:ind w:firstLine="480" w:firstLineChars="200"/>
              <w:rPr>
                <w:sz w:val="24"/>
              </w:rPr>
            </w:pPr>
            <w:r>
              <w:rPr>
                <w:rFonts w:hint="eastAsia"/>
                <w:sz w:val="24"/>
              </w:rPr>
              <w:t>结合施工期废气预测结果，</w:t>
            </w:r>
            <w:r>
              <w:rPr>
                <w:sz w:val="24"/>
              </w:rPr>
              <w:t>本项目施工期大气环境保护目标主要为距离拟建项目风机、</w:t>
            </w:r>
            <w:r>
              <w:rPr>
                <w:rFonts w:hint="eastAsia"/>
                <w:sz w:val="24"/>
              </w:rPr>
              <w:t>升压站、</w:t>
            </w:r>
            <w:r>
              <w:rPr>
                <w:sz w:val="24"/>
              </w:rPr>
              <w:t>集电线路、运输路线两侧各500m范围内的环境敏感点。</w:t>
            </w:r>
          </w:p>
          <w:p w14:paraId="39CDDAE9">
            <w:pPr>
              <w:widowControl/>
              <w:adjustRightInd w:val="0"/>
              <w:snapToGrid w:val="0"/>
              <w:spacing w:line="480" w:lineRule="exact"/>
              <w:jc w:val="center"/>
              <w:rPr>
                <w:b/>
                <w:bCs/>
                <w:sz w:val="24"/>
              </w:rPr>
            </w:pPr>
            <w:r>
              <w:rPr>
                <w:b/>
                <w:bCs/>
                <w:szCs w:val="21"/>
              </w:rPr>
              <w:t>表3-</w:t>
            </w:r>
            <w:r>
              <w:rPr>
                <w:rFonts w:hint="eastAsia"/>
                <w:b/>
                <w:bCs/>
                <w:szCs w:val="21"/>
              </w:rPr>
              <w:t>7</w:t>
            </w:r>
            <w:r>
              <w:rPr>
                <w:b/>
                <w:bCs/>
                <w:szCs w:val="21"/>
              </w:rPr>
              <w:t xml:space="preserve"> </w:t>
            </w:r>
            <w:r>
              <w:rPr>
                <w:rFonts w:hint="eastAsia"/>
                <w:b/>
                <w:bCs/>
                <w:szCs w:val="21"/>
              </w:rPr>
              <w:t xml:space="preserve">  </w:t>
            </w:r>
            <w:r>
              <w:rPr>
                <w:b/>
                <w:bCs/>
                <w:szCs w:val="21"/>
              </w:rPr>
              <w:t>项目施工期大气环境保护目标一览表</w:t>
            </w:r>
          </w:p>
          <w:tbl>
            <w:tblPr>
              <w:tblStyle w:val="33"/>
              <w:tblW w:w="79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263"/>
              <w:gridCol w:w="1487"/>
              <w:gridCol w:w="1450"/>
              <w:gridCol w:w="688"/>
              <w:gridCol w:w="1135"/>
              <w:gridCol w:w="796"/>
              <w:gridCol w:w="671"/>
            </w:tblGrid>
            <w:tr w14:paraId="34CAF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47" w:type="dxa"/>
                  <w:vMerge w:val="restart"/>
                  <w:tcBorders>
                    <w:tl2br w:val="nil"/>
                    <w:tr2bl w:val="nil"/>
                  </w:tcBorders>
                  <w:vAlign w:val="center"/>
                </w:tcPr>
                <w:p w14:paraId="1134464C">
                  <w:pPr>
                    <w:widowControl/>
                    <w:adjustRightInd w:val="0"/>
                    <w:snapToGrid w:val="0"/>
                    <w:spacing w:line="320" w:lineRule="exact"/>
                    <w:jc w:val="center"/>
                    <w:rPr>
                      <w:szCs w:val="21"/>
                    </w:rPr>
                  </w:pPr>
                  <w:r>
                    <w:rPr>
                      <w:rFonts w:hint="eastAsia"/>
                      <w:szCs w:val="21"/>
                    </w:rPr>
                    <w:t>序号</w:t>
                  </w:r>
                </w:p>
              </w:tc>
              <w:tc>
                <w:tcPr>
                  <w:tcW w:w="1263" w:type="dxa"/>
                  <w:vMerge w:val="restart"/>
                  <w:tcBorders>
                    <w:tl2br w:val="nil"/>
                    <w:tr2bl w:val="nil"/>
                  </w:tcBorders>
                  <w:vAlign w:val="center"/>
                </w:tcPr>
                <w:p w14:paraId="74668FDB">
                  <w:pPr>
                    <w:widowControl/>
                    <w:adjustRightInd w:val="0"/>
                    <w:snapToGrid w:val="0"/>
                    <w:spacing w:line="320" w:lineRule="exact"/>
                    <w:jc w:val="center"/>
                    <w:rPr>
                      <w:szCs w:val="21"/>
                    </w:rPr>
                  </w:pPr>
                  <w:r>
                    <w:rPr>
                      <w:rFonts w:hint="eastAsia"/>
                      <w:szCs w:val="21"/>
                    </w:rPr>
                    <w:t>保护目标</w:t>
                  </w:r>
                </w:p>
              </w:tc>
              <w:tc>
                <w:tcPr>
                  <w:tcW w:w="2937" w:type="dxa"/>
                  <w:gridSpan w:val="2"/>
                  <w:tcBorders>
                    <w:tl2br w:val="nil"/>
                    <w:tr2bl w:val="nil"/>
                  </w:tcBorders>
                  <w:vAlign w:val="center"/>
                </w:tcPr>
                <w:p w14:paraId="0B3814CD">
                  <w:pPr>
                    <w:widowControl/>
                    <w:adjustRightInd w:val="0"/>
                    <w:snapToGrid w:val="0"/>
                    <w:spacing w:line="320" w:lineRule="exact"/>
                    <w:jc w:val="center"/>
                    <w:rPr>
                      <w:szCs w:val="21"/>
                    </w:rPr>
                  </w:pPr>
                  <w:r>
                    <w:rPr>
                      <w:szCs w:val="21"/>
                    </w:rPr>
                    <w:t>坐标</w:t>
                  </w:r>
                </w:p>
              </w:tc>
              <w:tc>
                <w:tcPr>
                  <w:tcW w:w="688" w:type="dxa"/>
                  <w:vMerge w:val="restart"/>
                  <w:tcBorders>
                    <w:tl2br w:val="nil"/>
                    <w:tr2bl w:val="nil"/>
                  </w:tcBorders>
                  <w:vAlign w:val="center"/>
                </w:tcPr>
                <w:p w14:paraId="370D71D4">
                  <w:pPr>
                    <w:widowControl/>
                    <w:adjustRightInd w:val="0"/>
                    <w:snapToGrid w:val="0"/>
                    <w:spacing w:line="320" w:lineRule="exact"/>
                    <w:jc w:val="center"/>
                    <w:rPr>
                      <w:szCs w:val="21"/>
                    </w:rPr>
                  </w:pPr>
                  <w:r>
                    <w:rPr>
                      <w:szCs w:val="21"/>
                    </w:rPr>
                    <w:t>保护对象</w:t>
                  </w:r>
                </w:p>
              </w:tc>
              <w:tc>
                <w:tcPr>
                  <w:tcW w:w="1135" w:type="dxa"/>
                  <w:vMerge w:val="restart"/>
                  <w:tcBorders>
                    <w:tl2br w:val="nil"/>
                    <w:tr2bl w:val="nil"/>
                  </w:tcBorders>
                  <w:vAlign w:val="center"/>
                </w:tcPr>
                <w:p w14:paraId="4D9D04B8">
                  <w:pPr>
                    <w:widowControl/>
                    <w:adjustRightInd w:val="0"/>
                    <w:snapToGrid w:val="0"/>
                    <w:spacing w:line="320" w:lineRule="exact"/>
                    <w:jc w:val="center"/>
                    <w:rPr>
                      <w:szCs w:val="21"/>
                    </w:rPr>
                  </w:pPr>
                  <w:r>
                    <w:rPr>
                      <w:szCs w:val="21"/>
                    </w:rPr>
                    <w:t>环境功能区</w:t>
                  </w:r>
                </w:p>
              </w:tc>
              <w:tc>
                <w:tcPr>
                  <w:tcW w:w="796" w:type="dxa"/>
                  <w:vMerge w:val="restart"/>
                  <w:tcBorders>
                    <w:tl2br w:val="nil"/>
                    <w:tr2bl w:val="nil"/>
                  </w:tcBorders>
                  <w:vAlign w:val="center"/>
                </w:tcPr>
                <w:p w14:paraId="365BAE8B">
                  <w:pPr>
                    <w:widowControl/>
                    <w:adjustRightInd w:val="0"/>
                    <w:snapToGrid w:val="0"/>
                    <w:spacing w:line="320" w:lineRule="exact"/>
                    <w:jc w:val="center"/>
                    <w:rPr>
                      <w:szCs w:val="21"/>
                    </w:rPr>
                  </w:pPr>
                  <w:r>
                    <w:rPr>
                      <w:szCs w:val="21"/>
                    </w:rPr>
                    <w:t>相对方位</w:t>
                  </w:r>
                </w:p>
              </w:tc>
              <w:tc>
                <w:tcPr>
                  <w:tcW w:w="671" w:type="dxa"/>
                  <w:vMerge w:val="restart"/>
                  <w:tcBorders>
                    <w:tl2br w:val="nil"/>
                    <w:tr2bl w:val="nil"/>
                  </w:tcBorders>
                  <w:vAlign w:val="center"/>
                </w:tcPr>
                <w:p w14:paraId="6174C362">
                  <w:pPr>
                    <w:widowControl/>
                    <w:adjustRightInd w:val="0"/>
                    <w:snapToGrid w:val="0"/>
                    <w:spacing w:line="320" w:lineRule="exact"/>
                    <w:jc w:val="center"/>
                    <w:rPr>
                      <w:szCs w:val="21"/>
                    </w:rPr>
                  </w:pPr>
                  <w:r>
                    <w:rPr>
                      <w:szCs w:val="21"/>
                    </w:rPr>
                    <w:t>距离/m</w:t>
                  </w:r>
                </w:p>
              </w:tc>
            </w:tr>
            <w:tr w14:paraId="74668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47" w:type="dxa"/>
                  <w:vMerge w:val="continue"/>
                  <w:tcBorders>
                    <w:tl2br w:val="nil"/>
                    <w:tr2bl w:val="nil"/>
                  </w:tcBorders>
                  <w:vAlign w:val="center"/>
                </w:tcPr>
                <w:p w14:paraId="2B2BC453">
                  <w:pPr>
                    <w:widowControl/>
                    <w:adjustRightInd w:val="0"/>
                    <w:snapToGrid w:val="0"/>
                    <w:spacing w:line="320" w:lineRule="exact"/>
                    <w:jc w:val="center"/>
                    <w:rPr>
                      <w:szCs w:val="21"/>
                    </w:rPr>
                  </w:pPr>
                </w:p>
              </w:tc>
              <w:tc>
                <w:tcPr>
                  <w:tcW w:w="1263" w:type="dxa"/>
                  <w:vMerge w:val="continue"/>
                  <w:tcBorders>
                    <w:tl2br w:val="nil"/>
                    <w:tr2bl w:val="nil"/>
                  </w:tcBorders>
                  <w:vAlign w:val="center"/>
                </w:tcPr>
                <w:p w14:paraId="6933D293">
                  <w:pPr>
                    <w:widowControl/>
                    <w:adjustRightInd w:val="0"/>
                    <w:snapToGrid w:val="0"/>
                    <w:spacing w:line="320" w:lineRule="exact"/>
                    <w:jc w:val="center"/>
                    <w:rPr>
                      <w:szCs w:val="21"/>
                    </w:rPr>
                  </w:pPr>
                </w:p>
              </w:tc>
              <w:tc>
                <w:tcPr>
                  <w:tcW w:w="1487" w:type="dxa"/>
                  <w:tcBorders>
                    <w:tl2br w:val="nil"/>
                    <w:tr2bl w:val="nil"/>
                  </w:tcBorders>
                  <w:vAlign w:val="center"/>
                </w:tcPr>
                <w:p w14:paraId="64287795">
                  <w:pPr>
                    <w:widowControl/>
                    <w:adjustRightInd w:val="0"/>
                    <w:snapToGrid w:val="0"/>
                    <w:spacing w:line="320" w:lineRule="exact"/>
                    <w:jc w:val="center"/>
                    <w:rPr>
                      <w:szCs w:val="21"/>
                    </w:rPr>
                  </w:pPr>
                  <w:r>
                    <w:rPr>
                      <w:szCs w:val="21"/>
                    </w:rPr>
                    <w:t>东经</w:t>
                  </w:r>
                </w:p>
              </w:tc>
              <w:tc>
                <w:tcPr>
                  <w:tcW w:w="1450" w:type="dxa"/>
                  <w:tcBorders>
                    <w:tl2br w:val="nil"/>
                    <w:tr2bl w:val="nil"/>
                  </w:tcBorders>
                  <w:vAlign w:val="center"/>
                </w:tcPr>
                <w:p w14:paraId="3DD6699A">
                  <w:pPr>
                    <w:widowControl/>
                    <w:adjustRightInd w:val="0"/>
                    <w:snapToGrid w:val="0"/>
                    <w:spacing w:line="320" w:lineRule="exact"/>
                    <w:jc w:val="center"/>
                    <w:rPr>
                      <w:szCs w:val="21"/>
                    </w:rPr>
                  </w:pPr>
                  <w:r>
                    <w:rPr>
                      <w:szCs w:val="21"/>
                    </w:rPr>
                    <w:t>北纬</w:t>
                  </w:r>
                </w:p>
              </w:tc>
              <w:tc>
                <w:tcPr>
                  <w:tcW w:w="688" w:type="dxa"/>
                  <w:vMerge w:val="continue"/>
                  <w:tcBorders>
                    <w:tl2br w:val="nil"/>
                    <w:tr2bl w:val="nil"/>
                  </w:tcBorders>
                  <w:vAlign w:val="center"/>
                </w:tcPr>
                <w:p w14:paraId="555D8BBA">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372308EB">
                  <w:pPr>
                    <w:widowControl/>
                    <w:adjustRightInd w:val="0"/>
                    <w:snapToGrid w:val="0"/>
                    <w:spacing w:line="320" w:lineRule="exact"/>
                    <w:jc w:val="center"/>
                    <w:rPr>
                      <w:szCs w:val="21"/>
                    </w:rPr>
                  </w:pPr>
                </w:p>
              </w:tc>
              <w:tc>
                <w:tcPr>
                  <w:tcW w:w="796" w:type="dxa"/>
                  <w:vMerge w:val="continue"/>
                  <w:tcBorders>
                    <w:tl2br w:val="nil"/>
                    <w:tr2bl w:val="nil"/>
                  </w:tcBorders>
                  <w:vAlign w:val="center"/>
                </w:tcPr>
                <w:p w14:paraId="6775D347">
                  <w:pPr>
                    <w:widowControl/>
                    <w:adjustRightInd w:val="0"/>
                    <w:snapToGrid w:val="0"/>
                    <w:spacing w:line="320" w:lineRule="exact"/>
                    <w:jc w:val="center"/>
                    <w:rPr>
                      <w:szCs w:val="21"/>
                    </w:rPr>
                  </w:pPr>
                </w:p>
              </w:tc>
              <w:tc>
                <w:tcPr>
                  <w:tcW w:w="671" w:type="dxa"/>
                  <w:vMerge w:val="continue"/>
                  <w:tcBorders>
                    <w:tl2br w:val="nil"/>
                    <w:tr2bl w:val="nil"/>
                  </w:tcBorders>
                  <w:vAlign w:val="center"/>
                </w:tcPr>
                <w:p w14:paraId="5016E746">
                  <w:pPr>
                    <w:widowControl/>
                    <w:adjustRightInd w:val="0"/>
                    <w:snapToGrid w:val="0"/>
                    <w:spacing w:line="320" w:lineRule="exact"/>
                    <w:jc w:val="center"/>
                    <w:rPr>
                      <w:szCs w:val="21"/>
                    </w:rPr>
                  </w:pPr>
                </w:p>
              </w:tc>
            </w:tr>
            <w:tr w14:paraId="67BC3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6532E7E7">
                  <w:pPr>
                    <w:widowControl/>
                    <w:adjustRightInd w:val="0"/>
                    <w:snapToGrid w:val="0"/>
                    <w:spacing w:line="320" w:lineRule="exact"/>
                    <w:jc w:val="center"/>
                    <w:rPr>
                      <w:szCs w:val="21"/>
                    </w:rPr>
                  </w:pPr>
                  <w:r>
                    <w:rPr>
                      <w:rFonts w:hint="eastAsia"/>
                      <w:szCs w:val="21"/>
                    </w:rPr>
                    <w:t>1</w:t>
                  </w:r>
                </w:p>
              </w:tc>
              <w:tc>
                <w:tcPr>
                  <w:tcW w:w="1263" w:type="dxa"/>
                  <w:tcBorders>
                    <w:tl2br w:val="nil"/>
                    <w:tr2bl w:val="nil"/>
                  </w:tcBorders>
                  <w:vAlign w:val="center"/>
                </w:tcPr>
                <w:p w14:paraId="2F0EA3B8">
                  <w:pPr>
                    <w:widowControl/>
                    <w:adjustRightInd w:val="0"/>
                    <w:snapToGrid w:val="0"/>
                    <w:spacing w:line="320" w:lineRule="exact"/>
                    <w:jc w:val="center"/>
                    <w:rPr>
                      <w:szCs w:val="21"/>
                    </w:rPr>
                  </w:pPr>
                  <w:r>
                    <w:rPr>
                      <w:szCs w:val="21"/>
                    </w:rPr>
                    <w:t>小韩庄村</w:t>
                  </w:r>
                </w:p>
              </w:tc>
              <w:tc>
                <w:tcPr>
                  <w:tcW w:w="1487" w:type="dxa"/>
                  <w:tcBorders>
                    <w:tl2br w:val="nil"/>
                    <w:tr2bl w:val="nil"/>
                  </w:tcBorders>
                  <w:vAlign w:val="center"/>
                </w:tcPr>
                <w:p w14:paraId="4486FD41">
                  <w:pPr>
                    <w:widowControl/>
                    <w:adjustRightInd w:val="0"/>
                    <w:snapToGrid w:val="0"/>
                    <w:spacing w:line="320" w:lineRule="exact"/>
                    <w:jc w:val="center"/>
                    <w:rPr>
                      <w:szCs w:val="21"/>
                    </w:rPr>
                  </w:pPr>
                  <w:r>
                    <w:rPr>
                      <w:szCs w:val="21"/>
                    </w:rPr>
                    <w:t>118.262717°</w:t>
                  </w:r>
                </w:p>
              </w:tc>
              <w:tc>
                <w:tcPr>
                  <w:tcW w:w="1450" w:type="dxa"/>
                  <w:tcBorders>
                    <w:tl2br w:val="nil"/>
                    <w:tr2bl w:val="nil"/>
                  </w:tcBorders>
                  <w:vAlign w:val="center"/>
                </w:tcPr>
                <w:p w14:paraId="79457A15">
                  <w:pPr>
                    <w:widowControl/>
                    <w:adjustRightInd w:val="0"/>
                    <w:snapToGrid w:val="0"/>
                    <w:spacing w:line="320" w:lineRule="exact"/>
                    <w:jc w:val="center"/>
                    <w:rPr>
                      <w:szCs w:val="21"/>
                    </w:rPr>
                  </w:pPr>
                  <w:r>
                    <w:rPr>
                      <w:szCs w:val="21"/>
                    </w:rPr>
                    <w:t>39.368363°</w:t>
                  </w:r>
                </w:p>
              </w:tc>
              <w:tc>
                <w:tcPr>
                  <w:tcW w:w="688" w:type="dxa"/>
                  <w:vMerge w:val="restart"/>
                  <w:tcBorders>
                    <w:tl2br w:val="nil"/>
                    <w:tr2bl w:val="nil"/>
                  </w:tcBorders>
                  <w:vAlign w:val="center"/>
                </w:tcPr>
                <w:p w14:paraId="632F2F87">
                  <w:pPr>
                    <w:widowControl/>
                    <w:adjustRightInd w:val="0"/>
                    <w:snapToGrid w:val="0"/>
                    <w:spacing w:line="320" w:lineRule="exact"/>
                    <w:jc w:val="center"/>
                    <w:rPr>
                      <w:szCs w:val="21"/>
                    </w:rPr>
                  </w:pPr>
                  <w:r>
                    <w:rPr>
                      <w:szCs w:val="21"/>
                    </w:rPr>
                    <w:t>居住区</w:t>
                  </w:r>
                  <w:r>
                    <w:rPr>
                      <w:rFonts w:hint="eastAsia"/>
                      <w:szCs w:val="21"/>
                    </w:rPr>
                    <w:t>-居民</w:t>
                  </w:r>
                </w:p>
                <w:p w14:paraId="220E0569">
                  <w:pPr>
                    <w:widowControl/>
                    <w:adjustRightInd w:val="0"/>
                    <w:snapToGrid w:val="0"/>
                    <w:spacing w:line="320" w:lineRule="exact"/>
                    <w:jc w:val="center"/>
                    <w:rPr>
                      <w:szCs w:val="21"/>
                    </w:rPr>
                  </w:pPr>
                </w:p>
              </w:tc>
              <w:tc>
                <w:tcPr>
                  <w:tcW w:w="1135" w:type="dxa"/>
                  <w:vMerge w:val="restart"/>
                  <w:tcBorders>
                    <w:tl2br w:val="nil"/>
                    <w:tr2bl w:val="nil"/>
                  </w:tcBorders>
                  <w:vAlign w:val="center"/>
                </w:tcPr>
                <w:p w14:paraId="536E7F6C">
                  <w:pPr>
                    <w:widowControl/>
                    <w:adjustRightInd w:val="0"/>
                    <w:snapToGrid w:val="0"/>
                    <w:spacing w:line="320" w:lineRule="exact"/>
                    <w:jc w:val="center"/>
                    <w:rPr>
                      <w:szCs w:val="21"/>
                    </w:rPr>
                  </w:pPr>
                  <w:r>
                    <w:rPr>
                      <w:szCs w:val="21"/>
                    </w:rPr>
                    <w:t>环境空气质量二类区</w:t>
                  </w:r>
                </w:p>
              </w:tc>
              <w:tc>
                <w:tcPr>
                  <w:tcW w:w="796" w:type="dxa"/>
                  <w:tcBorders>
                    <w:tl2br w:val="nil"/>
                    <w:tr2bl w:val="nil"/>
                  </w:tcBorders>
                  <w:vAlign w:val="center"/>
                </w:tcPr>
                <w:p w14:paraId="3A558081">
                  <w:pPr>
                    <w:widowControl/>
                    <w:adjustRightInd w:val="0"/>
                    <w:snapToGrid w:val="0"/>
                    <w:spacing w:line="320" w:lineRule="exact"/>
                    <w:jc w:val="center"/>
                    <w:rPr>
                      <w:szCs w:val="21"/>
                    </w:rPr>
                  </w:pPr>
                  <w:r>
                    <w:rPr>
                      <w:szCs w:val="21"/>
                    </w:rPr>
                    <w:t>S</w:t>
                  </w:r>
                </w:p>
              </w:tc>
              <w:tc>
                <w:tcPr>
                  <w:tcW w:w="671" w:type="dxa"/>
                  <w:tcBorders>
                    <w:tl2br w:val="nil"/>
                    <w:tr2bl w:val="nil"/>
                  </w:tcBorders>
                  <w:vAlign w:val="center"/>
                </w:tcPr>
                <w:p w14:paraId="36698E2E">
                  <w:pPr>
                    <w:widowControl/>
                    <w:adjustRightInd w:val="0"/>
                    <w:snapToGrid w:val="0"/>
                    <w:spacing w:line="320" w:lineRule="exact"/>
                    <w:jc w:val="center"/>
                    <w:rPr>
                      <w:szCs w:val="21"/>
                    </w:rPr>
                  </w:pPr>
                  <w:r>
                    <w:rPr>
                      <w:szCs w:val="21"/>
                    </w:rPr>
                    <w:t>270</w:t>
                  </w:r>
                </w:p>
              </w:tc>
            </w:tr>
            <w:tr w14:paraId="40B3B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4076B0A1">
                  <w:pPr>
                    <w:widowControl/>
                    <w:adjustRightInd w:val="0"/>
                    <w:snapToGrid w:val="0"/>
                    <w:spacing w:line="320" w:lineRule="exact"/>
                    <w:jc w:val="center"/>
                    <w:rPr>
                      <w:szCs w:val="21"/>
                    </w:rPr>
                  </w:pPr>
                  <w:r>
                    <w:rPr>
                      <w:rFonts w:hint="eastAsia"/>
                      <w:szCs w:val="21"/>
                    </w:rPr>
                    <w:t>2</w:t>
                  </w:r>
                </w:p>
              </w:tc>
              <w:tc>
                <w:tcPr>
                  <w:tcW w:w="1263" w:type="dxa"/>
                  <w:tcBorders>
                    <w:tl2br w:val="nil"/>
                    <w:tr2bl w:val="nil"/>
                  </w:tcBorders>
                  <w:vAlign w:val="center"/>
                </w:tcPr>
                <w:p w14:paraId="7649FC4A">
                  <w:pPr>
                    <w:widowControl/>
                    <w:adjustRightInd w:val="0"/>
                    <w:snapToGrid w:val="0"/>
                    <w:spacing w:line="320" w:lineRule="exact"/>
                    <w:jc w:val="center"/>
                    <w:rPr>
                      <w:szCs w:val="21"/>
                    </w:rPr>
                  </w:pPr>
                  <w:r>
                    <w:rPr>
                      <w:szCs w:val="21"/>
                    </w:rPr>
                    <w:t>十农场</w:t>
                  </w:r>
                </w:p>
              </w:tc>
              <w:tc>
                <w:tcPr>
                  <w:tcW w:w="1487" w:type="dxa"/>
                  <w:tcBorders>
                    <w:tl2br w:val="nil"/>
                    <w:tr2bl w:val="nil"/>
                  </w:tcBorders>
                  <w:vAlign w:val="center"/>
                </w:tcPr>
                <w:p w14:paraId="38CCD40D">
                  <w:pPr>
                    <w:widowControl/>
                    <w:adjustRightInd w:val="0"/>
                    <w:snapToGrid w:val="0"/>
                    <w:spacing w:line="320" w:lineRule="exact"/>
                    <w:jc w:val="center"/>
                    <w:rPr>
                      <w:szCs w:val="21"/>
                    </w:rPr>
                  </w:pPr>
                  <w:r>
                    <w:rPr>
                      <w:szCs w:val="21"/>
                    </w:rPr>
                    <w:t>118.339485°</w:t>
                  </w:r>
                </w:p>
              </w:tc>
              <w:tc>
                <w:tcPr>
                  <w:tcW w:w="1450" w:type="dxa"/>
                  <w:tcBorders>
                    <w:tl2br w:val="nil"/>
                    <w:tr2bl w:val="nil"/>
                  </w:tcBorders>
                  <w:vAlign w:val="center"/>
                </w:tcPr>
                <w:p w14:paraId="29F848B9">
                  <w:pPr>
                    <w:widowControl/>
                    <w:adjustRightInd w:val="0"/>
                    <w:snapToGrid w:val="0"/>
                    <w:spacing w:line="320" w:lineRule="exact"/>
                    <w:jc w:val="center"/>
                    <w:rPr>
                      <w:szCs w:val="21"/>
                    </w:rPr>
                  </w:pPr>
                  <w:r>
                    <w:rPr>
                      <w:szCs w:val="21"/>
                    </w:rPr>
                    <w:t>39.326054°</w:t>
                  </w:r>
                </w:p>
              </w:tc>
              <w:tc>
                <w:tcPr>
                  <w:tcW w:w="688" w:type="dxa"/>
                  <w:vMerge w:val="continue"/>
                  <w:tcBorders>
                    <w:tl2br w:val="nil"/>
                    <w:tr2bl w:val="nil"/>
                  </w:tcBorders>
                  <w:vAlign w:val="center"/>
                </w:tcPr>
                <w:p w14:paraId="4E11ECDC">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6B6CBC86">
                  <w:pPr>
                    <w:widowControl/>
                    <w:adjustRightInd w:val="0"/>
                    <w:snapToGrid w:val="0"/>
                    <w:spacing w:line="320" w:lineRule="exact"/>
                    <w:jc w:val="center"/>
                    <w:rPr>
                      <w:szCs w:val="21"/>
                    </w:rPr>
                  </w:pPr>
                </w:p>
              </w:tc>
              <w:tc>
                <w:tcPr>
                  <w:tcW w:w="796" w:type="dxa"/>
                  <w:tcBorders>
                    <w:tl2br w:val="nil"/>
                    <w:tr2bl w:val="nil"/>
                  </w:tcBorders>
                  <w:vAlign w:val="center"/>
                </w:tcPr>
                <w:p w14:paraId="55CC710F">
                  <w:pPr>
                    <w:widowControl/>
                    <w:adjustRightInd w:val="0"/>
                    <w:snapToGrid w:val="0"/>
                    <w:spacing w:line="320" w:lineRule="exact"/>
                    <w:jc w:val="center"/>
                    <w:rPr>
                      <w:szCs w:val="21"/>
                    </w:rPr>
                  </w:pPr>
                  <w:r>
                    <w:rPr>
                      <w:szCs w:val="21"/>
                    </w:rPr>
                    <w:t>N/W</w:t>
                  </w:r>
                </w:p>
              </w:tc>
              <w:tc>
                <w:tcPr>
                  <w:tcW w:w="671" w:type="dxa"/>
                  <w:tcBorders>
                    <w:tl2br w:val="nil"/>
                    <w:tr2bl w:val="nil"/>
                  </w:tcBorders>
                  <w:vAlign w:val="center"/>
                </w:tcPr>
                <w:p w14:paraId="76CB02AB">
                  <w:pPr>
                    <w:widowControl/>
                    <w:adjustRightInd w:val="0"/>
                    <w:snapToGrid w:val="0"/>
                    <w:spacing w:line="320" w:lineRule="exact"/>
                    <w:jc w:val="center"/>
                    <w:rPr>
                      <w:szCs w:val="21"/>
                    </w:rPr>
                  </w:pPr>
                  <w:r>
                    <w:rPr>
                      <w:szCs w:val="21"/>
                    </w:rPr>
                    <w:t>10</w:t>
                  </w:r>
                </w:p>
              </w:tc>
            </w:tr>
            <w:tr w14:paraId="15728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09F8E535">
                  <w:pPr>
                    <w:widowControl/>
                    <w:adjustRightInd w:val="0"/>
                    <w:snapToGrid w:val="0"/>
                    <w:spacing w:line="320" w:lineRule="exact"/>
                    <w:jc w:val="center"/>
                    <w:rPr>
                      <w:szCs w:val="21"/>
                    </w:rPr>
                  </w:pPr>
                  <w:r>
                    <w:rPr>
                      <w:rFonts w:hint="eastAsia"/>
                      <w:szCs w:val="21"/>
                    </w:rPr>
                    <w:t>3</w:t>
                  </w:r>
                </w:p>
              </w:tc>
              <w:tc>
                <w:tcPr>
                  <w:tcW w:w="1263" w:type="dxa"/>
                  <w:tcBorders>
                    <w:tl2br w:val="nil"/>
                    <w:tr2bl w:val="nil"/>
                  </w:tcBorders>
                  <w:vAlign w:val="center"/>
                </w:tcPr>
                <w:p w14:paraId="785D7B75">
                  <w:pPr>
                    <w:widowControl/>
                    <w:adjustRightInd w:val="0"/>
                    <w:snapToGrid w:val="0"/>
                    <w:spacing w:line="320" w:lineRule="exact"/>
                    <w:jc w:val="center"/>
                    <w:rPr>
                      <w:szCs w:val="21"/>
                    </w:rPr>
                  </w:pPr>
                  <w:r>
                    <w:rPr>
                      <w:szCs w:val="21"/>
                    </w:rPr>
                    <w:t>占子井村</w:t>
                  </w:r>
                </w:p>
              </w:tc>
              <w:tc>
                <w:tcPr>
                  <w:tcW w:w="1487" w:type="dxa"/>
                  <w:tcBorders>
                    <w:tl2br w:val="nil"/>
                    <w:tr2bl w:val="nil"/>
                  </w:tcBorders>
                  <w:vAlign w:val="center"/>
                </w:tcPr>
                <w:p w14:paraId="6A552D57">
                  <w:pPr>
                    <w:widowControl/>
                    <w:adjustRightInd w:val="0"/>
                    <w:snapToGrid w:val="0"/>
                    <w:spacing w:line="320" w:lineRule="exact"/>
                    <w:jc w:val="center"/>
                    <w:rPr>
                      <w:szCs w:val="21"/>
                    </w:rPr>
                  </w:pPr>
                  <w:r>
                    <w:rPr>
                      <w:szCs w:val="21"/>
                    </w:rPr>
                    <w:t>118.328327°</w:t>
                  </w:r>
                </w:p>
              </w:tc>
              <w:tc>
                <w:tcPr>
                  <w:tcW w:w="1450" w:type="dxa"/>
                  <w:tcBorders>
                    <w:tl2br w:val="nil"/>
                    <w:tr2bl w:val="nil"/>
                  </w:tcBorders>
                  <w:vAlign w:val="center"/>
                </w:tcPr>
                <w:p w14:paraId="3B6DE59D">
                  <w:pPr>
                    <w:widowControl/>
                    <w:adjustRightInd w:val="0"/>
                    <w:snapToGrid w:val="0"/>
                    <w:spacing w:line="320" w:lineRule="exact"/>
                    <w:jc w:val="center"/>
                    <w:rPr>
                      <w:szCs w:val="21"/>
                    </w:rPr>
                  </w:pPr>
                  <w:r>
                    <w:rPr>
                      <w:szCs w:val="21"/>
                    </w:rPr>
                    <w:t>39.299479°</w:t>
                  </w:r>
                </w:p>
              </w:tc>
              <w:tc>
                <w:tcPr>
                  <w:tcW w:w="688" w:type="dxa"/>
                  <w:vMerge w:val="continue"/>
                  <w:tcBorders>
                    <w:tl2br w:val="nil"/>
                    <w:tr2bl w:val="nil"/>
                  </w:tcBorders>
                  <w:vAlign w:val="center"/>
                </w:tcPr>
                <w:p w14:paraId="43B682B1">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2FFA6CB6">
                  <w:pPr>
                    <w:widowControl/>
                    <w:adjustRightInd w:val="0"/>
                    <w:snapToGrid w:val="0"/>
                    <w:spacing w:line="320" w:lineRule="exact"/>
                    <w:jc w:val="center"/>
                    <w:rPr>
                      <w:szCs w:val="21"/>
                    </w:rPr>
                  </w:pPr>
                </w:p>
              </w:tc>
              <w:tc>
                <w:tcPr>
                  <w:tcW w:w="796" w:type="dxa"/>
                  <w:tcBorders>
                    <w:tl2br w:val="nil"/>
                    <w:tr2bl w:val="nil"/>
                  </w:tcBorders>
                  <w:vAlign w:val="center"/>
                </w:tcPr>
                <w:p w14:paraId="45137F59">
                  <w:pPr>
                    <w:widowControl/>
                    <w:adjustRightInd w:val="0"/>
                    <w:snapToGrid w:val="0"/>
                    <w:spacing w:line="320" w:lineRule="exact"/>
                    <w:jc w:val="center"/>
                    <w:rPr>
                      <w:szCs w:val="21"/>
                    </w:rPr>
                  </w:pPr>
                  <w:r>
                    <w:rPr>
                      <w:szCs w:val="21"/>
                    </w:rPr>
                    <w:t>W</w:t>
                  </w:r>
                </w:p>
              </w:tc>
              <w:tc>
                <w:tcPr>
                  <w:tcW w:w="671" w:type="dxa"/>
                  <w:tcBorders>
                    <w:tl2br w:val="nil"/>
                    <w:tr2bl w:val="nil"/>
                  </w:tcBorders>
                  <w:vAlign w:val="center"/>
                </w:tcPr>
                <w:p w14:paraId="7776FCFB">
                  <w:pPr>
                    <w:widowControl/>
                    <w:adjustRightInd w:val="0"/>
                    <w:snapToGrid w:val="0"/>
                    <w:spacing w:line="320" w:lineRule="exact"/>
                    <w:jc w:val="center"/>
                    <w:rPr>
                      <w:szCs w:val="21"/>
                    </w:rPr>
                  </w:pPr>
                  <w:r>
                    <w:rPr>
                      <w:szCs w:val="21"/>
                    </w:rPr>
                    <w:t>65</w:t>
                  </w:r>
                </w:p>
              </w:tc>
            </w:tr>
            <w:tr w14:paraId="40683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64A58E3C">
                  <w:pPr>
                    <w:widowControl/>
                    <w:adjustRightInd w:val="0"/>
                    <w:snapToGrid w:val="0"/>
                    <w:spacing w:line="320" w:lineRule="exact"/>
                    <w:jc w:val="center"/>
                    <w:rPr>
                      <w:szCs w:val="21"/>
                    </w:rPr>
                  </w:pPr>
                  <w:r>
                    <w:rPr>
                      <w:rFonts w:hint="eastAsia"/>
                      <w:szCs w:val="21"/>
                    </w:rPr>
                    <w:t>4</w:t>
                  </w:r>
                </w:p>
              </w:tc>
              <w:tc>
                <w:tcPr>
                  <w:tcW w:w="1263" w:type="dxa"/>
                  <w:tcBorders>
                    <w:tl2br w:val="nil"/>
                    <w:tr2bl w:val="nil"/>
                  </w:tcBorders>
                  <w:vAlign w:val="center"/>
                </w:tcPr>
                <w:p w14:paraId="7370DF37">
                  <w:pPr>
                    <w:widowControl/>
                    <w:adjustRightInd w:val="0"/>
                    <w:snapToGrid w:val="0"/>
                    <w:spacing w:line="320" w:lineRule="exact"/>
                    <w:jc w:val="center"/>
                    <w:rPr>
                      <w:szCs w:val="21"/>
                    </w:rPr>
                  </w:pPr>
                  <w:r>
                    <w:rPr>
                      <w:szCs w:val="21"/>
                    </w:rPr>
                    <w:t>三合村</w:t>
                  </w:r>
                </w:p>
              </w:tc>
              <w:tc>
                <w:tcPr>
                  <w:tcW w:w="1487" w:type="dxa"/>
                  <w:tcBorders>
                    <w:tl2br w:val="nil"/>
                    <w:tr2bl w:val="nil"/>
                  </w:tcBorders>
                  <w:vAlign w:val="center"/>
                </w:tcPr>
                <w:p w14:paraId="60BD82A8">
                  <w:pPr>
                    <w:widowControl/>
                    <w:adjustRightInd w:val="0"/>
                    <w:snapToGrid w:val="0"/>
                    <w:spacing w:line="320" w:lineRule="exact"/>
                    <w:jc w:val="center"/>
                    <w:rPr>
                      <w:szCs w:val="21"/>
                    </w:rPr>
                  </w:pPr>
                  <w:r>
                    <w:rPr>
                      <w:szCs w:val="21"/>
                    </w:rPr>
                    <w:t>118.330719°</w:t>
                  </w:r>
                </w:p>
              </w:tc>
              <w:tc>
                <w:tcPr>
                  <w:tcW w:w="1450" w:type="dxa"/>
                  <w:tcBorders>
                    <w:tl2br w:val="nil"/>
                    <w:tr2bl w:val="nil"/>
                  </w:tcBorders>
                  <w:vAlign w:val="center"/>
                </w:tcPr>
                <w:p w14:paraId="7350AD9C">
                  <w:pPr>
                    <w:widowControl/>
                    <w:adjustRightInd w:val="0"/>
                    <w:snapToGrid w:val="0"/>
                    <w:spacing w:line="320" w:lineRule="exact"/>
                    <w:jc w:val="center"/>
                    <w:rPr>
                      <w:szCs w:val="21"/>
                    </w:rPr>
                  </w:pPr>
                  <w:r>
                    <w:rPr>
                      <w:szCs w:val="21"/>
                    </w:rPr>
                    <w:t>39.291293°</w:t>
                  </w:r>
                </w:p>
              </w:tc>
              <w:tc>
                <w:tcPr>
                  <w:tcW w:w="688" w:type="dxa"/>
                  <w:vMerge w:val="continue"/>
                  <w:tcBorders>
                    <w:tl2br w:val="nil"/>
                    <w:tr2bl w:val="nil"/>
                  </w:tcBorders>
                  <w:vAlign w:val="center"/>
                </w:tcPr>
                <w:p w14:paraId="1044010B">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7AF08CD3">
                  <w:pPr>
                    <w:widowControl/>
                    <w:adjustRightInd w:val="0"/>
                    <w:snapToGrid w:val="0"/>
                    <w:spacing w:line="320" w:lineRule="exact"/>
                    <w:jc w:val="center"/>
                    <w:rPr>
                      <w:szCs w:val="21"/>
                    </w:rPr>
                  </w:pPr>
                </w:p>
              </w:tc>
              <w:tc>
                <w:tcPr>
                  <w:tcW w:w="796" w:type="dxa"/>
                  <w:tcBorders>
                    <w:tl2br w:val="nil"/>
                    <w:tr2bl w:val="nil"/>
                  </w:tcBorders>
                  <w:vAlign w:val="center"/>
                </w:tcPr>
                <w:p w14:paraId="31E3FE57">
                  <w:pPr>
                    <w:widowControl/>
                    <w:adjustRightInd w:val="0"/>
                    <w:snapToGrid w:val="0"/>
                    <w:spacing w:line="320" w:lineRule="exact"/>
                    <w:jc w:val="center"/>
                    <w:rPr>
                      <w:szCs w:val="21"/>
                    </w:rPr>
                  </w:pPr>
                  <w:r>
                    <w:rPr>
                      <w:szCs w:val="21"/>
                    </w:rPr>
                    <w:t>SW</w:t>
                  </w:r>
                </w:p>
              </w:tc>
              <w:tc>
                <w:tcPr>
                  <w:tcW w:w="671" w:type="dxa"/>
                  <w:tcBorders>
                    <w:tl2br w:val="nil"/>
                    <w:tr2bl w:val="nil"/>
                  </w:tcBorders>
                  <w:vAlign w:val="center"/>
                </w:tcPr>
                <w:p w14:paraId="77B793F5">
                  <w:pPr>
                    <w:widowControl/>
                    <w:adjustRightInd w:val="0"/>
                    <w:snapToGrid w:val="0"/>
                    <w:spacing w:line="320" w:lineRule="exact"/>
                    <w:jc w:val="center"/>
                    <w:rPr>
                      <w:szCs w:val="21"/>
                    </w:rPr>
                  </w:pPr>
                  <w:r>
                    <w:rPr>
                      <w:szCs w:val="21"/>
                    </w:rPr>
                    <w:t>440</w:t>
                  </w:r>
                </w:p>
              </w:tc>
            </w:tr>
            <w:tr w14:paraId="7DD85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7CD3A54A">
                  <w:pPr>
                    <w:widowControl/>
                    <w:adjustRightInd w:val="0"/>
                    <w:snapToGrid w:val="0"/>
                    <w:spacing w:line="320" w:lineRule="exact"/>
                    <w:jc w:val="center"/>
                    <w:rPr>
                      <w:szCs w:val="21"/>
                    </w:rPr>
                  </w:pPr>
                  <w:r>
                    <w:rPr>
                      <w:rFonts w:hint="eastAsia"/>
                      <w:szCs w:val="21"/>
                    </w:rPr>
                    <w:t>5</w:t>
                  </w:r>
                </w:p>
              </w:tc>
              <w:tc>
                <w:tcPr>
                  <w:tcW w:w="1263" w:type="dxa"/>
                  <w:tcBorders>
                    <w:tl2br w:val="nil"/>
                    <w:tr2bl w:val="nil"/>
                  </w:tcBorders>
                  <w:vAlign w:val="center"/>
                </w:tcPr>
                <w:p w14:paraId="77697BFF">
                  <w:pPr>
                    <w:widowControl/>
                    <w:adjustRightInd w:val="0"/>
                    <w:snapToGrid w:val="0"/>
                    <w:spacing w:line="320" w:lineRule="exact"/>
                    <w:jc w:val="center"/>
                    <w:rPr>
                      <w:szCs w:val="21"/>
                    </w:rPr>
                  </w:pPr>
                  <w:r>
                    <w:rPr>
                      <w:szCs w:val="21"/>
                    </w:rPr>
                    <w:t>四场一队</w:t>
                  </w:r>
                </w:p>
              </w:tc>
              <w:tc>
                <w:tcPr>
                  <w:tcW w:w="1487" w:type="dxa"/>
                  <w:tcBorders>
                    <w:tl2br w:val="nil"/>
                    <w:tr2bl w:val="nil"/>
                  </w:tcBorders>
                  <w:vAlign w:val="center"/>
                </w:tcPr>
                <w:p w14:paraId="22A3FEC6">
                  <w:pPr>
                    <w:widowControl/>
                    <w:adjustRightInd w:val="0"/>
                    <w:snapToGrid w:val="0"/>
                    <w:spacing w:line="320" w:lineRule="exact"/>
                    <w:jc w:val="center"/>
                    <w:rPr>
                      <w:szCs w:val="21"/>
                    </w:rPr>
                  </w:pPr>
                  <w:r>
                    <w:rPr>
                      <w:szCs w:val="21"/>
                    </w:rPr>
                    <w:t>118.387385°</w:t>
                  </w:r>
                </w:p>
              </w:tc>
              <w:tc>
                <w:tcPr>
                  <w:tcW w:w="1450" w:type="dxa"/>
                  <w:tcBorders>
                    <w:tl2br w:val="nil"/>
                    <w:tr2bl w:val="nil"/>
                  </w:tcBorders>
                  <w:vAlign w:val="center"/>
                </w:tcPr>
                <w:p w14:paraId="53E78BF0">
                  <w:pPr>
                    <w:widowControl/>
                    <w:adjustRightInd w:val="0"/>
                    <w:snapToGrid w:val="0"/>
                    <w:spacing w:line="320" w:lineRule="exact"/>
                    <w:jc w:val="center"/>
                    <w:rPr>
                      <w:szCs w:val="21"/>
                    </w:rPr>
                  </w:pPr>
                  <w:r>
                    <w:rPr>
                      <w:szCs w:val="21"/>
                    </w:rPr>
                    <w:t>39.253007°</w:t>
                  </w:r>
                </w:p>
              </w:tc>
              <w:tc>
                <w:tcPr>
                  <w:tcW w:w="688" w:type="dxa"/>
                  <w:vMerge w:val="continue"/>
                  <w:tcBorders>
                    <w:tl2br w:val="nil"/>
                    <w:tr2bl w:val="nil"/>
                  </w:tcBorders>
                  <w:vAlign w:val="center"/>
                </w:tcPr>
                <w:p w14:paraId="2199876E">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40C0FBC6">
                  <w:pPr>
                    <w:widowControl/>
                    <w:adjustRightInd w:val="0"/>
                    <w:snapToGrid w:val="0"/>
                    <w:spacing w:line="320" w:lineRule="exact"/>
                    <w:jc w:val="center"/>
                    <w:rPr>
                      <w:szCs w:val="21"/>
                    </w:rPr>
                  </w:pPr>
                </w:p>
              </w:tc>
              <w:tc>
                <w:tcPr>
                  <w:tcW w:w="796" w:type="dxa"/>
                  <w:tcBorders>
                    <w:tl2br w:val="nil"/>
                    <w:tr2bl w:val="nil"/>
                  </w:tcBorders>
                  <w:vAlign w:val="center"/>
                </w:tcPr>
                <w:p w14:paraId="4887A91E">
                  <w:pPr>
                    <w:widowControl/>
                    <w:adjustRightInd w:val="0"/>
                    <w:snapToGrid w:val="0"/>
                    <w:spacing w:line="320" w:lineRule="exact"/>
                    <w:jc w:val="center"/>
                    <w:rPr>
                      <w:szCs w:val="21"/>
                    </w:rPr>
                  </w:pPr>
                  <w:r>
                    <w:rPr>
                      <w:szCs w:val="21"/>
                    </w:rPr>
                    <w:t>E</w:t>
                  </w:r>
                </w:p>
              </w:tc>
              <w:tc>
                <w:tcPr>
                  <w:tcW w:w="671" w:type="dxa"/>
                  <w:tcBorders>
                    <w:tl2br w:val="nil"/>
                    <w:tr2bl w:val="nil"/>
                  </w:tcBorders>
                  <w:vAlign w:val="center"/>
                </w:tcPr>
                <w:p w14:paraId="2DA2F50C">
                  <w:pPr>
                    <w:widowControl/>
                    <w:adjustRightInd w:val="0"/>
                    <w:snapToGrid w:val="0"/>
                    <w:spacing w:line="320" w:lineRule="exact"/>
                    <w:jc w:val="center"/>
                    <w:rPr>
                      <w:szCs w:val="21"/>
                    </w:rPr>
                  </w:pPr>
                  <w:r>
                    <w:rPr>
                      <w:szCs w:val="21"/>
                    </w:rPr>
                    <w:t>150</w:t>
                  </w:r>
                </w:p>
              </w:tc>
            </w:tr>
            <w:tr w14:paraId="72711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56DD098F">
                  <w:pPr>
                    <w:widowControl/>
                    <w:adjustRightInd w:val="0"/>
                    <w:snapToGrid w:val="0"/>
                    <w:spacing w:line="320" w:lineRule="exact"/>
                    <w:jc w:val="center"/>
                    <w:rPr>
                      <w:szCs w:val="21"/>
                    </w:rPr>
                  </w:pPr>
                  <w:r>
                    <w:rPr>
                      <w:rFonts w:hint="eastAsia"/>
                      <w:szCs w:val="21"/>
                    </w:rPr>
                    <w:t>6</w:t>
                  </w:r>
                </w:p>
              </w:tc>
              <w:tc>
                <w:tcPr>
                  <w:tcW w:w="1263" w:type="dxa"/>
                  <w:tcBorders>
                    <w:tl2br w:val="nil"/>
                    <w:tr2bl w:val="nil"/>
                  </w:tcBorders>
                  <w:vAlign w:val="center"/>
                </w:tcPr>
                <w:p w14:paraId="037F09C7">
                  <w:pPr>
                    <w:widowControl/>
                    <w:adjustRightInd w:val="0"/>
                    <w:snapToGrid w:val="0"/>
                    <w:spacing w:line="320" w:lineRule="exact"/>
                    <w:jc w:val="center"/>
                    <w:rPr>
                      <w:szCs w:val="21"/>
                    </w:rPr>
                  </w:pPr>
                  <w:r>
                    <w:rPr>
                      <w:szCs w:val="21"/>
                    </w:rPr>
                    <w:t>四场种子队</w:t>
                  </w:r>
                </w:p>
              </w:tc>
              <w:tc>
                <w:tcPr>
                  <w:tcW w:w="1487" w:type="dxa"/>
                  <w:tcBorders>
                    <w:tl2br w:val="nil"/>
                    <w:tr2bl w:val="nil"/>
                  </w:tcBorders>
                  <w:vAlign w:val="center"/>
                </w:tcPr>
                <w:p w14:paraId="5F9824C9">
                  <w:pPr>
                    <w:widowControl/>
                    <w:adjustRightInd w:val="0"/>
                    <w:snapToGrid w:val="0"/>
                    <w:spacing w:line="320" w:lineRule="exact"/>
                    <w:jc w:val="center"/>
                    <w:rPr>
                      <w:szCs w:val="21"/>
                    </w:rPr>
                  </w:pPr>
                  <w:r>
                    <w:rPr>
                      <w:szCs w:val="21"/>
                    </w:rPr>
                    <w:t>118.404240°</w:t>
                  </w:r>
                </w:p>
              </w:tc>
              <w:tc>
                <w:tcPr>
                  <w:tcW w:w="1450" w:type="dxa"/>
                  <w:tcBorders>
                    <w:tl2br w:val="nil"/>
                    <w:tr2bl w:val="nil"/>
                  </w:tcBorders>
                  <w:vAlign w:val="center"/>
                </w:tcPr>
                <w:p w14:paraId="28CAB1EB">
                  <w:pPr>
                    <w:widowControl/>
                    <w:adjustRightInd w:val="0"/>
                    <w:snapToGrid w:val="0"/>
                    <w:spacing w:line="320" w:lineRule="exact"/>
                    <w:jc w:val="center"/>
                    <w:rPr>
                      <w:szCs w:val="21"/>
                    </w:rPr>
                  </w:pPr>
                  <w:r>
                    <w:rPr>
                      <w:szCs w:val="21"/>
                    </w:rPr>
                    <w:t>39.253468°</w:t>
                  </w:r>
                </w:p>
              </w:tc>
              <w:tc>
                <w:tcPr>
                  <w:tcW w:w="688" w:type="dxa"/>
                  <w:vMerge w:val="continue"/>
                  <w:tcBorders>
                    <w:tl2br w:val="nil"/>
                    <w:tr2bl w:val="nil"/>
                  </w:tcBorders>
                  <w:vAlign w:val="center"/>
                </w:tcPr>
                <w:p w14:paraId="337A9C56">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75B8D9AC">
                  <w:pPr>
                    <w:widowControl/>
                    <w:adjustRightInd w:val="0"/>
                    <w:snapToGrid w:val="0"/>
                    <w:spacing w:line="320" w:lineRule="exact"/>
                    <w:jc w:val="center"/>
                    <w:rPr>
                      <w:szCs w:val="21"/>
                    </w:rPr>
                  </w:pPr>
                </w:p>
              </w:tc>
              <w:tc>
                <w:tcPr>
                  <w:tcW w:w="796" w:type="dxa"/>
                  <w:tcBorders>
                    <w:tl2br w:val="nil"/>
                    <w:tr2bl w:val="nil"/>
                  </w:tcBorders>
                  <w:vAlign w:val="center"/>
                </w:tcPr>
                <w:p w14:paraId="7D4534ED">
                  <w:pPr>
                    <w:widowControl/>
                    <w:adjustRightInd w:val="0"/>
                    <w:snapToGrid w:val="0"/>
                    <w:spacing w:line="320" w:lineRule="exact"/>
                    <w:jc w:val="center"/>
                    <w:rPr>
                      <w:szCs w:val="21"/>
                    </w:rPr>
                  </w:pPr>
                  <w:r>
                    <w:rPr>
                      <w:szCs w:val="21"/>
                    </w:rPr>
                    <w:t>N</w:t>
                  </w:r>
                </w:p>
              </w:tc>
              <w:tc>
                <w:tcPr>
                  <w:tcW w:w="671" w:type="dxa"/>
                  <w:tcBorders>
                    <w:tl2br w:val="nil"/>
                    <w:tr2bl w:val="nil"/>
                  </w:tcBorders>
                  <w:vAlign w:val="center"/>
                </w:tcPr>
                <w:p w14:paraId="2FD60801">
                  <w:pPr>
                    <w:widowControl/>
                    <w:adjustRightInd w:val="0"/>
                    <w:snapToGrid w:val="0"/>
                    <w:spacing w:line="320" w:lineRule="exact"/>
                    <w:jc w:val="center"/>
                    <w:rPr>
                      <w:szCs w:val="21"/>
                    </w:rPr>
                  </w:pPr>
                  <w:r>
                    <w:rPr>
                      <w:szCs w:val="21"/>
                    </w:rPr>
                    <w:t>400</w:t>
                  </w:r>
                </w:p>
              </w:tc>
            </w:tr>
            <w:tr w14:paraId="7BEE9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2A69FFF7">
                  <w:pPr>
                    <w:widowControl/>
                    <w:adjustRightInd w:val="0"/>
                    <w:snapToGrid w:val="0"/>
                    <w:spacing w:line="320" w:lineRule="exact"/>
                    <w:jc w:val="center"/>
                    <w:rPr>
                      <w:szCs w:val="21"/>
                    </w:rPr>
                  </w:pPr>
                  <w:r>
                    <w:rPr>
                      <w:rFonts w:hint="eastAsia"/>
                      <w:szCs w:val="21"/>
                    </w:rPr>
                    <w:t>7</w:t>
                  </w:r>
                </w:p>
              </w:tc>
              <w:tc>
                <w:tcPr>
                  <w:tcW w:w="1263" w:type="dxa"/>
                  <w:tcBorders>
                    <w:tl2br w:val="nil"/>
                    <w:tr2bl w:val="nil"/>
                  </w:tcBorders>
                  <w:vAlign w:val="center"/>
                </w:tcPr>
                <w:p w14:paraId="32482FBB">
                  <w:pPr>
                    <w:widowControl/>
                    <w:adjustRightInd w:val="0"/>
                    <w:snapToGrid w:val="0"/>
                    <w:spacing w:line="320" w:lineRule="exact"/>
                    <w:jc w:val="center"/>
                    <w:rPr>
                      <w:szCs w:val="21"/>
                    </w:rPr>
                  </w:pPr>
                  <w:r>
                    <w:rPr>
                      <w:szCs w:val="21"/>
                    </w:rPr>
                    <w:t>四农场</w:t>
                  </w:r>
                </w:p>
              </w:tc>
              <w:tc>
                <w:tcPr>
                  <w:tcW w:w="1487" w:type="dxa"/>
                  <w:tcBorders>
                    <w:tl2br w:val="nil"/>
                    <w:tr2bl w:val="nil"/>
                  </w:tcBorders>
                  <w:vAlign w:val="center"/>
                </w:tcPr>
                <w:p w14:paraId="01F9794B">
                  <w:pPr>
                    <w:widowControl/>
                    <w:adjustRightInd w:val="0"/>
                    <w:snapToGrid w:val="0"/>
                    <w:spacing w:line="320" w:lineRule="exact"/>
                    <w:jc w:val="center"/>
                    <w:rPr>
                      <w:szCs w:val="21"/>
                    </w:rPr>
                  </w:pPr>
                  <w:r>
                    <w:rPr>
                      <w:szCs w:val="21"/>
                    </w:rPr>
                    <w:t>118.403510°</w:t>
                  </w:r>
                </w:p>
              </w:tc>
              <w:tc>
                <w:tcPr>
                  <w:tcW w:w="1450" w:type="dxa"/>
                  <w:tcBorders>
                    <w:tl2br w:val="nil"/>
                    <w:tr2bl w:val="nil"/>
                  </w:tcBorders>
                  <w:vAlign w:val="center"/>
                </w:tcPr>
                <w:p w14:paraId="0AB772F3">
                  <w:pPr>
                    <w:widowControl/>
                    <w:adjustRightInd w:val="0"/>
                    <w:snapToGrid w:val="0"/>
                    <w:spacing w:line="320" w:lineRule="exact"/>
                    <w:jc w:val="center"/>
                    <w:rPr>
                      <w:szCs w:val="21"/>
                    </w:rPr>
                  </w:pPr>
                  <w:r>
                    <w:rPr>
                      <w:szCs w:val="21"/>
                    </w:rPr>
                    <w:t>39.246057°</w:t>
                  </w:r>
                </w:p>
              </w:tc>
              <w:tc>
                <w:tcPr>
                  <w:tcW w:w="688" w:type="dxa"/>
                  <w:vMerge w:val="continue"/>
                  <w:tcBorders>
                    <w:tl2br w:val="nil"/>
                    <w:tr2bl w:val="nil"/>
                  </w:tcBorders>
                  <w:vAlign w:val="center"/>
                </w:tcPr>
                <w:p w14:paraId="04701F12">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006F3CD3">
                  <w:pPr>
                    <w:widowControl/>
                    <w:adjustRightInd w:val="0"/>
                    <w:snapToGrid w:val="0"/>
                    <w:spacing w:line="320" w:lineRule="exact"/>
                    <w:jc w:val="center"/>
                    <w:rPr>
                      <w:szCs w:val="21"/>
                    </w:rPr>
                  </w:pPr>
                </w:p>
              </w:tc>
              <w:tc>
                <w:tcPr>
                  <w:tcW w:w="796" w:type="dxa"/>
                  <w:tcBorders>
                    <w:tl2br w:val="nil"/>
                    <w:tr2bl w:val="nil"/>
                  </w:tcBorders>
                  <w:vAlign w:val="center"/>
                </w:tcPr>
                <w:p w14:paraId="1ECCBDE3">
                  <w:pPr>
                    <w:widowControl/>
                    <w:adjustRightInd w:val="0"/>
                    <w:snapToGrid w:val="0"/>
                    <w:spacing w:line="320" w:lineRule="exact"/>
                    <w:jc w:val="center"/>
                    <w:rPr>
                      <w:szCs w:val="21"/>
                    </w:rPr>
                  </w:pPr>
                  <w:r>
                    <w:rPr>
                      <w:szCs w:val="21"/>
                    </w:rPr>
                    <w:t>S</w:t>
                  </w:r>
                </w:p>
              </w:tc>
              <w:tc>
                <w:tcPr>
                  <w:tcW w:w="671" w:type="dxa"/>
                  <w:tcBorders>
                    <w:tl2br w:val="nil"/>
                    <w:tr2bl w:val="nil"/>
                  </w:tcBorders>
                  <w:vAlign w:val="center"/>
                </w:tcPr>
                <w:p w14:paraId="432EBC0F">
                  <w:pPr>
                    <w:widowControl/>
                    <w:adjustRightInd w:val="0"/>
                    <w:snapToGrid w:val="0"/>
                    <w:spacing w:line="320" w:lineRule="exact"/>
                    <w:jc w:val="center"/>
                    <w:rPr>
                      <w:szCs w:val="21"/>
                    </w:rPr>
                  </w:pPr>
                  <w:r>
                    <w:rPr>
                      <w:szCs w:val="21"/>
                    </w:rPr>
                    <w:t>5</w:t>
                  </w:r>
                </w:p>
              </w:tc>
            </w:tr>
            <w:tr w14:paraId="240E9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29D2F12F">
                  <w:pPr>
                    <w:widowControl/>
                    <w:adjustRightInd w:val="0"/>
                    <w:snapToGrid w:val="0"/>
                    <w:spacing w:line="320" w:lineRule="exact"/>
                    <w:jc w:val="center"/>
                    <w:rPr>
                      <w:szCs w:val="21"/>
                    </w:rPr>
                  </w:pPr>
                  <w:r>
                    <w:rPr>
                      <w:rFonts w:hint="eastAsia"/>
                      <w:szCs w:val="21"/>
                    </w:rPr>
                    <w:t>8</w:t>
                  </w:r>
                </w:p>
              </w:tc>
              <w:tc>
                <w:tcPr>
                  <w:tcW w:w="1263" w:type="dxa"/>
                  <w:tcBorders>
                    <w:tl2br w:val="nil"/>
                    <w:tr2bl w:val="nil"/>
                  </w:tcBorders>
                  <w:vAlign w:val="center"/>
                </w:tcPr>
                <w:p w14:paraId="18565D41">
                  <w:pPr>
                    <w:widowControl/>
                    <w:adjustRightInd w:val="0"/>
                    <w:snapToGrid w:val="0"/>
                    <w:spacing w:line="320" w:lineRule="exact"/>
                    <w:jc w:val="center"/>
                    <w:rPr>
                      <w:szCs w:val="21"/>
                    </w:rPr>
                  </w:pPr>
                  <w:r>
                    <w:rPr>
                      <w:szCs w:val="21"/>
                    </w:rPr>
                    <w:t>城南庄</w:t>
                  </w:r>
                </w:p>
              </w:tc>
              <w:tc>
                <w:tcPr>
                  <w:tcW w:w="1487" w:type="dxa"/>
                  <w:tcBorders>
                    <w:tl2br w:val="nil"/>
                    <w:tr2bl w:val="nil"/>
                  </w:tcBorders>
                  <w:vAlign w:val="center"/>
                </w:tcPr>
                <w:p w14:paraId="0B88EA0C">
                  <w:pPr>
                    <w:widowControl/>
                    <w:adjustRightInd w:val="0"/>
                    <w:snapToGrid w:val="0"/>
                    <w:spacing w:line="320" w:lineRule="exact"/>
                    <w:jc w:val="center"/>
                    <w:rPr>
                      <w:szCs w:val="21"/>
                    </w:rPr>
                  </w:pPr>
                  <w:r>
                    <w:rPr>
                      <w:szCs w:val="21"/>
                    </w:rPr>
                    <w:t>118.426867°</w:t>
                  </w:r>
                </w:p>
              </w:tc>
              <w:tc>
                <w:tcPr>
                  <w:tcW w:w="1450" w:type="dxa"/>
                  <w:tcBorders>
                    <w:tl2br w:val="nil"/>
                    <w:tr2bl w:val="nil"/>
                  </w:tcBorders>
                  <w:vAlign w:val="center"/>
                </w:tcPr>
                <w:p w14:paraId="4FE7E70B">
                  <w:pPr>
                    <w:widowControl/>
                    <w:adjustRightInd w:val="0"/>
                    <w:snapToGrid w:val="0"/>
                    <w:spacing w:line="320" w:lineRule="exact"/>
                    <w:jc w:val="center"/>
                    <w:rPr>
                      <w:szCs w:val="21"/>
                    </w:rPr>
                  </w:pPr>
                  <w:r>
                    <w:rPr>
                      <w:szCs w:val="21"/>
                    </w:rPr>
                    <w:t>39.252849°</w:t>
                  </w:r>
                </w:p>
              </w:tc>
              <w:tc>
                <w:tcPr>
                  <w:tcW w:w="688" w:type="dxa"/>
                  <w:vMerge w:val="continue"/>
                  <w:tcBorders>
                    <w:tl2br w:val="nil"/>
                    <w:tr2bl w:val="nil"/>
                  </w:tcBorders>
                  <w:vAlign w:val="center"/>
                </w:tcPr>
                <w:p w14:paraId="47C487C2">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4B5BADEA">
                  <w:pPr>
                    <w:widowControl/>
                    <w:adjustRightInd w:val="0"/>
                    <w:snapToGrid w:val="0"/>
                    <w:spacing w:line="320" w:lineRule="exact"/>
                    <w:jc w:val="center"/>
                    <w:rPr>
                      <w:szCs w:val="21"/>
                    </w:rPr>
                  </w:pPr>
                </w:p>
              </w:tc>
              <w:tc>
                <w:tcPr>
                  <w:tcW w:w="796" w:type="dxa"/>
                  <w:tcBorders>
                    <w:tl2br w:val="nil"/>
                    <w:tr2bl w:val="nil"/>
                  </w:tcBorders>
                  <w:vAlign w:val="center"/>
                </w:tcPr>
                <w:p w14:paraId="1133F194">
                  <w:pPr>
                    <w:widowControl/>
                    <w:adjustRightInd w:val="0"/>
                    <w:snapToGrid w:val="0"/>
                    <w:spacing w:line="320" w:lineRule="exact"/>
                    <w:jc w:val="center"/>
                    <w:rPr>
                      <w:szCs w:val="21"/>
                    </w:rPr>
                  </w:pPr>
                  <w:r>
                    <w:rPr>
                      <w:szCs w:val="21"/>
                    </w:rPr>
                    <w:t>N</w:t>
                  </w:r>
                </w:p>
              </w:tc>
              <w:tc>
                <w:tcPr>
                  <w:tcW w:w="671" w:type="dxa"/>
                  <w:tcBorders>
                    <w:tl2br w:val="nil"/>
                    <w:tr2bl w:val="nil"/>
                  </w:tcBorders>
                  <w:vAlign w:val="center"/>
                </w:tcPr>
                <w:p w14:paraId="260F9B1D">
                  <w:pPr>
                    <w:widowControl/>
                    <w:adjustRightInd w:val="0"/>
                    <w:snapToGrid w:val="0"/>
                    <w:spacing w:line="320" w:lineRule="exact"/>
                    <w:jc w:val="center"/>
                    <w:rPr>
                      <w:szCs w:val="21"/>
                    </w:rPr>
                  </w:pPr>
                  <w:r>
                    <w:rPr>
                      <w:szCs w:val="21"/>
                    </w:rPr>
                    <w:t>240</w:t>
                  </w:r>
                </w:p>
              </w:tc>
            </w:tr>
            <w:tr w14:paraId="262CC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44270E3E">
                  <w:pPr>
                    <w:widowControl/>
                    <w:adjustRightInd w:val="0"/>
                    <w:snapToGrid w:val="0"/>
                    <w:spacing w:line="320" w:lineRule="exact"/>
                    <w:jc w:val="center"/>
                    <w:rPr>
                      <w:szCs w:val="21"/>
                    </w:rPr>
                  </w:pPr>
                  <w:r>
                    <w:rPr>
                      <w:rFonts w:hint="eastAsia"/>
                      <w:szCs w:val="21"/>
                    </w:rPr>
                    <w:t>9</w:t>
                  </w:r>
                </w:p>
              </w:tc>
              <w:tc>
                <w:tcPr>
                  <w:tcW w:w="1263" w:type="dxa"/>
                  <w:tcBorders>
                    <w:tl2br w:val="nil"/>
                    <w:tr2bl w:val="nil"/>
                  </w:tcBorders>
                  <w:vAlign w:val="center"/>
                </w:tcPr>
                <w:p w14:paraId="24C621E8">
                  <w:pPr>
                    <w:widowControl/>
                    <w:adjustRightInd w:val="0"/>
                    <w:snapToGrid w:val="0"/>
                    <w:spacing w:line="320" w:lineRule="exact"/>
                    <w:jc w:val="center"/>
                    <w:rPr>
                      <w:szCs w:val="21"/>
                    </w:rPr>
                  </w:pPr>
                  <w:r>
                    <w:rPr>
                      <w:szCs w:val="21"/>
                    </w:rPr>
                    <w:t>三农场十队</w:t>
                  </w:r>
                </w:p>
              </w:tc>
              <w:tc>
                <w:tcPr>
                  <w:tcW w:w="1487" w:type="dxa"/>
                  <w:tcBorders>
                    <w:tl2br w:val="nil"/>
                    <w:tr2bl w:val="nil"/>
                  </w:tcBorders>
                  <w:vAlign w:val="center"/>
                </w:tcPr>
                <w:p w14:paraId="1FC440A6">
                  <w:pPr>
                    <w:widowControl/>
                    <w:adjustRightInd w:val="0"/>
                    <w:snapToGrid w:val="0"/>
                    <w:spacing w:line="320" w:lineRule="exact"/>
                    <w:jc w:val="center"/>
                    <w:rPr>
                      <w:szCs w:val="21"/>
                    </w:rPr>
                  </w:pPr>
                  <w:r>
                    <w:rPr>
                      <w:szCs w:val="21"/>
                    </w:rPr>
                    <w:t>118.506056°</w:t>
                  </w:r>
                </w:p>
              </w:tc>
              <w:tc>
                <w:tcPr>
                  <w:tcW w:w="1450" w:type="dxa"/>
                  <w:tcBorders>
                    <w:tl2br w:val="nil"/>
                    <w:tr2bl w:val="nil"/>
                  </w:tcBorders>
                  <w:vAlign w:val="center"/>
                </w:tcPr>
                <w:p w14:paraId="12A13CB1">
                  <w:pPr>
                    <w:widowControl/>
                    <w:adjustRightInd w:val="0"/>
                    <w:snapToGrid w:val="0"/>
                    <w:spacing w:line="320" w:lineRule="exact"/>
                    <w:jc w:val="center"/>
                    <w:rPr>
                      <w:szCs w:val="21"/>
                    </w:rPr>
                  </w:pPr>
                  <w:r>
                    <w:rPr>
                      <w:szCs w:val="21"/>
                    </w:rPr>
                    <w:t>39.240087°</w:t>
                  </w:r>
                </w:p>
              </w:tc>
              <w:tc>
                <w:tcPr>
                  <w:tcW w:w="688" w:type="dxa"/>
                  <w:vMerge w:val="continue"/>
                  <w:tcBorders>
                    <w:tl2br w:val="nil"/>
                    <w:tr2bl w:val="nil"/>
                  </w:tcBorders>
                  <w:vAlign w:val="center"/>
                </w:tcPr>
                <w:p w14:paraId="63F303A5">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7CDF5DA6">
                  <w:pPr>
                    <w:widowControl/>
                    <w:adjustRightInd w:val="0"/>
                    <w:snapToGrid w:val="0"/>
                    <w:spacing w:line="320" w:lineRule="exact"/>
                    <w:jc w:val="center"/>
                    <w:rPr>
                      <w:szCs w:val="21"/>
                    </w:rPr>
                  </w:pPr>
                </w:p>
              </w:tc>
              <w:tc>
                <w:tcPr>
                  <w:tcW w:w="796" w:type="dxa"/>
                  <w:tcBorders>
                    <w:tl2br w:val="nil"/>
                    <w:tr2bl w:val="nil"/>
                  </w:tcBorders>
                  <w:vAlign w:val="center"/>
                </w:tcPr>
                <w:p w14:paraId="0C018DCD">
                  <w:pPr>
                    <w:widowControl/>
                    <w:adjustRightInd w:val="0"/>
                    <w:snapToGrid w:val="0"/>
                    <w:spacing w:line="320" w:lineRule="exact"/>
                    <w:jc w:val="center"/>
                    <w:rPr>
                      <w:szCs w:val="21"/>
                    </w:rPr>
                  </w:pPr>
                  <w:r>
                    <w:rPr>
                      <w:szCs w:val="21"/>
                    </w:rPr>
                    <w:t>N</w:t>
                  </w:r>
                </w:p>
              </w:tc>
              <w:tc>
                <w:tcPr>
                  <w:tcW w:w="671" w:type="dxa"/>
                  <w:tcBorders>
                    <w:tl2br w:val="nil"/>
                    <w:tr2bl w:val="nil"/>
                  </w:tcBorders>
                  <w:vAlign w:val="center"/>
                </w:tcPr>
                <w:p w14:paraId="06D87474">
                  <w:pPr>
                    <w:widowControl/>
                    <w:adjustRightInd w:val="0"/>
                    <w:snapToGrid w:val="0"/>
                    <w:spacing w:line="320" w:lineRule="exact"/>
                    <w:jc w:val="center"/>
                    <w:rPr>
                      <w:szCs w:val="21"/>
                    </w:rPr>
                  </w:pPr>
                  <w:r>
                    <w:rPr>
                      <w:szCs w:val="21"/>
                    </w:rPr>
                    <w:t>58</w:t>
                  </w:r>
                </w:p>
              </w:tc>
            </w:tr>
            <w:tr w14:paraId="79433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265E9729">
                  <w:pPr>
                    <w:widowControl/>
                    <w:adjustRightInd w:val="0"/>
                    <w:snapToGrid w:val="0"/>
                    <w:spacing w:line="320" w:lineRule="exact"/>
                    <w:jc w:val="center"/>
                    <w:rPr>
                      <w:szCs w:val="21"/>
                    </w:rPr>
                  </w:pPr>
                  <w:r>
                    <w:rPr>
                      <w:rFonts w:hint="eastAsia"/>
                      <w:szCs w:val="21"/>
                    </w:rPr>
                    <w:t>10</w:t>
                  </w:r>
                </w:p>
              </w:tc>
              <w:tc>
                <w:tcPr>
                  <w:tcW w:w="1263" w:type="dxa"/>
                  <w:tcBorders>
                    <w:tl2br w:val="nil"/>
                    <w:tr2bl w:val="nil"/>
                  </w:tcBorders>
                  <w:vAlign w:val="center"/>
                </w:tcPr>
                <w:p w14:paraId="690FCEE3">
                  <w:pPr>
                    <w:widowControl/>
                    <w:adjustRightInd w:val="0"/>
                    <w:snapToGrid w:val="0"/>
                    <w:spacing w:line="320" w:lineRule="exact"/>
                    <w:jc w:val="center"/>
                    <w:rPr>
                      <w:szCs w:val="21"/>
                    </w:rPr>
                  </w:pPr>
                  <w:r>
                    <w:rPr>
                      <w:szCs w:val="21"/>
                    </w:rPr>
                    <w:t>一农场园艺队</w:t>
                  </w:r>
                </w:p>
              </w:tc>
              <w:tc>
                <w:tcPr>
                  <w:tcW w:w="1487" w:type="dxa"/>
                  <w:tcBorders>
                    <w:tl2br w:val="nil"/>
                    <w:tr2bl w:val="nil"/>
                  </w:tcBorders>
                  <w:vAlign w:val="center"/>
                </w:tcPr>
                <w:p w14:paraId="3209F8B4">
                  <w:pPr>
                    <w:widowControl/>
                    <w:adjustRightInd w:val="0"/>
                    <w:snapToGrid w:val="0"/>
                    <w:spacing w:line="320" w:lineRule="exact"/>
                    <w:jc w:val="center"/>
                    <w:rPr>
                      <w:szCs w:val="21"/>
                    </w:rPr>
                  </w:pPr>
                  <w:r>
                    <w:rPr>
                      <w:szCs w:val="21"/>
                    </w:rPr>
                    <w:t>118.551906°</w:t>
                  </w:r>
                </w:p>
              </w:tc>
              <w:tc>
                <w:tcPr>
                  <w:tcW w:w="1450" w:type="dxa"/>
                  <w:tcBorders>
                    <w:tl2br w:val="nil"/>
                    <w:tr2bl w:val="nil"/>
                  </w:tcBorders>
                  <w:vAlign w:val="center"/>
                </w:tcPr>
                <w:p w14:paraId="66FEDF24">
                  <w:pPr>
                    <w:widowControl/>
                    <w:adjustRightInd w:val="0"/>
                    <w:snapToGrid w:val="0"/>
                    <w:spacing w:line="320" w:lineRule="exact"/>
                    <w:jc w:val="center"/>
                    <w:rPr>
                      <w:szCs w:val="21"/>
                    </w:rPr>
                  </w:pPr>
                  <w:r>
                    <w:rPr>
                      <w:szCs w:val="21"/>
                    </w:rPr>
                    <w:t>39.235398°</w:t>
                  </w:r>
                </w:p>
              </w:tc>
              <w:tc>
                <w:tcPr>
                  <w:tcW w:w="688" w:type="dxa"/>
                  <w:vMerge w:val="continue"/>
                  <w:tcBorders>
                    <w:tl2br w:val="nil"/>
                    <w:tr2bl w:val="nil"/>
                  </w:tcBorders>
                  <w:vAlign w:val="center"/>
                </w:tcPr>
                <w:p w14:paraId="4815AD52">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75E81CEF">
                  <w:pPr>
                    <w:widowControl/>
                    <w:adjustRightInd w:val="0"/>
                    <w:snapToGrid w:val="0"/>
                    <w:spacing w:line="320" w:lineRule="exact"/>
                    <w:jc w:val="center"/>
                    <w:rPr>
                      <w:szCs w:val="21"/>
                    </w:rPr>
                  </w:pPr>
                </w:p>
              </w:tc>
              <w:tc>
                <w:tcPr>
                  <w:tcW w:w="796" w:type="dxa"/>
                  <w:tcBorders>
                    <w:tl2br w:val="nil"/>
                    <w:tr2bl w:val="nil"/>
                  </w:tcBorders>
                  <w:vAlign w:val="center"/>
                </w:tcPr>
                <w:p w14:paraId="7CC7200D">
                  <w:pPr>
                    <w:widowControl/>
                    <w:adjustRightInd w:val="0"/>
                    <w:snapToGrid w:val="0"/>
                    <w:spacing w:line="320" w:lineRule="exact"/>
                    <w:jc w:val="center"/>
                    <w:rPr>
                      <w:szCs w:val="21"/>
                    </w:rPr>
                  </w:pPr>
                  <w:r>
                    <w:rPr>
                      <w:szCs w:val="21"/>
                    </w:rPr>
                    <w:t>E</w:t>
                  </w:r>
                </w:p>
              </w:tc>
              <w:tc>
                <w:tcPr>
                  <w:tcW w:w="671" w:type="dxa"/>
                  <w:tcBorders>
                    <w:tl2br w:val="nil"/>
                    <w:tr2bl w:val="nil"/>
                  </w:tcBorders>
                  <w:vAlign w:val="center"/>
                </w:tcPr>
                <w:p w14:paraId="558596F2">
                  <w:pPr>
                    <w:widowControl/>
                    <w:adjustRightInd w:val="0"/>
                    <w:snapToGrid w:val="0"/>
                    <w:spacing w:line="320" w:lineRule="exact"/>
                    <w:jc w:val="center"/>
                    <w:rPr>
                      <w:szCs w:val="21"/>
                    </w:rPr>
                  </w:pPr>
                  <w:r>
                    <w:rPr>
                      <w:szCs w:val="21"/>
                    </w:rPr>
                    <w:t>60</w:t>
                  </w:r>
                </w:p>
              </w:tc>
            </w:tr>
            <w:tr w14:paraId="28FB7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5B23CC2E">
                  <w:pPr>
                    <w:widowControl/>
                    <w:adjustRightInd w:val="0"/>
                    <w:snapToGrid w:val="0"/>
                    <w:spacing w:line="320" w:lineRule="exact"/>
                    <w:jc w:val="center"/>
                    <w:rPr>
                      <w:szCs w:val="21"/>
                    </w:rPr>
                  </w:pPr>
                  <w:r>
                    <w:rPr>
                      <w:rFonts w:hint="eastAsia"/>
                      <w:szCs w:val="21"/>
                    </w:rPr>
                    <w:t>11</w:t>
                  </w:r>
                </w:p>
              </w:tc>
              <w:tc>
                <w:tcPr>
                  <w:tcW w:w="1263" w:type="dxa"/>
                  <w:tcBorders>
                    <w:tl2br w:val="nil"/>
                    <w:tr2bl w:val="nil"/>
                  </w:tcBorders>
                  <w:vAlign w:val="center"/>
                </w:tcPr>
                <w:p w14:paraId="13EAF056">
                  <w:pPr>
                    <w:widowControl/>
                    <w:adjustRightInd w:val="0"/>
                    <w:snapToGrid w:val="0"/>
                    <w:spacing w:line="320" w:lineRule="exact"/>
                    <w:jc w:val="center"/>
                    <w:rPr>
                      <w:szCs w:val="21"/>
                    </w:rPr>
                  </w:pPr>
                  <w:r>
                    <w:rPr>
                      <w:szCs w:val="21"/>
                    </w:rPr>
                    <w:t>祥和村</w:t>
                  </w:r>
                </w:p>
              </w:tc>
              <w:tc>
                <w:tcPr>
                  <w:tcW w:w="1487" w:type="dxa"/>
                  <w:tcBorders>
                    <w:tl2br w:val="nil"/>
                    <w:tr2bl w:val="nil"/>
                  </w:tcBorders>
                  <w:vAlign w:val="center"/>
                </w:tcPr>
                <w:p w14:paraId="13F0E932">
                  <w:pPr>
                    <w:widowControl/>
                    <w:adjustRightInd w:val="0"/>
                    <w:snapToGrid w:val="0"/>
                    <w:spacing w:line="320" w:lineRule="exact"/>
                    <w:jc w:val="center"/>
                    <w:rPr>
                      <w:szCs w:val="21"/>
                    </w:rPr>
                  </w:pPr>
                  <w:r>
                    <w:rPr>
                      <w:szCs w:val="21"/>
                    </w:rPr>
                    <w:t>118.550619°</w:t>
                  </w:r>
                </w:p>
              </w:tc>
              <w:tc>
                <w:tcPr>
                  <w:tcW w:w="1450" w:type="dxa"/>
                  <w:tcBorders>
                    <w:tl2br w:val="nil"/>
                    <w:tr2bl w:val="nil"/>
                  </w:tcBorders>
                  <w:vAlign w:val="center"/>
                </w:tcPr>
                <w:p w14:paraId="221D2C24">
                  <w:pPr>
                    <w:widowControl/>
                    <w:adjustRightInd w:val="0"/>
                    <w:snapToGrid w:val="0"/>
                    <w:spacing w:line="320" w:lineRule="exact"/>
                    <w:jc w:val="center"/>
                    <w:rPr>
                      <w:szCs w:val="21"/>
                    </w:rPr>
                  </w:pPr>
                  <w:r>
                    <w:rPr>
                      <w:szCs w:val="21"/>
                    </w:rPr>
                    <w:t>39.226187°</w:t>
                  </w:r>
                </w:p>
              </w:tc>
              <w:tc>
                <w:tcPr>
                  <w:tcW w:w="688" w:type="dxa"/>
                  <w:vMerge w:val="continue"/>
                  <w:tcBorders>
                    <w:tl2br w:val="nil"/>
                    <w:tr2bl w:val="nil"/>
                  </w:tcBorders>
                  <w:vAlign w:val="center"/>
                </w:tcPr>
                <w:p w14:paraId="388940AC">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25E72B22">
                  <w:pPr>
                    <w:widowControl/>
                    <w:adjustRightInd w:val="0"/>
                    <w:snapToGrid w:val="0"/>
                    <w:spacing w:line="320" w:lineRule="exact"/>
                    <w:jc w:val="center"/>
                    <w:rPr>
                      <w:szCs w:val="21"/>
                    </w:rPr>
                  </w:pPr>
                </w:p>
              </w:tc>
              <w:tc>
                <w:tcPr>
                  <w:tcW w:w="796" w:type="dxa"/>
                  <w:tcBorders>
                    <w:tl2br w:val="nil"/>
                    <w:tr2bl w:val="nil"/>
                  </w:tcBorders>
                  <w:vAlign w:val="center"/>
                </w:tcPr>
                <w:p w14:paraId="73E5D017">
                  <w:pPr>
                    <w:widowControl/>
                    <w:adjustRightInd w:val="0"/>
                    <w:snapToGrid w:val="0"/>
                    <w:spacing w:line="320" w:lineRule="exact"/>
                    <w:jc w:val="center"/>
                    <w:rPr>
                      <w:szCs w:val="21"/>
                    </w:rPr>
                  </w:pPr>
                  <w:r>
                    <w:rPr>
                      <w:szCs w:val="21"/>
                    </w:rPr>
                    <w:t>W</w:t>
                  </w:r>
                </w:p>
              </w:tc>
              <w:tc>
                <w:tcPr>
                  <w:tcW w:w="671" w:type="dxa"/>
                  <w:tcBorders>
                    <w:tl2br w:val="nil"/>
                    <w:tr2bl w:val="nil"/>
                  </w:tcBorders>
                  <w:vAlign w:val="center"/>
                </w:tcPr>
                <w:p w14:paraId="5E8A5CD1">
                  <w:pPr>
                    <w:widowControl/>
                    <w:adjustRightInd w:val="0"/>
                    <w:snapToGrid w:val="0"/>
                    <w:spacing w:line="320" w:lineRule="exact"/>
                    <w:jc w:val="center"/>
                    <w:rPr>
                      <w:szCs w:val="21"/>
                    </w:rPr>
                  </w:pPr>
                  <w:r>
                    <w:rPr>
                      <w:szCs w:val="21"/>
                    </w:rPr>
                    <w:t>134</w:t>
                  </w:r>
                </w:p>
              </w:tc>
            </w:tr>
            <w:tr w14:paraId="6437C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535C5E85">
                  <w:pPr>
                    <w:widowControl/>
                    <w:adjustRightInd w:val="0"/>
                    <w:snapToGrid w:val="0"/>
                    <w:spacing w:line="320" w:lineRule="exact"/>
                    <w:jc w:val="center"/>
                    <w:rPr>
                      <w:szCs w:val="21"/>
                    </w:rPr>
                  </w:pPr>
                  <w:r>
                    <w:rPr>
                      <w:rFonts w:hint="eastAsia"/>
                      <w:szCs w:val="21"/>
                    </w:rPr>
                    <w:t>12</w:t>
                  </w:r>
                </w:p>
              </w:tc>
              <w:tc>
                <w:tcPr>
                  <w:tcW w:w="1263" w:type="dxa"/>
                  <w:tcBorders>
                    <w:tl2br w:val="nil"/>
                    <w:tr2bl w:val="nil"/>
                  </w:tcBorders>
                  <w:vAlign w:val="center"/>
                </w:tcPr>
                <w:p w14:paraId="23B21545">
                  <w:pPr>
                    <w:widowControl/>
                    <w:adjustRightInd w:val="0"/>
                    <w:snapToGrid w:val="0"/>
                    <w:spacing w:line="320" w:lineRule="exact"/>
                    <w:jc w:val="center"/>
                    <w:rPr>
                      <w:szCs w:val="21"/>
                    </w:rPr>
                  </w:pPr>
                  <w:r>
                    <w:rPr>
                      <w:szCs w:val="21"/>
                    </w:rPr>
                    <w:t>永兴村</w:t>
                  </w:r>
                </w:p>
              </w:tc>
              <w:tc>
                <w:tcPr>
                  <w:tcW w:w="1487" w:type="dxa"/>
                  <w:tcBorders>
                    <w:tl2br w:val="nil"/>
                    <w:tr2bl w:val="nil"/>
                  </w:tcBorders>
                  <w:vAlign w:val="center"/>
                </w:tcPr>
                <w:p w14:paraId="084A5410">
                  <w:pPr>
                    <w:widowControl/>
                    <w:adjustRightInd w:val="0"/>
                    <w:snapToGrid w:val="0"/>
                    <w:spacing w:line="320" w:lineRule="exact"/>
                    <w:jc w:val="center"/>
                    <w:rPr>
                      <w:szCs w:val="21"/>
                    </w:rPr>
                  </w:pPr>
                  <w:r>
                    <w:rPr>
                      <w:szCs w:val="21"/>
                    </w:rPr>
                    <w:t>118.447890°</w:t>
                  </w:r>
                </w:p>
              </w:tc>
              <w:tc>
                <w:tcPr>
                  <w:tcW w:w="1450" w:type="dxa"/>
                  <w:tcBorders>
                    <w:tl2br w:val="nil"/>
                    <w:tr2bl w:val="nil"/>
                  </w:tcBorders>
                  <w:vAlign w:val="center"/>
                </w:tcPr>
                <w:p w14:paraId="0B7D2BB3">
                  <w:pPr>
                    <w:widowControl/>
                    <w:adjustRightInd w:val="0"/>
                    <w:snapToGrid w:val="0"/>
                    <w:spacing w:line="320" w:lineRule="exact"/>
                    <w:jc w:val="center"/>
                    <w:rPr>
                      <w:szCs w:val="21"/>
                    </w:rPr>
                  </w:pPr>
                  <w:r>
                    <w:rPr>
                      <w:szCs w:val="21"/>
                    </w:rPr>
                    <w:t>39.235371°</w:t>
                  </w:r>
                </w:p>
              </w:tc>
              <w:tc>
                <w:tcPr>
                  <w:tcW w:w="688" w:type="dxa"/>
                  <w:vMerge w:val="continue"/>
                  <w:tcBorders>
                    <w:tl2br w:val="nil"/>
                    <w:tr2bl w:val="nil"/>
                  </w:tcBorders>
                  <w:vAlign w:val="center"/>
                </w:tcPr>
                <w:p w14:paraId="2A888AB7">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413BA99F">
                  <w:pPr>
                    <w:widowControl/>
                    <w:adjustRightInd w:val="0"/>
                    <w:snapToGrid w:val="0"/>
                    <w:spacing w:line="320" w:lineRule="exact"/>
                    <w:jc w:val="center"/>
                    <w:rPr>
                      <w:szCs w:val="21"/>
                    </w:rPr>
                  </w:pPr>
                </w:p>
              </w:tc>
              <w:tc>
                <w:tcPr>
                  <w:tcW w:w="796" w:type="dxa"/>
                  <w:tcBorders>
                    <w:tl2br w:val="nil"/>
                    <w:tr2bl w:val="nil"/>
                  </w:tcBorders>
                  <w:vAlign w:val="center"/>
                </w:tcPr>
                <w:p w14:paraId="2816C050">
                  <w:pPr>
                    <w:widowControl/>
                    <w:adjustRightInd w:val="0"/>
                    <w:snapToGrid w:val="0"/>
                    <w:spacing w:line="320" w:lineRule="exact"/>
                    <w:jc w:val="center"/>
                    <w:rPr>
                      <w:szCs w:val="21"/>
                    </w:rPr>
                  </w:pPr>
                  <w:r>
                    <w:rPr>
                      <w:szCs w:val="21"/>
                    </w:rPr>
                    <w:t>E</w:t>
                  </w:r>
                </w:p>
              </w:tc>
              <w:tc>
                <w:tcPr>
                  <w:tcW w:w="671" w:type="dxa"/>
                  <w:tcBorders>
                    <w:tl2br w:val="nil"/>
                    <w:tr2bl w:val="nil"/>
                  </w:tcBorders>
                  <w:vAlign w:val="center"/>
                </w:tcPr>
                <w:p w14:paraId="14603829">
                  <w:pPr>
                    <w:widowControl/>
                    <w:adjustRightInd w:val="0"/>
                    <w:snapToGrid w:val="0"/>
                    <w:spacing w:line="320" w:lineRule="exact"/>
                    <w:jc w:val="center"/>
                    <w:rPr>
                      <w:szCs w:val="21"/>
                    </w:rPr>
                  </w:pPr>
                  <w:r>
                    <w:rPr>
                      <w:szCs w:val="21"/>
                    </w:rPr>
                    <w:t>195</w:t>
                  </w:r>
                </w:p>
              </w:tc>
            </w:tr>
            <w:tr w14:paraId="0470A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2342CDE9">
                  <w:pPr>
                    <w:widowControl/>
                    <w:adjustRightInd w:val="0"/>
                    <w:snapToGrid w:val="0"/>
                    <w:spacing w:line="320" w:lineRule="exact"/>
                    <w:jc w:val="center"/>
                    <w:rPr>
                      <w:szCs w:val="21"/>
                    </w:rPr>
                  </w:pPr>
                  <w:r>
                    <w:rPr>
                      <w:rFonts w:hint="eastAsia"/>
                      <w:szCs w:val="21"/>
                    </w:rPr>
                    <w:t>13</w:t>
                  </w:r>
                </w:p>
              </w:tc>
              <w:tc>
                <w:tcPr>
                  <w:tcW w:w="1263" w:type="dxa"/>
                  <w:tcBorders>
                    <w:tl2br w:val="nil"/>
                    <w:tr2bl w:val="nil"/>
                  </w:tcBorders>
                  <w:vAlign w:val="center"/>
                </w:tcPr>
                <w:p w14:paraId="23E106BD">
                  <w:pPr>
                    <w:widowControl/>
                    <w:adjustRightInd w:val="0"/>
                    <w:snapToGrid w:val="0"/>
                    <w:spacing w:line="320" w:lineRule="exact"/>
                    <w:jc w:val="center"/>
                    <w:rPr>
                      <w:szCs w:val="21"/>
                    </w:rPr>
                  </w:pPr>
                  <w:r>
                    <w:rPr>
                      <w:szCs w:val="21"/>
                    </w:rPr>
                    <w:t>五农场</w:t>
                  </w:r>
                </w:p>
              </w:tc>
              <w:tc>
                <w:tcPr>
                  <w:tcW w:w="1487" w:type="dxa"/>
                  <w:tcBorders>
                    <w:tl2br w:val="nil"/>
                    <w:tr2bl w:val="nil"/>
                  </w:tcBorders>
                  <w:vAlign w:val="center"/>
                </w:tcPr>
                <w:p w14:paraId="3FC13F65">
                  <w:pPr>
                    <w:widowControl/>
                    <w:adjustRightInd w:val="0"/>
                    <w:snapToGrid w:val="0"/>
                    <w:spacing w:line="320" w:lineRule="exact"/>
                    <w:jc w:val="center"/>
                    <w:rPr>
                      <w:szCs w:val="21"/>
                    </w:rPr>
                  </w:pPr>
                  <w:r>
                    <w:rPr>
                      <w:szCs w:val="21"/>
                    </w:rPr>
                    <w:t>118.431893°</w:t>
                  </w:r>
                </w:p>
              </w:tc>
              <w:tc>
                <w:tcPr>
                  <w:tcW w:w="1450" w:type="dxa"/>
                  <w:tcBorders>
                    <w:tl2br w:val="nil"/>
                    <w:tr2bl w:val="nil"/>
                  </w:tcBorders>
                  <w:vAlign w:val="center"/>
                </w:tcPr>
                <w:p w14:paraId="6420C817">
                  <w:pPr>
                    <w:widowControl/>
                    <w:adjustRightInd w:val="0"/>
                    <w:snapToGrid w:val="0"/>
                    <w:spacing w:line="320" w:lineRule="exact"/>
                    <w:jc w:val="center"/>
                    <w:rPr>
                      <w:szCs w:val="21"/>
                    </w:rPr>
                  </w:pPr>
                  <w:r>
                    <w:rPr>
                      <w:szCs w:val="21"/>
                    </w:rPr>
                    <w:t>39.202965°</w:t>
                  </w:r>
                </w:p>
              </w:tc>
              <w:tc>
                <w:tcPr>
                  <w:tcW w:w="688" w:type="dxa"/>
                  <w:vMerge w:val="continue"/>
                  <w:tcBorders>
                    <w:tl2br w:val="nil"/>
                    <w:tr2bl w:val="nil"/>
                  </w:tcBorders>
                  <w:vAlign w:val="center"/>
                </w:tcPr>
                <w:p w14:paraId="3ED65EFD">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78BA63FC">
                  <w:pPr>
                    <w:widowControl/>
                    <w:adjustRightInd w:val="0"/>
                    <w:snapToGrid w:val="0"/>
                    <w:spacing w:line="320" w:lineRule="exact"/>
                    <w:jc w:val="center"/>
                    <w:rPr>
                      <w:szCs w:val="21"/>
                    </w:rPr>
                  </w:pPr>
                </w:p>
              </w:tc>
              <w:tc>
                <w:tcPr>
                  <w:tcW w:w="796" w:type="dxa"/>
                  <w:tcBorders>
                    <w:tl2br w:val="nil"/>
                    <w:tr2bl w:val="nil"/>
                  </w:tcBorders>
                  <w:vAlign w:val="center"/>
                </w:tcPr>
                <w:p w14:paraId="33A9481C">
                  <w:pPr>
                    <w:widowControl/>
                    <w:adjustRightInd w:val="0"/>
                    <w:snapToGrid w:val="0"/>
                    <w:spacing w:line="320" w:lineRule="exact"/>
                    <w:jc w:val="center"/>
                    <w:rPr>
                      <w:szCs w:val="21"/>
                    </w:rPr>
                  </w:pPr>
                  <w:r>
                    <w:rPr>
                      <w:szCs w:val="21"/>
                    </w:rPr>
                    <w:t>W</w:t>
                  </w:r>
                </w:p>
              </w:tc>
              <w:tc>
                <w:tcPr>
                  <w:tcW w:w="671" w:type="dxa"/>
                  <w:tcBorders>
                    <w:tl2br w:val="nil"/>
                    <w:tr2bl w:val="nil"/>
                  </w:tcBorders>
                  <w:vAlign w:val="center"/>
                </w:tcPr>
                <w:p w14:paraId="0D6166A4">
                  <w:pPr>
                    <w:widowControl/>
                    <w:adjustRightInd w:val="0"/>
                    <w:snapToGrid w:val="0"/>
                    <w:spacing w:line="320" w:lineRule="exact"/>
                    <w:jc w:val="center"/>
                    <w:rPr>
                      <w:szCs w:val="21"/>
                    </w:rPr>
                  </w:pPr>
                  <w:r>
                    <w:rPr>
                      <w:szCs w:val="21"/>
                    </w:rPr>
                    <w:t>322</w:t>
                  </w:r>
                </w:p>
              </w:tc>
            </w:tr>
            <w:tr w14:paraId="4A901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shd w:val="clear" w:color="auto" w:fill="auto"/>
                  <w:vAlign w:val="center"/>
                </w:tcPr>
                <w:p w14:paraId="427D6DA3">
                  <w:pPr>
                    <w:widowControl/>
                    <w:adjustRightInd w:val="0"/>
                    <w:snapToGrid w:val="0"/>
                    <w:spacing w:line="320" w:lineRule="exact"/>
                    <w:jc w:val="center"/>
                    <w:rPr>
                      <w:szCs w:val="21"/>
                    </w:rPr>
                  </w:pPr>
                  <w:r>
                    <w:rPr>
                      <w:rFonts w:hint="eastAsia"/>
                      <w:szCs w:val="21"/>
                    </w:rPr>
                    <w:t>14</w:t>
                  </w:r>
                </w:p>
              </w:tc>
              <w:tc>
                <w:tcPr>
                  <w:tcW w:w="1263" w:type="dxa"/>
                  <w:tcBorders>
                    <w:tl2br w:val="nil"/>
                    <w:tr2bl w:val="nil"/>
                  </w:tcBorders>
                  <w:vAlign w:val="center"/>
                </w:tcPr>
                <w:p w14:paraId="35AE66F2">
                  <w:pPr>
                    <w:widowControl/>
                    <w:adjustRightInd w:val="0"/>
                    <w:snapToGrid w:val="0"/>
                    <w:spacing w:line="320" w:lineRule="exact"/>
                    <w:jc w:val="center"/>
                    <w:rPr>
                      <w:szCs w:val="21"/>
                    </w:rPr>
                  </w:pPr>
                  <w:r>
                    <w:rPr>
                      <w:szCs w:val="21"/>
                    </w:rPr>
                    <w:t>坨东村</w:t>
                  </w:r>
                </w:p>
              </w:tc>
              <w:tc>
                <w:tcPr>
                  <w:tcW w:w="1487" w:type="dxa"/>
                  <w:tcBorders>
                    <w:tl2br w:val="nil"/>
                    <w:tr2bl w:val="nil"/>
                  </w:tcBorders>
                  <w:vAlign w:val="center"/>
                </w:tcPr>
                <w:p w14:paraId="41798EFE">
                  <w:pPr>
                    <w:widowControl/>
                    <w:adjustRightInd w:val="0"/>
                    <w:snapToGrid w:val="0"/>
                    <w:spacing w:line="320" w:lineRule="exact"/>
                    <w:jc w:val="center"/>
                    <w:rPr>
                      <w:szCs w:val="21"/>
                    </w:rPr>
                  </w:pPr>
                  <w:r>
                    <w:rPr>
                      <w:szCs w:val="21"/>
                    </w:rPr>
                    <w:t>118.437086°</w:t>
                  </w:r>
                </w:p>
              </w:tc>
              <w:tc>
                <w:tcPr>
                  <w:tcW w:w="1450" w:type="dxa"/>
                  <w:tcBorders>
                    <w:tl2br w:val="nil"/>
                    <w:tr2bl w:val="nil"/>
                  </w:tcBorders>
                  <w:vAlign w:val="center"/>
                </w:tcPr>
                <w:p w14:paraId="5EB329EC">
                  <w:pPr>
                    <w:widowControl/>
                    <w:adjustRightInd w:val="0"/>
                    <w:snapToGrid w:val="0"/>
                    <w:spacing w:line="320" w:lineRule="exact"/>
                    <w:jc w:val="center"/>
                    <w:rPr>
                      <w:szCs w:val="21"/>
                    </w:rPr>
                  </w:pPr>
                  <w:r>
                    <w:rPr>
                      <w:szCs w:val="21"/>
                    </w:rPr>
                    <w:t>39.198394°</w:t>
                  </w:r>
                </w:p>
              </w:tc>
              <w:tc>
                <w:tcPr>
                  <w:tcW w:w="688" w:type="dxa"/>
                  <w:vMerge w:val="continue"/>
                  <w:tcBorders>
                    <w:tl2br w:val="nil"/>
                    <w:tr2bl w:val="nil"/>
                  </w:tcBorders>
                  <w:vAlign w:val="center"/>
                </w:tcPr>
                <w:p w14:paraId="5E9E75E9">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5FB4E6EC">
                  <w:pPr>
                    <w:widowControl/>
                    <w:adjustRightInd w:val="0"/>
                    <w:snapToGrid w:val="0"/>
                    <w:spacing w:line="320" w:lineRule="exact"/>
                    <w:jc w:val="center"/>
                    <w:rPr>
                      <w:szCs w:val="21"/>
                    </w:rPr>
                  </w:pPr>
                </w:p>
              </w:tc>
              <w:tc>
                <w:tcPr>
                  <w:tcW w:w="796" w:type="dxa"/>
                  <w:tcBorders>
                    <w:tl2br w:val="nil"/>
                    <w:tr2bl w:val="nil"/>
                  </w:tcBorders>
                  <w:vAlign w:val="center"/>
                </w:tcPr>
                <w:p w14:paraId="48108ACD">
                  <w:pPr>
                    <w:widowControl/>
                    <w:adjustRightInd w:val="0"/>
                    <w:snapToGrid w:val="0"/>
                    <w:spacing w:line="320" w:lineRule="exact"/>
                    <w:jc w:val="center"/>
                    <w:rPr>
                      <w:szCs w:val="21"/>
                    </w:rPr>
                  </w:pPr>
                  <w:r>
                    <w:rPr>
                      <w:szCs w:val="21"/>
                    </w:rPr>
                    <w:t>E</w:t>
                  </w:r>
                </w:p>
              </w:tc>
              <w:tc>
                <w:tcPr>
                  <w:tcW w:w="671" w:type="dxa"/>
                  <w:tcBorders>
                    <w:tl2br w:val="nil"/>
                    <w:tr2bl w:val="nil"/>
                  </w:tcBorders>
                  <w:vAlign w:val="center"/>
                </w:tcPr>
                <w:p w14:paraId="481325C8">
                  <w:pPr>
                    <w:widowControl/>
                    <w:adjustRightInd w:val="0"/>
                    <w:snapToGrid w:val="0"/>
                    <w:spacing w:line="320" w:lineRule="exact"/>
                    <w:jc w:val="center"/>
                    <w:rPr>
                      <w:szCs w:val="21"/>
                    </w:rPr>
                  </w:pPr>
                  <w:r>
                    <w:rPr>
                      <w:szCs w:val="21"/>
                    </w:rPr>
                    <w:t>38</w:t>
                  </w:r>
                </w:p>
              </w:tc>
            </w:tr>
            <w:tr w14:paraId="0758F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09BB06E8">
                  <w:pPr>
                    <w:widowControl/>
                    <w:adjustRightInd w:val="0"/>
                    <w:snapToGrid w:val="0"/>
                    <w:spacing w:line="320" w:lineRule="exact"/>
                    <w:jc w:val="center"/>
                    <w:rPr>
                      <w:szCs w:val="21"/>
                    </w:rPr>
                  </w:pPr>
                  <w:r>
                    <w:rPr>
                      <w:rFonts w:hint="eastAsia"/>
                      <w:szCs w:val="21"/>
                    </w:rPr>
                    <w:t>15</w:t>
                  </w:r>
                </w:p>
              </w:tc>
              <w:tc>
                <w:tcPr>
                  <w:tcW w:w="1263" w:type="dxa"/>
                  <w:tcBorders>
                    <w:tl2br w:val="nil"/>
                    <w:tr2bl w:val="nil"/>
                  </w:tcBorders>
                  <w:vAlign w:val="center"/>
                </w:tcPr>
                <w:p w14:paraId="744490FD">
                  <w:pPr>
                    <w:widowControl/>
                    <w:adjustRightInd w:val="0"/>
                    <w:snapToGrid w:val="0"/>
                    <w:spacing w:line="320" w:lineRule="exact"/>
                    <w:jc w:val="center"/>
                    <w:rPr>
                      <w:szCs w:val="21"/>
                    </w:rPr>
                  </w:pPr>
                  <w:r>
                    <w:rPr>
                      <w:szCs w:val="21"/>
                    </w:rPr>
                    <w:t>陡坨新村</w:t>
                  </w:r>
                </w:p>
              </w:tc>
              <w:tc>
                <w:tcPr>
                  <w:tcW w:w="1487" w:type="dxa"/>
                  <w:tcBorders>
                    <w:tl2br w:val="nil"/>
                    <w:tr2bl w:val="nil"/>
                  </w:tcBorders>
                  <w:vAlign w:val="center"/>
                </w:tcPr>
                <w:p w14:paraId="190468E2">
                  <w:pPr>
                    <w:widowControl/>
                    <w:adjustRightInd w:val="0"/>
                    <w:snapToGrid w:val="0"/>
                    <w:spacing w:line="320" w:lineRule="exact"/>
                    <w:jc w:val="center"/>
                    <w:rPr>
                      <w:szCs w:val="21"/>
                    </w:rPr>
                  </w:pPr>
                  <w:r>
                    <w:rPr>
                      <w:szCs w:val="21"/>
                    </w:rPr>
                    <w:t>118.454891°</w:t>
                  </w:r>
                </w:p>
              </w:tc>
              <w:tc>
                <w:tcPr>
                  <w:tcW w:w="1450" w:type="dxa"/>
                  <w:tcBorders>
                    <w:tl2br w:val="nil"/>
                    <w:tr2bl w:val="nil"/>
                  </w:tcBorders>
                  <w:vAlign w:val="center"/>
                </w:tcPr>
                <w:p w14:paraId="2A24C6ED">
                  <w:pPr>
                    <w:widowControl/>
                    <w:adjustRightInd w:val="0"/>
                    <w:snapToGrid w:val="0"/>
                    <w:spacing w:line="320" w:lineRule="exact"/>
                    <w:jc w:val="center"/>
                    <w:rPr>
                      <w:szCs w:val="21"/>
                    </w:rPr>
                  </w:pPr>
                  <w:r>
                    <w:rPr>
                      <w:szCs w:val="21"/>
                    </w:rPr>
                    <w:t>39.169882°</w:t>
                  </w:r>
                </w:p>
              </w:tc>
              <w:tc>
                <w:tcPr>
                  <w:tcW w:w="688" w:type="dxa"/>
                  <w:vMerge w:val="continue"/>
                  <w:tcBorders>
                    <w:tl2br w:val="nil"/>
                    <w:tr2bl w:val="nil"/>
                  </w:tcBorders>
                  <w:vAlign w:val="center"/>
                </w:tcPr>
                <w:p w14:paraId="040CBE25">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0A375E3A">
                  <w:pPr>
                    <w:widowControl/>
                    <w:adjustRightInd w:val="0"/>
                    <w:snapToGrid w:val="0"/>
                    <w:spacing w:line="320" w:lineRule="exact"/>
                    <w:jc w:val="center"/>
                    <w:rPr>
                      <w:szCs w:val="21"/>
                    </w:rPr>
                  </w:pPr>
                </w:p>
              </w:tc>
              <w:tc>
                <w:tcPr>
                  <w:tcW w:w="796" w:type="dxa"/>
                  <w:tcBorders>
                    <w:tl2br w:val="nil"/>
                    <w:tr2bl w:val="nil"/>
                  </w:tcBorders>
                  <w:vAlign w:val="center"/>
                </w:tcPr>
                <w:p w14:paraId="5F59F697">
                  <w:pPr>
                    <w:widowControl/>
                    <w:adjustRightInd w:val="0"/>
                    <w:snapToGrid w:val="0"/>
                    <w:spacing w:line="320" w:lineRule="exact"/>
                    <w:jc w:val="center"/>
                    <w:rPr>
                      <w:szCs w:val="21"/>
                    </w:rPr>
                  </w:pPr>
                  <w:r>
                    <w:rPr>
                      <w:szCs w:val="21"/>
                    </w:rPr>
                    <w:t>E</w:t>
                  </w:r>
                </w:p>
              </w:tc>
              <w:tc>
                <w:tcPr>
                  <w:tcW w:w="671" w:type="dxa"/>
                  <w:tcBorders>
                    <w:tl2br w:val="nil"/>
                    <w:tr2bl w:val="nil"/>
                  </w:tcBorders>
                  <w:vAlign w:val="center"/>
                </w:tcPr>
                <w:p w14:paraId="3923C0BA">
                  <w:pPr>
                    <w:widowControl/>
                    <w:adjustRightInd w:val="0"/>
                    <w:snapToGrid w:val="0"/>
                    <w:spacing w:line="320" w:lineRule="exact"/>
                    <w:jc w:val="center"/>
                    <w:rPr>
                      <w:szCs w:val="21"/>
                    </w:rPr>
                  </w:pPr>
                  <w:r>
                    <w:rPr>
                      <w:szCs w:val="21"/>
                    </w:rPr>
                    <w:t>76</w:t>
                  </w:r>
                </w:p>
              </w:tc>
            </w:tr>
            <w:tr w14:paraId="20232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086E2264">
                  <w:pPr>
                    <w:widowControl/>
                    <w:adjustRightInd w:val="0"/>
                    <w:snapToGrid w:val="0"/>
                    <w:spacing w:line="320" w:lineRule="exact"/>
                    <w:jc w:val="center"/>
                    <w:rPr>
                      <w:szCs w:val="21"/>
                    </w:rPr>
                  </w:pPr>
                  <w:r>
                    <w:rPr>
                      <w:rFonts w:hint="eastAsia"/>
                      <w:szCs w:val="21"/>
                    </w:rPr>
                    <w:t>16</w:t>
                  </w:r>
                </w:p>
              </w:tc>
              <w:tc>
                <w:tcPr>
                  <w:tcW w:w="1263" w:type="dxa"/>
                  <w:tcBorders>
                    <w:tl2br w:val="nil"/>
                    <w:tr2bl w:val="nil"/>
                  </w:tcBorders>
                  <w:vAlign w:val="center"/>
                </w:tcPr>
                <w:p w14:paraId="4794ECB7">
                  <w:pPr>
                    <w:widowControl/>
                    <w:adjustRightInd w:val="0"/>
                    <w:snapToGrid w:val="0"/>
                    <w:spacing w:line="320" w:lineRule="exact"/>
                    <w:jc w:val="center"/>
                    <w:rPr>
                      <w:szCs w:val="21"/>
                    </w:rPr>
                  </w:pPr>
                  <w:r>
                    <w:rPr>
                      <w:szCs w:val="21"/>
                    </w:rPr>
                    <w:t>十里海养殖村</w:t>
                  </w:r>
                </w:p>
              </w:tc>
              <w:tc>
                <w:tcPr>
                  <w:tcW w:w="1487" w:type="dxa"/>
                  <w:tcBorders>
                    <w:tl2br w:val="nil"/>
                    <w:tr2bl w:val="nil"/>
                  </w:tcBorders>
                  <w:vAlign w:val="center"/>
                </w:tcPr>
                <w:p w14:paraId="20038073">
                  <w:pPr>
                    <w:widowControl/>
                    <w:adjustRightInd w:val="0"/>
                    <w:snapToGrid w:val="0"/>
                    <w:spacing w:line="320" w:lineRule="exact"/>
                    <w:jc w:val="center"/>
                    <w:rPr>
                      <w:szCs w:val="21"/>
                    </w:rPr>
                  </w:pPr>
                  <w:r>
                    <w:rPr>
                      <w:szCs w:val="21"/>
                    </w:rPr>
                    <w:t>118.481128°</w:t>
                  </w:r>
                </w:p>
              </w:tc>
              <w:tc>
                <w:tcPr>
                  <w:tcW w:w="1450" w:type="dxa"/>
                  <w:tcBorders>
                    <w:tl2br w:val="nil"/>
                    <w:tr2bl w:val="nil"/>
                  </w:tcBorders>
                  <w:vAlign w:val="center"/>
                </w:tcPr>
                <w:p w14:paraId="56FD0A48">
                  <w:pPr>
                    <w:widowControl/>
                    <w:adjustRightInd w:val="0"/>
                    <w:snapToGrid w:val="0"/>
                    <w:spacing w:line="320" w:lineRule="exact"/>
                    <w:jc w:val="center"/>
                    <w:rPr>
                      <w:szCs w:val="21"/>
                    </w:rPr>
                  </w:pPr>
                  <w:r>
                    <w:rPr>
                      <w:szCs w:val="21"/>
                    </w:rPr>
                    <w:t>39.159808°</w:t>
                  </w:r>
                </w:p>
              </w:tc>
              <w:tc>
                <w:tcPr>
                  <w:tcW w:w="688" w:type="dxa"/>
                  <w:vMerge w:val="continue"/>
                  <w:tcBorders>
                    <w:tl2br w:val="nil"/>
                    <w:tr2bl w:val="nil"/>
                  </w:tcBorders>
                  <w:vAlign w:val="center"/>
                </w:tcPr>
                <w:p w14:paraId="26D4E313">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5F3C500C">
                  <w:pPr>
                    <w:widowControl/>
                    <w:adjustRightInd w:val="0"/>
                    <w:snapToGrid w:val="0"/>
                    <w:spacing w:line="320" w:lineRule="exact"/>
                    <w:jc w:val="center"/>
                    <w:rPr>
                      <w:szCs w:val="21"/>
                    </w:rPr>
                  </w:pPr>
                </w:p>
              </w:tc>
              <w:tc>
                <w:tcPr>
                  <w:tcW w:w="796" w:type="dxa"/>
                  <w:tcBorders>
                    <w:tl2br w:val="nil"/>
                    <w:tr2bl w:val="nil"/>
                  </w:tcBorders>
                  <w:vAlign w:val="center"/>
                </w:tcPr>
                <w:p w14:paraId="66BDADA7">
                  <w:pPr>
                    <w:widowControl/>
                    <w:adjustRightInd w:val="0"/>
                    <w:snapToGrid w:val="0"/>
                    <w:spacing w:line="320" w:lineRule="exact"/>
                    <w:jc w:val="center"/>
                    <w:rPr>
                      <w:szCs w:val="21"/>
                    </w:rPr>
                  </w:pPr>
                  <w:r>
                    <w:rPr>
                      <w:szCs w:val="21"/>
                    </w:rPr>
                    <w:t>SW</w:t>
                  </w:r>
                </w:p>
              </w:tc>
              <w:tc>
                <w:tcPr>
                  <w:tcW w:w="671" w:type="dxa"/>
                  <w:tcBorders>
                    <w:tl2br w:val="nil"/>
                    <w:tr2bl w:val="nil"/>
                  </w:tcBorders>
                  <w:vAlign w:val="center"/>
                </w:tcPr>
                <w:p w14:paraId="7F6E506A">
                  <w:pPr>
                    <w:widowControl/>
                    <w:adjustRightInd w:val="0"/>
                    <w:snapToGrid w:val="0"/>
                    <w:spacing w:line="320" w:lineRule="exact"/>
                    <w:jc w:val="center"/>
                    <w:rPr>
                      <w:szCs w:val="21"/>
                    </w:rPr>
                  </w:pPr>
                  <w:r>
                    <w:rPr>
                      <w:szCs w:val="21"/>
                    </w:rPr>
                    <w:t>40</w:t>
                  </w:r>
                </w:p>
              </w:tc>
            </w:tr>
            <w:tr w14:paraId="30858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1FCD433F">
                  <w:pPr>
                    <w:widowControl/>
                    <w:adjustRightInd w:val="0"/>
                    <w:snapToGrid w:val="0"/>
                    <w:spacing w:line="320" w:lineRule="exact"/>
                    <w:jc w:val="center"/>
                    <w:rPr>
                      <w:szCs w:val="21"/>
                    </w:rPr>
                  </w:pPr>
                  <w:r>
                    <w:rPr>
                      <w:rFonts w:hint="eastAsia"/>
                      <w:szCs w:val="21"/>
                    </w:rPr>
                    <w:t>17</w:t>
                  </w:r>
                </w:p>
              </w:tc>
              <w:tc>
                <w:tcPr>
                  <w:tcW w:w="1263" w:type="dxa"/>
                  <w:tcBorders>
                    <w:tl2br w:val="nil"/>
                    <w:tr2bl w:val="nil"/>
                  </w:tcBorders>
                  <w:vAlign w:val="center"/>
                </w:tcPr>
                <w:p w14:paraId="0BBB9C37">
                  <w:pPr>
                    <w:widowControl/>
                    <w:adjustRightInd w:val="0"/>
                    <w:snapToGrid w:val="0"/>
                    <w:spacing w:line="320" w:lineRule="exact"/>
                    <w:jc w:val="center"/>
                    <w:rPr>
                      <w:szCs w:val="21"/>
                    </w:rPr>
                  </w:pPr>
                  <w:r>
                    <w:rPr>
                      <w:szCs w:val="21"/>
                    </w:rPr>
                    <w:t>八农场</w:t>
                  </w:r>
                </w:p>
              </w:tc>
              <w:tc>
                <w:tcPr>
                  <w:tcW w:w="1487" w:type="dxa"/>
                  <w:tcBorders>
                    <w:tl2br w:val="nil"/>
                    <w:tr2bl w:val="nil"/>
                  </w:tcBorders>
                  <w:vAlign w:val="center"/>
                </w:tcPr>
                <w:p w14:paraId="0081B45C">
                  <w:pPr>
                    <w:widowControl/>
                    <w:adjustRightInd w:val="0"/>
                    <w:snapToGrid w:val="0"/>
                    <w:spacing w:line="320" w:lineRule="exact"/>
                    <w:jc w:val="center"/>
                    <w:rPr>
                      <w:szCs w:val="21"/>
                    </w:rPr>
                  </w:pPr>
                  <w:r>
                    <w:rPr>
                      <w:szCs w:val="21"/>
                    </w:rPr>
                    <w:t>118.291097°</w:t>
                  </w:r>
                </w:p>
              </w:tc>
              <w:tc>
                <w:tcPr>
                  <w:tcW w:w="1450" w:type="dxa"/>
                  <w:tcBorders>
                    <w:tl2br w:val="nil"/>
                    <w:tr2bl w:val="nil"/>
                  </w:tcBorders>
                  <w:vAlign w:val="center"/>
                </w:tcPr>
                <w:p w14:paraId="45AF96FF">
                  <w:pPr>
                    <w:widowControl/>
                    <w:adjustRightInd w:val="0"/>
                    <w:snapToGrid w:val="0"/>
                    <w:spacing w:line="320" w:lineRule="exact"/>
                    <w:jc w:val="center"/>
                    <w:rPr>
                      <w:szCs w:val="21"/>
                    </w:rPr>
                  </w:pPr>
                  <w:r>
                    <w:rPr>
                      <w:szCs w:val="21"/>
                    </w:rPr>
                    <w:t>39.372747°</w:t>
                  </w:r>
                </w:p>
              </w:tc>
              <w:tc>
                <w:tcPr>
                  <w:tcW w:w="688" w:type="dxa"/>
                  <w:vMerge w:val="continue"/>
                  <w:tcBorders>
                    <w:tl2br w:val="nil"/>
                    <w:tr2bl w:val="nil"/>
                  </w:tcBorders>
                  <w:vAlign w:val="center"/>
                </w:tcPr>
                <w:p w14:paraId="0DECE4EB">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1EC4503A">
                  <w:pPr>
                    <w:widowControl/>
                    <w:adjustRightInd w:val="0"/>
                    <w:snapToGrid w:val="0"/>
                    <w:spacing w:line="320" w:lineRule="exact"/>
                    <w:jc w:val="center"/>
                    <w:rPr>
                      <w:szCs w:val="21"/>
                    </w:rPr>
                  </w:pPr>
                </w:p>
              </w:tc>
              <w:tc>
                <w:tcPr>
                  <w:tcW w:w="796" w:type="dxa"/>
                  <w:tcBorders>
                    <w:tl2br w:val="nil"/>
                    <w:tr2bl w:val="nil"/>
                  </w:tcBorders>
                  <w:vAlign w:val="center"/>
                </w:tcPr>
                <w:p w14:paraId="3E497EA4">
                  <w:pPr>
                    <w:widowControl/>
                    <w:adjustRightInd w:val="0"/>
                    <w:snapToGrid w:val="0"/>
                    <w:spacing w:line="320" w:lineRule="exact"/>
                    <w:jc w:val="center"/>
                    <w:rPr>
                      <w:szCs w:val="21"/>
                    </w:rPr>
                  </w:pPr>
                  <w:r>
                    <w:rPr>
                      <w:szCs w:val="21"/>
                    </w:rPr>
                    <w:t>S</w:t>
                  </w:r>
                </w:p>
              </w:tc>
              <w:tc>
                <w:tcPr>
                  <w:tcW w:w="671" w:type="dxa"/>
                  <w:tcBorders>
                    <w:tl2br w:val="nil"/>
                    <w:tr2bl w:val="nil"/>
                  </w:tcBorders>
                  <w:vAlign w:val="center"/>
                </w:tcPr>
                <w:p w14:paraId="613FC539">
                  <w:pPr>
                    <w:widowControl/>
                    <w:adjustRightInd w:val="0"/>
                    <w:snapToGrid w:val="0"/>
                    <w:spacing w:line="320" w:lineRule="exact"/>
                    <w:jc w:val="center"/>
                    <w:rPr>
                      <w:szCs w:val="21"/>
                    </w:rPr>
                  </w:pPr>
                  <w:r>
                    <w:rPr>
                      <w:szCs w:val="21"/>
                    </w:rPr>
                    <w:t>34</w:t>
                  </w:r>
                </w:p>
              </w:tc>
            </w:tr>
            <w:tr w14:paraId="4D85A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256A2FC7">
                  <w:pPr>
                    <w:widowControl/>
                    <w:adjustRightInd w:val="0"/>
                    <w:snapToGrid w:val="0"/>
                    <w:spacing w:line="320" w:lineRule="exact"/>
                    <w:jc w:val="center"/>
                    <w:rPr>
                      <w:szCs w:val="21"/>
                    </w:rPr>
                  </w:pPr>
                  <w:r>
                    <w:rPr>
                      <w:rFonts w:hint="eastAsia"/>
                      <w:szCs w:val="21"/>
                    </w:rPr>
                    <w:t>18</w:t>
                  </w:r>
                </w:p>
              </w:tc>
              <w:tc>
                <w:tcPr>
                  <w:tcW w:w="1263" w:type="dxa"/>
                  <w:tcBorders>
                    <w:tl2br w:val="nil"/>
                    <w:tr2bl w:val="nil"/>
                  </w:tcBorders>
                  <w:vAlign w:val="center"/>
                </w:tcPr>
                <w:p w14:paraId="557A04FE">
                  <w:pPr>
                    <w:widowControl/>
                    <w:adjustRightInd w:val="0"/>
                    <w:snapToGrid w:val="0"/>
                    <w:spacing w:line="320" w:lineRule="exact"/>
                    <w:jc w:val="center"/>
                    <w:rPr>
                      <w:szCs w:val="21"/>
                    </w:rPr>
                  </w:pPr>
                  <w:r>
                    <w:rPr>
                      <w:rFonts w:hint="eastAsia"/>
                      <w:szCs w:val="21"/>
                    </w:rPr>
                    <w:t>石匠庄</w:t>
                  </w:r>
                </w:p>
              </w:tc>
              <w:tc>
                <w:tcPr>
                  <w:tcW w:w="1487" w:type="dxa"/>
                  <w:tcBorders>
                    <w:tl2br w:val="nil"/>
                    <w:tr2bl w:val="nil"/>
                  </w:tcBorders>
                  <w:vAlign w:val="center"/>
                </w:tcPr>
                <w:p w14:paraId="4C77793C">
                  <w:pPr>
                    <w:widowControl/>
                    <w:adjustRightInd w:val="0"/>
                    <w:snapToGrid w:val="0"/>
                    <w:spacing w:line="320" w:lineRule="exact"/>
                    <w:jc w:val="center"/>
                    <w:rPr>
                      <w:szCs w:val="21"/>
                    </w:rPr>
                  </w:pPr>
                  <w:r>
                    <w:rPr>
                      <w:szCs w:val="21"/>
                    </w:rPr>
                    <w:t>118.288071</w:t>
                  </w:r>
                  <w:r>
                    <w:rPr>
                      <w:rFonts w:hint="eastAsia"/>
                      <w:szCs w:val="21"/>
                    </w:rPr>
                    <w:t>°</w:t>
                  </w:r>
                </w:p>
              </w:tc>
              <w:tc>
                <w:tcPr>
                  <w:tcW w:w="1450" w:type="dxa"/>
                  <w:tcBorders>
                    <w:tl2br w:val="nil"/>
                    <w:tr2bl w:val="nil"/>
                  </w:tcBorders>
                  <w:vAlign w:val="center"/>
                </w:tcPr>
                <w:p w14:paraId="0F1C1C23">
                  <w:pPr>
                    <w:widowControl/>
                    <w:adjustRightInd w:val="0"/>
                    <w:snapToGrid w:val="0"/>
                    <w:spacing w:line="320" w:lineRule="exact"/>
                    <w:jc w:val="center"/>
                    <w:rPr>
                      <w:szCs w:val="21"/>
                    </w:rPr>
                  </w:pPr>
                  <w:r>
                    <w:rPr>
                      <w:szCs w:val="21"/>
                    </w:rPr>
                    <w:t>39.401469</w:t>
                  </w:r>
                  <w:r>
                    <w:rPr>
                      <w:rFonts w:hint="eastAsia"/>
                      <w:szCs w:val="21"/>
                    </w:rPr>
                    <w:t>°</w:t>
                  </w:r>
                </w:p>
              </w:tc>
              <w:tc>
                <w:tcPr>
                  <w:tcW w:w="688" w:type="dxa"/>
                  <w:vMerge w:val="continue"/>
                  <w:tcBorders>
                    <w:tl2br w:val="nil"/>
                    <w:tr2bl w:val="nil"/>
                  </w:tcBorders>
                  <w:vAlign w:val="center"/>
                </w:tcPr>
                <w:p w14:paraId="1613E87B">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550B1C1F">
                  <w:pPr>
                    <w:widowControl/>
                    <w:adjustRightInd w:val="0"/>
                    <w:snapToGrid w:val="0"/>
                    <w:spacing w:line="320" w:lineRule="exact"/>
                    <w:jc w:val="center"/>
                    <w:rPr>
                      <w:szCs w:val="21"/>
                    </w:rPr>
                  </w:pPr>
                </w:p>
              </w:tc>
              <w:tc>
                <w:tcPr>
                  <w:tcW w:w="796" w:type="dxa"/>
                  <w:tcBorders>
                    <w:tl2br w:val="nil"/>
                    <w:tr2bl w:val="nil"/>
                  </w:tcBorders>
                  <w:vAlign w:val="center"/>
                </w:tcPr>
                <w:p w14:paraId="45269294">
                  <w:pPr>
                    <w:widowControl/>
                    <w:adjustRightInd w:val="0"/>
                    <w:snapToGrid w:val="0"/>
                    <w:spacing w:line="320" w:lineRule="exact"/>
                    <w:jc w:val="center"/>
                    <w:rPr>
                      <w:szCs w:val="21"/>
                    </w:rPr>
                  </w:pPr>
                  <w:r>
                    <w:rPr>
                      <w:rFonts w:hint="eastAsia"/>
                      <w:szCs w:val="21"/>
                    </w:rPr>
                    <w:t>S</w:t>
                  </w:r>
                </w:p>
              </w:tc>
              <w:tc>
                <w:tcPr>
                  <w:tcW w:w="671" w:type="dxa"/>
                  <w:tcBorders>
                    <w:tl2br w:val="nil"/>
                    <w:tr2bl w:val="nil"/>
                  </w:tcBorders>
                  <w:vAlign w:val="center"/>
                </w:tcPr>
                <w:p w14:paraId="428A6FEA">
                  <w:pPr>
                    <w:widowControl/>
                    <w:adjustRightInd w:val="0"/>
                    <w:snapToGrid w:val="0"/>
                    <w:spacing w:line="320" w:lineRule="exact"/>
                    <w:jc w:val="center"/>
                    <w:rPr>
                      <w:szCs w:val="21"/>
                    </w:rPr>
                  </w:pPr>
                  <w:r>
                    <w:rPr>
                      <w:rFonts w:hint="eastAsia"/>
                      <w:szCs w:val="21"/>
                    </w:rPr>
                    <w:t>5</w:t>
                  </w:r>
                </w:p>
              </w:tc>
            </w:tr>
            <w:tr w14:paraId="37D1C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21465040">
                  <w:pPr>
                    <w:widowControl/>
                    <w:adjustRightInd w:val="0"/>
                    <w:snapToGrid w:val="0"/>
                    <w:spacing w:line="320" w:lineRule="exact"/>
                    <w:jc w:val="center"/>
                    <w:rPr>
                      <w:szCs w:val="21"/>
                    </w:rPr>
                  </w:pPr>
                  <w:r>
                    <w:rPr>
                      <w:rFonts w:hint="eastAsia"/>
                      <w:szCs w:val="21"/>
                    </w:rPr>
                    <w:t>19</w:t>
                  </w:r>
                </w:p>
              </w:tc>
              <w:tc>
                <w:tcPr>
                  <w:tcW w:w="1263" w:type="dxa"/>
                  <w:tcBorders>
                    <w:tl2br w:val="nil"/>
                    <w:tr2bl w:val="nil"/>
                  </w:tcBorders>
                  <w:vAlign w:val="center"/>
                </w:tcPr>
                <w:p w14:paraId="2464757D">
                  <w:pPr>
                    <w:widowControl/>
                    <w:adjustRightInd w:val="0"/>
                    <w:snapToGrid w:val="0"/>
                    <w:spacing w:line="320" w:lineRule="exact"/>
                    <w:jc w:val="center"/>
                    <w:rPr>
                      <w:szCs w:val="21"/>
                    </w:rPr>
                  </w:pPr>
                  <w:r>
                    <w:rPr>
                      <w:rFonts w:hint="eastAsia"/>
                      <w:szCs w:val="21"/>
                    </w:rPr>
                    <w:t>孙塘庄</w:t>
                  </w:r>
                </w:p>
              </w:tc>
              <w:tc>
                <w:tcPr>
                  <w:tcW w:w="1487" w:type="dxa"/>
                  <w:tcBorders>
                    <w:tl2br w:val="nil"/>
                    <w:tr2bl w:val="nil"/>
                  </w:tcBorders>
                  <w:vAlign w:val="center"/>
                </w:tcPr>
                <w:p w14:paraId="015E87BE">
                  <w:pPr>
                    <w:widowControl/>
                    <w:adjustRightInd w:val="0"/>
                    <w:snapToGrid w:val="0"/>
                    <w:spacing w:line="320" w:lineRule="exact"/>
                    <w:jc w:val="center"/>
                    <w:rPr>
                      <w:szCs w:val="21"/>
                    </w:rPr>
                  </w:pPr>
                  <w:r>
                    <w:rPr>
                      <w:szCs w:val="21"/>
                    </w:rPr>
                    <w:t>118.281394</w:t>
                  </w:r>
                  <w:r>
                    <w:rPr>
                      <w:rFonts w:hint="eastAsia"/>
                      <w:szCs w:val="21"/>
                    </w:rPr>
                    <w:t>°</w:t>
                  </w:r>
                </w:p>
              </w:tc>
              <w:tc>
                <w:tcPr>
                  <w:tcW w:w="1450" w:type="dxa"/>
                  <w:tcBorders>
                    <w:tl2br w:val="nil"/>
                    <w:tr2bl w:val="nil"/>
                  </w:tcBorders>
                  <w:vAlign w:val="center"/>
                </w:tcPr>
                <w:p w14:paraId="59E12D25">
                  <w:pPr>
                    <w:widowControl/>
                    <w:adjustRightInd w:val="0"/>
                    <w:snapToGrid w:val="0"/>
                    <w:spacing w:line="320" w:lineRule="exact"/>
                    <w:jc w:val="center"/>
                    <w:rPr>
                      <w:szCs w:val="21"/>
                    </w:rPr>
                  </w:pPr>
                  <w:r>
                    <w:rPr>
                      <w:szCs w:val="21"/>
                    </w:rPr>
                    <w:t>39.400304</w:t>
                  </w:r>
                  <w:r>
                    <w:rPr>
                      <w:rFonts w:hint="eastAsia"/>
                      <w:szCs w:val="21"/>
                    </w:rPr>
                    <w:t>°</w:t>
                  </w:r>
                </w:p>
              </w:tc>
              <w:tc>
                <w:tcPr>
                  <w:tcW w:w="688" w:type="dxa"/>
                  <w:vMerge w:val="continue"/>
                  <w:tcBorders>
                    <w:tl2br w:val="nil"/>
                    <w:tr2bl w:val="nil"/>
                  </w:tcBorders>
                  <w:vAlign w:val="center"/>
                </w:tcPr>
                <w:p w14:paraId="6CBC921F">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2145706D">
                  <w:pPr>
                    <w:widowControl/>
                    <w:adjustRightInd w:val="0"/>
                    <w:snapToGrid w:val="0"/>
                    <w:spacing w:line="320" w:lineRule="exact"/>
                    <w:jc w:val="center"/>
                    <w:rPr>
                      <w:szCs w:val="21"/>
                    </w:rPr>
                  </w:pPr>
                </w:p>
              </w:tc>
              <w:tc>
                <w:tcPr>
                  <w:tcW w:w="796" w:type="dxa"/>
                  <w:tcBorders>
                    <w:tl2br w:val="nil"/>
                    <w:tr2bl w:val="nil"/>
                  </w:tcBorders>
                  <w:vAlign w:val="center"/>
                </w:tcPr>
                <w:p w14:paraId="421BFFD0">
                  <w:pPr>
                    <w:widowControl/>
                    <w:adjustRightInd w:val="0"/>
                    <w:snapToGrid w:val="0"/>
                    <w:spacing w:line="320" w:lineRule="exact"/>
                    <w:jc w:val="center"/>
                    <w:rPr>
                      <w:szCs w:val="21"/>
                    </w:rPr>
                  </w:pPr>
                  <w:r>
                    <w:rPr>
                      <w:rFonts w:hint="eastAsia"/>
                      <w:szCs w:val="21"/>
                    </w:rPr>
                    <w:t>S</w:t>
                  </w:r>
                </w:p>
              </w:tc>
              <w:tc>
                <w:tcPr>
                  <w:tcW w:w="671" w:type="dxa"/>
                  <w:tcBorders>
                    <w:tl2br w:val="nil"/>
                    <w:tr2bl w:val="nil"/>
                  </w:tcBorders>
                  <w:vAlign w:val="center"/>
                </w:tcPr>
                <w:p w14:paraId="2C965389">
                  <w:pPr>
                    <w:widowControl/>
                    <w:adjustRightInd w:val="0"/>
                    <w:snapToGrid w:val="0"/>
                    <w:spacing w:line="320" w:lineRule="exact"/>
                    <w:jc w:val="center"/>
                    <w:rPr>
                      <w:szCs w:val="21"/>
                    </w:rPr>
                  </w:pPr>
                  <w:r>
                    <w:rPr>
                      <w:rFonts w:hint="eastAsia"/>
                      <w:szCs w:val="21"/>
                    </w:rPr>
                    <w:t>5</w:t>
                  </w:r>
                </w:p>
              </w:tc>
            </w:tr>
            <w:tr w14:paraId="145CC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4F8E6A68">
                  <w:pPr>
                    <w:widowControl/>
                    <w:adjustRightInd w:val="0"/>
                    <w:snapToGrid w:val="0"/>
                    <w:spacing w:line="320" w:lineRule="exact"/>
                    <w:jc w:val="center"/>
                    <w:rPr>
                      <w:szCs w:val="21"/>
                    </w:rPr>
                  </w:pPr>
                  <w:r>
                    <w:rPr>
                      <w:rFonts w:hint="eastAsia"/>
                      <w:szCs w:val="21"/>
                    </w:rPr>
                    <w:t>20</w:t>
                  </w:r>
                </w:p>
              </w:tc>
              <w:tc>
                <w:tcPr>
                  <w:tcW w:w="1263" w:type="dxa"/>
                  <w:tcBorders>
                    <w:tl2br w:val="nil"/>
                    <w:tr2bl w:val="nil"/>
                  </w:tcBorders>
                  <w:vAlign w:val="center"/>
                </w:tcPr>
                <w:p w14:paraId="6104B2EA">
                  <w:pPr>
                    <w:widowControl/>
                    <w:adjustRightInd w:val="0"/>
                    <w:snapToGrid w:val="0"/>
                    <w:spacing w:line="320" w:lineRule="exact"/>
                    <w:jc w:val="center"/>
                    <w:rPr>
                      <w:szCs w:val="21"/>
                    </w:rPr>
                  </w:pPr>
                  <w:r>
                    <w:rPr>
                      <w:szCs w:val="21"/>
                    </w:rPr>
                    <w:t>曹妃甸十里荷香景区</w:t>
                  </w:r>
                </w:p>
              </w:tc>
              <w:tc>
                <w:tcPr>
                  <w:tcW w:w="1487" w:type="dxa"/>
                  <w:tcBorders>
                    <w:tl2br w:val="nil"/>
                    <w:tr2bl w:val="nil"/>
                  </w:tcBorders>
                  <w:vAlign w:val="center"/>
                </w:tcPr>
                <w:p w14:paraId="11CBD217">
                  <w:pPr>
                    <w:widowControl/>
                    <w:adjustRightInd w:val="0"/>
                    <w:snapToGrid w:val="0"/>
                    <w:spacing w:line="320" w:lineRule="exact"/>
                    <w:jc w:val="center"/>
                    <w:rPr>
                      <w:szCs w:val="21"/>
                    </w:rPr>
                  </w:pPr>
                  <w:r>
                    <w:rPr>
                      <w:szCs w:val="21"/>
                    </w:rPr>
                    <w:t>118.377834°</w:t>
                  </w:r>
                </w:p>
              </w:tc>
              <w:tc>
                <w:tcPr>
                  <w:tcW w:w="1450" w:type="dxa"/>
                  <w:tcBorders>
                    <w:tl2br w:val="nil"/>
                    <w:tr2bl w:val="nil"/>
                  </w:tcBorders>
                  <w:vAlign w:val="center"/>
                </w:tcPr>
                <w:p w14:paraId="2A10DD6B">
                  <w:pPr>
                    <w:widowControl/>
                    <w:adjustRightInd w:val="0"/>
                    <w:snapToGrid w:val="0"/>
                    <w:spacing w:line="320" w:lineRule="exact"/>
                    <w:jc w:val="center"/>
                    <w:rPr>
                      <w:szCs w:val="21"/>
                    </w:rPr>
                  </w:pPr>
                  <w:r>
                    <w:rPr>
                      <w:szCs w:val="21"/>
                    </w:rPr>
                    <w:t>39.290991°</w:t>
                  </w:r>
                </w:p>
              </w:tc>
              <w:tc>
                <w:tcPr>
                  <w:tcW w:w="688" w:type="dxa"/>
                  <w:vMerge w:val="restart"/>
                  <w:tcBorders>
                    <w:tl2br w:val="nil"/>
                    <w:tr2bl w:val="nil"/>
                  </w:tcBorders>
                  <w:vAlign w:val="center"/>
                </w:tcPr>
                <w:p w14:paraId="00208495">
                  <w:pPr>
                    <w:widowControl/>
                    <w:adjustRightInd w:val="0"/>
                    <w:snapToGrid w:val="0"/>
                    <w:spacing w:line="320" w:lineRule="exact"/>
                    <w:jc w:val="center"/>
                    <w:rPr>
                      <w:szCs w:val="21"/>
                    </w:rPr>
                  </w:pPr>
                  <w:r>
                    <w:rPr>
                      <w:szCs w:val="21"/>
                    </w:rPr>
                    <w:t>风景名胜区</w:t>
                  </w:r>
                </w:p>
              </w:tc>
              <w:tc>
                <w:tcPr>
                  <w:tcW w:w="1135" w:type="dxa"/>
                  <w:vMerge w:val="restart"/>
                  <w:tcBorders>
                    <w:tl2br w:val="nil"/>
                    <w:tr2bl w:val="nil"/>
                  </w:tcBorders>
                  <w:vAlign w:val="center"/>
                </w:tcPr>
                <w:p w14:paraId="7E929214">
                  <w:pPr>
                    <w:widowControl/>
                    <w:adjustRightInd w:val="0"/>
                    <w:snapToGrid w:val="0"/>
                    <w:spacing w:line="320" w:lineRule="exact"/>
                    <w:jc w:val="center"/>
                    <w:rPr>
                      <w:szCs w:val="21"/>
                    </w:rPr>
                  </w:pPr>
                  <w:r>
                    <w:rPr>
                      <w:szCs w:val="21"/>
                    </w:rPr>
                    <w:t>环境空气质量一类区</w:t>
                  </w:r>
                </w:p>
              </w:tc>
              <w:tc>
                <w:tcPr>
                  <w:tcW w:w="796" w:type="dxa"/>
                  <w:tcBorders>
                    <w:tl2br w:val="nil"/>
                    <w:tr2bl w:val="nil"/>
                  </w:tcBorders>
                  <w:vAlign w:val="center"/>
                </w:tcPr>
                <w:p w14:paraId="6FA30F79">
                  <w:pPr>
                    <w:widowControl/>
                    <w:adjustRightInd w:val="0"/>
                    <w:snapToGrid w:val="0"/>
                    <w:spacing w:line="320" w:lineRule="exact"/>
                    <w:jc w:val="center"/>
                    <w:rPr>
                      <w:szCs w:val="21"/>
                    </w:rPr>
                  </w:pPr>
                  <w:r>
                    <w:rPr>
                      <w:szCs w:val="21"/>
                    </w:rPr>
                    <w:t>SE</w:t>
                  </w:r>
                </w:p>
              </w:tc>
              <w:tc>
                <w:tcPr>
                  <w:tcW w:w="671" w:type="dxa"/>
                  <w:tcBorders>
                    <w:tl2br w:val="nil"/>
                    <w:tr2bl w:val="nil"/>
                  </w:tcBorders>
                  <w:vAlign w:val="center"/>
                </w:tcPr>
                <w:p w14:paraId="7D369940">
                  <w:pPr>
                    <w:widowControl/>
                    <w:adjustRightInd w:val="0"/>
                    <w:snapToGrid w:val="0"/>
                    <w:spacing w:line="320" w:lineRule="exact"/>
                    <w:jc w:val="center"/>
                    <w:rPr>
                      <w:szCs w:val="21"/>
                    </w:rPr>
                  </w:pPr>
                  <w:r>
                    <w:rPr>
                      <w:szCs w:val="21"/>
                    </w:rPr>
                    <w:t>302</w:t>
                  </w:r>
                </w:p>
              </w:tc>
            </w:tr>
            <w:tr w14:paraId="0CA00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466BBD23">
                  <w:pPr>
                    <w:widowControl/>
                    <w:adjustRightInd w:val="0"/>
                    <w:snapToGrid w:val="0"/>
                    <w:spacing w:line="320" w:lineRule="exact"/>
                    <w:jc w:val="center"/>
                    <w:rPr>
                      <w:szCs w:val="21"/>
                    </w:rPr>
                  </w:pPr>
                  <w:r>
                    <w:rPr>
                      <w:rFonts w:hint="eastAsia"/>
                      <w:szCs w:val="21"/>
                    </w:rPr>
                    <w:t>21</w:t>
                  </w:r>
                </w:p>
              </w:tc>
              <w:tc>
                <w:tcPr>
                  <w:tcW w:w="1263" w:type="dxa"/>
                  <w:tcBorders>
                    <w:tl2br w:val="nil"/>
                    <w:tr2bl w:val="nil"/>
                  </w:tcBorders>
                  <w:vAlign w:val="center"/>
                </w:tcPr>
                <w:p w14:paraId="57CEC26D">
                  <w:pPr>
                    <w:widowControl/>
                    <w:adjustRightInd w:val="0"/>
                    <w:snapToGrid w:val="0"/>
                    <w:spacing w:line="320" w:lineRule="exact"/>
                    <w:jc w:val="center"/>
                    <w:rPr>
                      <w:szCs w:val="21"/>
                    </w:rPr>
                  </w:pPr>
                  <w:r>
                    <w:rPr>
                      <w:szCs w:val="21"/>
                    </w:rPr>
                    <w:t>曹妃甸十里海河豚小镇</w:t>
                  </w:r>
                </w:p>
              </w:tc>
              <w:tc>
                <w:tcPr>
                  <w:tcW w:w="1487" w:type="dxa"/>
                  <w:tcBorders>
                    <w:tl2br w:val="nil"/>
                    <w:tr2bl w:val="nil"/>
                  </w:tcBorders>
                  <w:vAlign w:val="center"/>
                </w:tcPr>
                <w:p w14:paraId="578B15A7">
                  <w:pPr>
                    <w:widowControl/>
                    <w:adjustRightInd w:val="0"/>
                    <w:snapToGrid w:val="0"/>
                    <w:spacing w:line="320" w:lineRule="exact"/>
                    <w:jc w:val="center"/>
                    <w:rPr>
                      <w:szCs w:val="21"/>
                    </w:rPr>
                  </w:pPr>
                  <w:r>
                    <w:rPr>
                      <w:szCs w:val="21"/>
                    </w:rPr>
                    <w:t>118.478869°</w:t>
                  </w:r>
                </w:p>
              </w:tc>
              <w:tc>
                <w:tcPr>
                  <w:tcW w:w="1450" w:type="dxa"/>
                  <w:tcBorders>
                    <w:tl2br w:val="nil"/>
                    <w:tr2bl w:val="nil"/>
                  </w:tcBorders>
                  <w:vAlign w:val="center"/>
                </w:tcPr>
                <w:p w14:paraId="7E82FD5F">
                  <w:pPr>
                    <w:widowControl/>
                    <w:adjustRightInd w:val="0"/>
                    <w:snapToGrid w:val="0"/>
                    <w:spacing w:line="320" w:lineRule="exact"/>
                    <w:jc w:val="center"/>
                    <w:rPr>
                      <w:szCs w:val="21"/>
                    </w:rPr>
                  </w:pPr>
                  <w:r>
                    <w:rPr>
                      <w:szCs w:val="21"/>
                    </w:rPr>
                    <w:t>39.155683°</w:t>
                  </w:r>
                </w:p>
              </w:tc>
              <w:tc>
                <w:tcPr>
                  <w:tcW w:w="688" w:type="dxa"/>
                  <w:vMerge w:val="continue"/>
                  <w:tcBorders>
                    <w:tl2br w:val="nil"/>
                    <w:tr2bl w:val="nil"/>
                  </w:tcBorders>
                  <w:vAlign w:val="center"/>
                </w:tcPr>
                <w:p w14:paraId="09A59DDD">
                  <w:pPr>
                    <w:widowControl/>
                    <w:adjustRightInd w:val="0"/>
                    <w:snapToGrid w:val="0"/>
                    <w:spacing w:line="320" w:lineRule="exact"/>
                    <w:jc w:val="center"/>
                    <w:rPr>
                      <w:szCs w:val="21"/>
                    </w:rPr>
                  </w:pPr>
                </w:p>
              </w:tc>
              <w:tc>
                <w:tcPr>
                  <w:tcW w:w="1135" w:type="dxa"/>
                  <w:vMerge w:val="continue"/>
                  <w:tcBorders>
                    <w:tl2br w:val="nil"/>
                    <w:tr2bl w:val="nil"/>
                  </w:tcBorders>
                  <w:vAlign w:val="center"/>
                </w:tcPr>
                <w:p w14:paraId="494FB175">
                  <w:pPr>
                    <w:widowControl/>
                    <w:adjustRightInd w:val="0"/>
                    <w:snapToGrid w:val="0"/>
                    <w:spacing w:line="320" w:lineRule="exact"/>
                    <w:jc w:val="center"/>
                    <w:rPr>
                      <w:szCs w:val="21"/>
                    </w:rPr>
                  </w:pPr>
                </w:p>
              </w:tc>
              <w:tc>
                <w:tcPr>
                  <w:tcW w:w="796" w:type="dxa"/>
                  <w:tcBorders>
                    <w:tl2br w:val="nil"/>
                    <w:tr2bl w:val="nil"/>
                  </w:tcBorders>
                  <w:vAlign w:val="center"/>
                </w:tcPr>
                <w:p w14:paraId="2CFA2C2E">
                  <w:pPr>
                    <w:widowControl/>
                    <w:adjustRightInd w:val="0"/>
                    <w:snapToGrid w:val="0"/>
                    <w:spacing w:line="320" w:lineRule="exact"/>
                    <w:jc w:val="center"/>
                    <w:rPr>
                      <w:szCs w:val="21"/>
                    </w:rPr>
                  </w:pPr>
                  <w:r>
                    <w:rPr>
                      <w:szCs w:val="21"/>
                    </w:rPr>
                    <w:t>SW</w:t>
                  </w:r>
                </w:p>
              </w:tc>
              <w:tc>
                <w:tcPr>
                  <w:tcW w:w="671" w:type="dxa"/>
                  <w:tcBorders>
                    <w:tl2br w:val="nil"/>
                    <w:tr2bl w:val="nil"/>
                  </w:tcBorders>
                  <w:vAlign w:val="center"/>
                </w:tcPr>
                <w:p w14:paraId="66667A93">
                  <w:pPr>
                    <w:widowControl/>
                    <w:adjustRightInd w:val="0"/>
                    <w:snapToGrid w:val="0"/>
                    <w:spacing w:line="320" w:lineRule="exact"/>
                    <w:jc w:val="center"/>
                    <w:rPr>
                      <w:szCs w:val="21"/>
                    </w:rPr>
                  </w:pPr>
                  <w:r>
                    <w:rPr>
                      <w:szCs w:val="21"/>
                    </w:rPr>
                    <w:t>376</w:t>
                  </w:r>
                </w:p>
              </w:tc>
            </w:tr>
            <w:tr w14:paraId="101E9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7" w:type="dxa"/>
                  <w:tcBorders>
                    <w:tl2br w:val="nil"/>
                    <w:tr2bl w:val="nil"/>
                  </w:tcBorders>
                  <w:vAlign w:val="center"/>
                </w:tcPr>
                <w:p w14:paraId="7A9DCD79">
                  <w:pPr>
                    <w:widowControl/>
                    <w:adjustRightInd w:val="0"/>
                    <w:snapToGrid w:val="0"/>
                    <w:spacing w:line="320" w:lineRule="exact"/>
                    <w:jc w:val="center"/>
                    <w:rPr>
                      <w:szCs w:val="21"/>
                    </w:rPr>
                  </w:pPr>
                  <w:r>
                    <w:rPr>
                      <w:rFonts w:hint="eastAsia"/>
                      <w:szCs w:val="21"/>
                    </w:rPr>
                    <w:t>22</w:t>
                  </w:r>
                </w:p>
              </w:tc>
              <w:tc>
                <w:tcPr>
                  <w:tcW w:w="1263" w:type="dxa"/>
                  <w:tcBorders>
                    <w:tl2br w:val="nil"/>
                    <w:tr2bl w:val="nil"/>
                  </w:tcBorders>
                  <w:vAlign w:val="center"/>
                </w:tcPr>
                <w:p w14:paraId="76959AAD">
                  <w:pPr>
                    <w:widowControl/>
                    <w:adjustRightInd w:val="0"/>
                    <w:snapToGrid w:val="0"/>
                    <w:spacing w:line="320" w:lineRule="exact"/>
                    <w:jc w:val="center"/>
                    <w:rPr>
                      <w:szCs w:val="21"/>
                    </w:rPr>
                  </w:pPr>
                  <w:r>
                    <w:rPr>
                      <w:szCs w:val="21"/>
                    </w:rPr>
                    <w:t>曹妃甸湿地和鸟类省级自然保护区</w:t>
                  </w:r>
                </w:p>
              </w:tc>
              <w:tc>
                <w:tcPr>
                  <w:tcW w:w="1487" w:type="dxa"/>
                  <w:tcBorders>
                    <w:tl2br w:val="nil"/>
                    <w:tr2bl w:val="nil"/>
                  </w:tcBorders>
                  <w:vAlign w:val="center"/>
                </w:tcPr>
                <w:p w14:paraId="759B7CC2">
                  <w:pPr>
                    <w:widowControl/>
                    <w:adjustRightInd w:val="0"/>
                    <w:snapToGrid w:val="0"/>
                    <w:spacing w:line="320" w:lineRule="exact"/>
                    <w:jc w:val="center"/>
                    <w:rPr>
                      <w:szCs w:val="21"/>
                    </w:rPr>
                  </w:pPr>
                  <w:r>
                    <w:rPr>
                      <w:szCs w:val="21"/>
                    </w:rPr>
                    <w:t>118.382367°</w:t>
                  </w:r>
                </w:p>
              </w:tc>
              <w:tc>
                <w:tcPr>
                  <w:tcW w:w="1450" w:type="dxa"/>
                  <w:tcBorders>
                    <w:tl2br w:val="nil"/>
                    <w:tr2bl w:val="nil"/>
                  </w:tcBorders>
                  <w:vAlign w:val="center"/>
                </w:tcPr>
                <w:p w14:paraId="53DBF6B3">
                  <w:pPr>
                    <w:widowControl/>
                    <w:adjustRightInd w:val="0"/>
                    <w:snapToGrid w:val="0"/>
                    <w:spacing w:line="320" w:lineRule="exact"/>
                    <w:jc w:val="center"/>
                    <w:rPr>
                      <w:szCs w:val="21"/>
                    </w:rPr>
                  </w:pPr>
                  <w:r>
                    <w:rPr>
                      <w:szCs w:val="21"/>
                    </w:rPr>
                    <w:t>39.256152°</w:t>
                  </w:r>
                </w:p>
              </w:tc>
              <w:tc>
                <w:tcPr>
                  <w:tcW w:w="688" w:type="dxa"/>
                  <w:tcBorders>
                    <w:tl2br w:val="nil"/>
                    <w:tr2bl w:val="nil"/>
                  </w:tcBorders>
                  <w:vAlign w:val="center"/>
                </w:tcPr>
                <w:p w14:paraId="4B68B3BB">
                  <w:pPr>
                    <w:widowControl/>
                    <w:adjustRightInd w:val="0"/>
                    <w:snapToGrid w:val="0"/>
                    <w:spacing w:line="320" w:lineRule="exact"/>
                    <w:jc w:val="center"/>
                    <w:rPr>
                      <w:szCs w:val="21"/>
                    </w:rPr>
                  </w:pPr>
                  <w:r>
                    <w:rPr>
                      <w:szCs w:val="21"/>
                    </w:rPr>
                    <w:t>自然保护区</w:t>
                  </w:r>
                </w:p>
              </w:tc>
              <w:tc>
                <w:tcPr>
                  <w:tcW w:w="1135" w:type="dxa"/>
                  <w:vMerge w:val="continue"/>
                  <w:tcBorders>
                    <w:tl2br w:val="nil"/>
                    <w:tr2bl w:val="nil"/>
                  </w:tcBorders>
                  <w:vAlign w:val="center"/>
                </w:tcPr>
                <w:p w14:paraId="6A89526D">
                  <w:pPr>
                    <w:widowControl/>
                    <w:adjustRightInd w:val="0"/>
                    <w:snapToGrid w:val="0"/>
                    <w:spacing w:line="320" w:lineRule="exact"/>
                    <w:jc w:val="center"/>
                    <w:rPr>
                      <w:szCs w:val="21"/>
                    </w:rPr>
                  </w:pPr>
                </w:p>
              </w:tc>
              <w:tc>
                <w:tcPr>
                  <w:tcW w:w="796" w:type="dxa"/>
                  <w:tcBorders>
                    <w:tl2br w:val="nil"/>
                    <w:tr2bl w:val="nil"/>
                  </w:tcBorders>
                  <w:vAlign w:val="center"/>
                </w:tcPr>
                <w:p w14:paraId="2BE23991">
                  <w:pPr>
                    <w:widowControl/>
                    <w:adjustRightInd w:val="0"/>
                    <w:snapToGrid w:val="0"/>
                    <w:spacing w:line="320" w:lineRule="exact"/>
                    <w:jc w:val="center"/>
                    <w:rPr>
                      <w:szCs w:val="21"/>
                    </w:rPr>
                  </w:pPr>
                  <w:r>
                    <w:rPr>
                      <w:szCs w:val="21"/>
                    </w:rPr>
                    <w:t>S</w:t>
                  </w:r>
                </w:p>
              </w:tc>
              <w:tc>
                <w:tcPr>
                  <w:tcW w:w="671" w:type="dxa"/>
                  <w:tcBorders>
                    <w:tl2br w:val="nil"/>
                    <w:tr2bl w:val="nil"/>
                  </w:tcBorders>
                  <w:vAlign w:val="center"/>
                </w:tcPr>
                <w:p w14:paraId="4C96732E">
                  <w:pPr>
                    <w:widowControl/>
                    <w:adjustRightInd w:val="0"/>
                    <w:snapToGrid w:val="0"/>
                    <w:spacing w:line="320" w:lineRule="exact"/>
                    <w:jc w:val="center"/>
                    <w:rPr>
                      <w:szCs w:val="21"/>
                    </w:rPr>
                  </w:pPr>
                  <w:r>
                    <w:rPr>
                      <w:szCs w:val="21"/>
                    </w:rPr>
                    <w:t>8</w:t>
                  </w:r>
                </w:p>
              </w:tc>
            </w:tr>
          </w:tbl>
          <w:p w14:paraId="5A3EDC91">
            <w:pPr>
              <w:widowControl/>
              <w:adjustRightInd w:val="0"/>
              <w:snapToGrid w:val="0"/>
              <w:spacing w:line="480" w:lineRule="exact"/>
              <w:rPr>
                <w:b/>
                <w:bCs/>
                <w:sz w:val="24"/>
              </w:rPr>
            </w:pPr>
            <w:r>
              <w:rPr>
                <w:rFonts w:hint="eastAsia"/>
                <w:b/>
                <w:bCs/>
                <w:sz w:val="24"/>
              </w:rPr>
              <w:t>2、水环境保护目标</w:t>
            </w:r>
          </w:p>
          <w:p w14:paraId="334876B1">
            <w:pPr>
              <w:widowControl/>
              <w:adjustRightInd w:val="0"/>
              <w:snapToGrid w:val="0"/>
              <w:spacing w:line="480" w:lineRule="exact"/>
              <w:ind w:firstLine="480" w:firstLineChars="200"/>
              <w:rPr>
                <w:b/>
                <w:bCs/>
                <w:sz w:val="24"/>
              </w:rPr>
            </w:pPr>
            <w:r>
              <w:rPr>
                <w:rFonts w:hint="eastAsia"/>
                <w:sz w:val="24"/>
              </w:rPr>
              <w:t>项目施工期评价范围内无水环境保护目标。</w:t>
            </w:r>
          </w:p>
          <w:p w14:paraId="67724515">
            <w:pPr>
              <w:widowControl/>
              <w:adjustRightInd w:val="0"/>
              <w:snapToGrid w:val="0"/>
              <w:spacing w:line="480" w:lineRule="exact"/>
              <w:rPr>
                <w:b/>
                <w:bCs/>
                <w:sz w:val="24"/>
              </w:rPr>
            </w:pPr>
            <w:r>
              <w:rPr>
                <w:rFonts w:hint="eastAsia"/>
                <w:b/>
                <w:bCs/>
                <w:sz w:val="24"/>
              </w:rPr>
              <w:t>3、声环境保护目标</w:t>
            </w:r>
          </w:p>
          <w:p w14:paraId="45FABD67">
            <w:pPr>
              <w:widowControl/>
              <w:adjustRightInd w:val="0"/>
              <w:snapToGrid w:val="0"/>
              <w:spacing w:line="480" w:lineRule="exact"/>
              <w:ind w:firstLine="480" w:firstLineChars="200"/>
              <w:rPr>
                <w:sz w:val="24"/>
              </w:rPr>
            </w:pPr>
            <w:r>
              <w:rPr>
                <w:rFonts w:hint="eastAsia"/>
                <w:sz w:val="24"/>
              </w:rPr>
              <w:t>控制本项目施工期噪声，使其满足《建筑施工场界环境噪声排放标准》（GB12523-2011）噪声限值。确保本项目建成后不降低周围声环境标准。项目所在区域属1类声环境功能区，结合施工期噪声预测结果，本项目周围声环境保护目标主要为：拟建项目50m范围内环境敏感点。</w:t>
            </w:r>
          </w:p>
          <w:p w14:paraId="413430E4">
            <w:pPr>
              <w:widowControl/>
              <w:adjustRightInd w:val="0"/>
              <w:snapToGrid w:val="0"/>
              <w:spacing w:line="480" w:lineRule="exact"/>
              <w:jc w:val="center"/>
              <w:rPr>
                <w:b/>
                <w:bCs/>
                <w:sz w:val="24"/>
              </w:rPr>
            </w:pPr>
            <w:r>
              <w:rPr>
                <w:b/>
                <w:bCs/>
                <w:szCs w:val="21"/>
              </w:rPr>
              <w:t>表3-</w:t>
            </w:r>
            <w:r>
              <w:rPr>
                <w:rFonts w:hint="eastAsia"/>
                <w:b/>
                <w:bCs/>
                <w:szCs w:val="21"/>
              </w:rPr>
              <w:t>8</w:t>
            </w:r>
            <w:r>
              <w:rPr>
                <w:b/>
                <w:bCs/>
                <w:szCs w:val="21"/>
              </w:rPr>
              <w:t xml:space="preserve"> </w:t>
            </w:r>
            <w:r>
              <w:rPr>
                <w:rFonts w:hint="eastAsia"/>
                <w:b/>
                <w:bCs/>
                <w:szCs w:val="21"/>
              </w:rPr>
              <w:t xml:space="preserve">  </w:t>
            </w:r>
            <w:r>
              <w:rPr>
                <w:b/>
                <w:bCs/>
                <w:szCs w:val="21"/>
              </w:rPr>
              <w:t>项目施工期</w:t>
            </w:r>
            <w:r>
              <w:rPr>
                <w:rFonts w:hint="eastAsia"/>
                <w:b/>
                <w:bCs/>
                <w:szCs w:val="21"/>
              </w:rPr>
              <w:t>声</w:t>
            </w:r>
            <w:r>
              <w:rPr>
                <w:b/>
                <w:bCs/>
                <w:szCs w:val="21"/>
              </w:rPr>
              <w:t>环境保护目标一览表</w:t>
            </w:r>
          </w:p>
          <w:tbl>
            <w:tblPr>
              <w:tblStyle w:val="33"/>
              <w:tblW w:w="79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87"/>
              <w:gridCol w:w="1425"/>
              <w:gridCol w:w="1360"/>
              <w:gridCol w:w="785"/>
              <w:gridCol w:w="911"/>
              <w:gridCol w:w="1027"/>
              <w:gridCol w:w="707"/>
            </w:tblGrid>
            <w:tr w14:paraId="452A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35" w:type="dxa"/>
                  <w:vMerge w:val="restart"/>
                  <w:tcBorders>
                    <w:tl2br w:val="nil"/>
                    <w:tr2bl w:val="nil"/>
                  </w:tcBorders>
                  <w:vAlign w:val="center"/>
                </w:tcPr>
                <w:p w14:paraId="720ADC36">
                  <w:pPr>
                    <w:widowControl/>
                    <w:adjustRightInd w:val="0"/>
                    <w:snapToGrid w:val="0"/>
                    <w:spacing w:line="320" w:lineRule="exact"/>
                    <w:jc w:val="center"/>
                    <w:rPr>
                      <w:szCs w:val="21"/>
                    </w:rPr>
                  </w:pPr>
                  <w:r>
                    <w:rPr>
                      <w:szCs w:val="21"/>
                    </w:rPr>
                    <w:t>序号</w:t>
                  </w:r>
                </w:p>
              </w:tc>
              <w:tc>
                <w:tcPr>
                  <w:tcW w:w="1187" w:type="dxa"/>
                  <w:vMerge w:val="restart"/>
                  <w:tcBorders>
                    <w:tl2br w:val="nil"/>
                    <w:tr2bl w:val="nil"/>
                  </w:tcBorders>
                  <w:vAlign w:val="center"/>
                </w:tcPr>
                <w:p w14:paraId="125EC122">
                  <w:pPr>
                    <w:widowControl/>
                    <w:adjustRightInd w:val="0"/>
                    <w:snapToGrid w:val="0"/>
                    <w:spacing w:line="320" w:lineRule="exact"/>
                    <w:jc w:val="center"/>
                    <w:rPr>
                      <w:szCs w:val="21"/>
                    </w:rPr>
                  </w:pPr>
                  <w:r>
                    <w:rPr>
                      <w:szCs w:val="21"/>
                    </w:rPr>
                    <w:t>保护目标</w:t>
                  </w:r>
                </w:p>
              </w:tc>
              <w:tc>
                <w:tcPr>
                  <w:tcW w:w="2785" w:type="dxa"/>
                  <w:gridSpan w:val="2"/>
                  <w:tcBorders>
                    <w:tl2br w:val="nil"/>
                    <w:tr2bl w:val="nil"/>
                  </w:tcBorders>
                  <w:vAlign w:val="center"/>
                </w:tcPr>
                <w:p w14:paraId="005CC0AC">
                  <w:pPr>
                    <w:widowControl/>
                    <w:adjustRightInd w:val="0"/>
                    <w:snapToGrid w:val="0"/>
                    <w:spacing w:line="320" w:lineRule="exact"/>
                    <w:jc w:val="center"/>
                    <w:rPr>
                      <w:szCs w:val="21"/>
                    </w:rPr>
                  </w:pPr>
                  <w:r>
                    <w:rPr>
                      <w:szCs w:val="21"/>
                    </w:rPr>
                    <w:t>坐标</w:t>
                  </w:r>
                </w:p>
              </w:tc>
              <w:tc>
                <w:tcPr>
                  <w:tcW w:w="785" w:type="dxa"/>
                  <w:vMerge w:val="restart"/>
                  <w:tcBorders>
                    <w:tl2br w:val="nil"/>
                    <w:tr2bl w:val="nil"/>
                  </w:tcBorders>
                  <w:vAlign w:val="center"/>
                </w:tcPr>
                <w:p w14:paraId="1A7C14A9">
                  <w:pPr>
                    <w:widowControl/>
                    <w:adjustRightInd w:val="0"/>
                    <w:snapToGrid w:val="0"/>
                    <w:spacing w:line="320" w:lineRule="exact"/>
                    <w:jc w:val="center"/>
                    <w:rPr>
                      <w:szCs w:val="21"/>
                    </w:rPr>
                  </w:pPr>
                  <w:r>
                    <w:rPr>
                      <w:szCs w:val="21"/>
                    </w:rPr>
                    <w:t>保护对象</w:t>
                  </w:r>
                </w:p>
              </w:tc>
              <w:tc>
                <w:tcPr>
                  <w:tcW w:w="911" w:type="dxa"/>
                  <w:vMerge w:val="restart"/>
                  <w:tcBorders>
                    <w:tl2br w:val="nil"/>
                    <w:tr2bl w:val="nil"/>
                  </w:tcBorders>
                  <w:vAlign w:val="center"/>
                </w:tcPr>
                <w:p w14:paraId="3C72CC3A">
                  <w:pPr>
                    <w:widowControl/>
                    <w:adjustRightInd w:val="0"/>
                    <w:snapToGrid w:val="0"/>
                    <w:spacing w:line="320" w:lineRule="exact"/>
                    <w:jc w:val="center"/>
                    <w:rPr>
                      <w:szCs w:val="21"/>
                    </w:rPr>
                  </w:pPr>
                  <w:r>
                    <w:rPr>
                      <w:szCs w:val="21"/>
                    </w:rPr>
                    <w:t>环境功能区</w:t>
                  </w:r>
                </w:p>
              </w:tc>
              <w:tc>
                <w:tcPr>
                  <w:tcW w:w="1027" w:type="dxa"/>
                  <w:vMerge w:val="restart"/>
                  <w:tcBorders>
                    <w:tl2br w:val="nil"/>
                    <w:tr2bl w:val="nil"/>
                  </w:tcBorders>
                  <w:vAlign w:val="center"/>
                </w:tcPr>
                <w:p w14:paraId="46330935">
                  <w:pPr>
                    <w:widowControl/>
                    <w:adjustRightInd w:val="0"/>
                    <w:snapToGrid w:val="0"/>
                    <w:spacing w:line="320" w:lineRule="exact"/>
                    <w:jc w:val="center"/>
                    <w:rPr>
                      <w:szCs w:val="21"/>
                    </w:rPr>
                  </w:pPr>
                  <w:r>
                    <w:rPr>
                      <w:szCs w:val="21"/>
                    </w:rPr>
                    <w:t>相对方位</w:t>
                  </w:r>
                </w:p>
              </w:tc>
              <w:tc>
                <w:tcPr>
                  <w:tcW w:w="707" w:type="dxa"/>
                  <w:vMerge w:val="restart"/>
                  <w:tcBorders>
                    <w:tl2br w:val="nil"/>
                    <w:tr2bl w:val="nil"/>
                  </w:tcBorders>
                  <w:vAlign w:val="center"/>
                </w:tcPr>
                <w:p w14:paraId="07BC8AC2">
                  <w:pPr>
                    <w:widowControl/>
                    <w:adjustRightInd w:val="0"/>
                    <w:snapToGrid w:val="0"/>
                    <w:spacing w:line="320" w:lineRule="exact"/>
                    <w:jc w:val="center"/>
                    <w:rPr>
                      <w:szCs w:val="21"/>
                    </w:rPr>
                  </w:pPr>
                  <w:r>
                    <w:rPr>
                      <w:szCs w:val="21"/>
                    </w:rPr>
                    <w:t>距离/m</w:t>
                  </w:r>
                </w:p>
              </w:tc>
            </w:tr>
            <w:tr w14:paraId="7A4DE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535" w:type="dxa"/>
                  <w:vMerge w:val="continue"/>
                  <w:tcBorders>
                    <w:tl2br w:val="nil"/>
                    <w:tr2bl w:val="nil"/>
                  </w:tcBorders>
                  <w:vAlign w:val="center"/>
                </w:tcPr>
                <w:p w14:paraId="05635639">
                  <w:pPr>
                    <w:widowControl/>
                    <w:adjustRightInd w:val="0"/>
                    <w:snapToGrid w:val="0"/>
                    <w:spacing w:line="320" w:lineRule="exact"/>
                    <w:jc w:val="center"/>
                    <w:rPr>
                      <w:szCs w:val="21"/>
                    </w:rPr>
                  </w:pPr>
                </w:p>
              </w:tc>
              <w:tc>
                <w:tcPr>
                  <w:tcW w:w="1187" w:type="dxa"/>
                  <w:vMerge w:val="continue"/>
                  <w:tcBorders>
                    <w:tl2br w:val="nil"/>
                    <w:tr2bl w:val="nil"/>
                  </w:tcBorders>
                  <w:vAlign w:val="center"/>
                </w:tcPr>
                <w:p w14:paraId="77E9B586">
                  <w:pPr>
                    <w:widowControl/>
                    <w:adjustRightInd w:val="0"/>
                    <w:snapToGrid w:val="0"/>
                    <w:spacing w:line="320" w:lineRule="exact"/>
                    <w:jc w:val="center"/>
                    <w:rPr>
                      <w:szCs w:val="21"/>
                    </w:rPr>
                  </w:pPr>
                </w:p>
              </w:tc>
              <w:tc>
                <w:tcPr>
                  <w:tcW w:w="1425" w:type="dxa"/>
                  <w:tcBorders>
                    <w:tl2br w:val="nil"/>
                    <w:tr2bl w:val="nil"/>
                  </w:tcBorders>
                  <w:vAlign w:val="center"/>
                </w:tcPr>
                <w:p w14:paraId="44038ABD">
                  <w:pPr>
                    <w:widowControl/>
                    <w:adjustRightInd w:val="0"/>
                    <w:snapToGrid w:val="0"/>
                    <w:spacing w:line="320" w:lineRule="exact"/>
                    <w:jc w:val="center"/>
                    <w:rPr>
                      <w:szCs w:val="21"/>
                    </w:rPr>
                  </w:pPr>
                  <w:r>
                    <w:rPr>
                      <w:szCs w:val="21"/>
                    </w:rPr>
                    <w:t>东经</w:t>
                  </w:r>
                </w:p>
              </w:tc>
              <w:tc>
                <w:tcPr>
                  <w:tcW w:w="1360" w:type="dxa"/>
                  <w:tcBorders>
                    <w:tl2br w:val="nil"/>
                    <w:tr2bl w:val="nil"/>
                  </w:tcBorders>
                  <w:vAlign w:val="center"/>
                </w:tcPr>
                <w:p w14:paraId="0BE073C2">
                  <w:pPr>
                    <w:widowControl/>
                    <w:adjustRightInd w:val="0"/>
                    <w:snapToGrid w:val="0"/>
                    <w:spacing w:line="320" w:lineRule="exact"/>
                    <w:jc w:val="center"/>
                    <w:rPr>
                      <w:szCs w:val="21"/>
                    </w:rPr>
                  </w:pPr>
                  <w:r>
                    <w:rPr>
                      <w:szCs w:val="21"/>
                    </w:rPr>
                    <w:t>北纬</w:t>
                  </w:r>
                </w:p>
              </w:tc>
              <w:tc>
                <w:tcPr>
                  <w:tcW w:w="785" w:type="dxa"/>
                  <w:vMerge w:val="continue"/>
                  <w:tcBorders>
                    <w:tl2br w:val="nil"/>
                    <w:tr2bl w:val="nil"/>
                  </w:tcBorders>
                  <w:vAlign w:val="center"/>
                </w:tcPr>
                <w:p w14:paraId="2403D3A7">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3531C9B0">
                  <w:pPr>
                    <w:widowControl/>
                    <w:adjustRightInd w:val="0"/>
                    <w:snapToGrid w:val="0"/>
                    <w:spacing w:line="320" w:lineRule="exact"/>
                    <w:jc w:val="center"/>
                    <w:rPr>
                      <w:szCs w:val="21"/>
                    </w:rPr>
                  </w:pPr>
                </w:p>
              </w:tc>
              <w:tc>
                <w:tcPr>
                  <w:tcW w:w="1027" w:type="dxa"/>
                  <w:vMerge w:val="continue"/>
                  <w:tcBorders>
                    <w:tl2br w:val="nil"/>
                    <w:tr2bl w:val="nil"/>
                  </w:tcBorders>
                  <w:vAlign w:val="center"/>
                </w:tcPr>
                <w:p w14:paraId="08296B9A">
                  <w:pPr>
                    <w:widowControl/>
                    <w:adjustRightInd w:val="0"/>
                    <w:snapToGrid w:val="0"/>
                    <w:spacing w:line="320" w:lineRule="exact"/>
                    <w:jc w:val="center"/>
                    <w:rPr>
                      <w:szCs w:val="21"/>
                    </w:rPr>
                  </w:pPr>
                </w:p>
              </w:tc>
              <w:tc>
                <w:tcPr>
                  <w:tcW w:w="707" w:type="dxa"/>
                  <w:vMerge w:val="continue"/>
                  <w:tcBorders>
                    <w:tl2br w:val="nil"/>
                    <w:tr2bl w:val="nil"/>
                  </w:tcBorders>
                  <w:vAlign w:val="center"/>
                </w:tcPr>
                <w:p w14:paraId="48C36663">
                  <w:pPr>
                    <w:widowControl/>
                    <w:adjustRightInd w:val="0"/>
                    <w:snapToGrid w:val="0"/>
                    <w:spacing w:line="320" w:lineRule="exact"/>
                    <w:jc w:val="center"/>
                    <w:rPr>
                      <w:szCs w:val="21"/>
                    </w:rPr>
                  </w:pPr>
                </w:p>
              </w:tc>
            </w:tr>
            <w:tr w14:paraId="76120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2F82C1AF">
                  <w:pPr>
                    <w:widowControl/>
                    <w:adjustRightInd w:val="0"/>
                    <w:snapToGrid w:val="0"/>
                    <w:spacing w:line="320" w:lineRule="exact"/>
                    <w:jc w:val="center"/>
                    <w:rPr>
                      <w:szCs w:val="21"/>
                    </w:rPr>
                  </w:pPr>
                  <w:r>
                    <w:rPr>
                      <w:szCs w:val="21"/>
                    </w:rPr>
                    <w:t>1</w:t>
                  </w:r>
                </w:p>
              </w:tc>
              <w:tc>
                <w:tcPr>
                  <w:tcW w:w="1187" w:type="dxa"/>
                  <w:tcBorders>
                    <w:tl2br w:val="nil"/>
                    <w:tr2bl w:val="nil"/>
                  </w:tcBorders>
                  <w:vAlign w:val="center"/>
                </w:tcPr>
                <w:p w14:paraId="5796F69B">
                  <w:pPr>
                    <w:widowControl/>
                    <w:adjustRightInd w:val="0"/>
                    <w:snapToGrid w:val="0"/>
                    <w:spacing w:line="320" w:lineRule="exact"/>
                    <w:jc w:val="center"/>
                    <w:rPr>
                      <w:szCs w:val="21"/>
                    </w:rPr>
                  </w:pPr>
                  <w:r>
                    <w:rPr>
                      <w:szCs w:val="21"/>
                    </w:rPr>
                    <w:t>十农场</w:t>
                  </w:r>
                </w:p>
              </w:tc>
              <w:tc>
                <w:tcPr>
                  <w:tcW w:w="1425" w:type="dxa"/>
                  <w:tcBorders>
                    <w:tl2br w:val="nil"/>
                    <w:tr2bl w:val="nil"/>
                  </w:tcBorders>
                  <w:vAlign w:val="center"/>
                </w:tcPr>
                <w:p w14:paraId="1C80C2DB">
                  <w:pPr>
                    <w:widowControl/>
                    <w:adjustRightInd w:val="0"/>
                    <w:snapToGrid w:val="0"/>
                    <w:spacing w:line="320" w:lineRule="exact"/>
                    <w:jc w:val="center"/>
                    <w:rPr>
                      <w:szCs w:val="21"/>
                    </w:rPr>
                  </w:pPr>
                  <w:r>
                    <w:rPr>
                      <w:szCs w:val="21"/>
                    </w:rPr>
                    <w:t>118.339485°</w:t>
                  </w:r>
                </w:p>
              </w:tc>
              <w:tc>
                <w:tcPr>
                  <w:tcW w:w="1360" w:type="dxa"/>
                  <w:tcBorders>
                    <w:tl2br w:val="nil"/>
                    <w:tr2bl w:val="nil"/>
                  </w:tcBorders>
                  <w:vAlign w:val="center"/>
                </w:tcPr>
                <w:p w14:paraId="1641B2CF">
                  <w:pPr>
                    <w:widowControl/>
                    <w:adjustRightInd w:val="0"/>
                    <w:snapToGrid w:val="0"/>
                    <w:spacing w:line="320" w:lineRule="exact"/>
                    <w:jc w:val="center"/>
                    <w:rPr>
                      <w:szCs w:val="21"/>
                    </w:rPr>
                  </w:pPr>
                  <w:r>
                    <w:rPr>
                      <w:szCs w:val="21"/>
                    </w:rPr>
                    <w:t>39.326054°</w:t>
                  </w:r>
                </w:p>
              </w:tc>
              <w:tc>
                <w:tcPr>
                  <w:tcW w:w="785" w:type="dxa"/>
                  <w:vMerge w:val="restart"/>
                  <w:tcBorders>
                    <w:tl2br w:val="nil"/>
                    <w:tr2bl w:val="nil"/>
                  </w:tcBorders>
                  <w:vAlign w:val="center"/>
                </w:tcPr>
                <w:p w14:paraId="10756C7C">
                  <w:pPr>
                    <w:widowControl/>
                    <w:adjustRightInd w:val="0"/>
                    <w:snapToGrid w:val="0"/>
                    <w:spacing w:line="320" w:lineRule="exact"/>
                    <w:jc w:val="center"/>
                    <w:rPr>
                      <w:szCs w:val="21"/>
                    </w:rPr>
                  </w:pPr>
                  <w:r>
                    <w:rPr>
                      <w:szCs w:val="21"/>
                    </w:rPr>
                    <w:t>居住区-居民</w:t>
                  </w:r>
                </w:p>
              </w:tc>
              <w:tc>
                <w:tcPr>
                  <w:tcW w:w="911" w:type="dxa"/>
                  <w:vMerge w:val="restart"/>
                  <w:tcBorders>
                    <w:tl2br w:val="nil"/>
                    <w:tr2bl w:val="nil"/>
                  </w:tcBorders>
                  <w:vAlign w:val="center"/>
                </w:tcPr>
                <w:p w14:paraId="33117AAD">
                  <w:pPr>
                    <w:widowControl/>
                    <w:adjustRightInd w:val="0"/>
                    <w:snapToGrid w:val="0"/>
                    <w:spacing w:line="320" w:lineRule="exact"/>
                    <w:jc w:val="center"/>
                    <w:rPr>
                      <w:szCs w:val="21"/>
                    </w:rPr>
                  </w:pPr>
                  <w:r>
                    <w:rPr>
                      <w:szCs w:val="21"/>
                    </w:rPr>
                    <w:t>1类声环境功能区</w:t>
                  </w:r>
                </w:p>
              </w:tc>
              <w:tc>
                <w:tcPr>
                  <w:tcW w:w="1027" w:type="dxa"/>
                  <w:tcBorders>
                    <w:tl2br w:val="nil"/>
                    <w:tr2bl w:val="nil"/>
                  </w:tcBorders>
                  <w:vAlign w:val="center"/>
                </w:tcPr>
                <w:p w14:paraId="1395A866">
                  <w:pPr>
                    <w:widowControl/>
                    <w:adjustRightInd w:val="0"/>
                    <w:snapToGrid w:val="0"/>
                    <w:spacing w:line="320" w:lineRule="exact"/>
                    <w:jc w:val="center"/>
                    <w:rPr>
                      <w:szCs w:val="21"/>
                    </w:rPr>
                  </w:pPr>
                  <w:r>
                    <w:rPr>
                      <w:szCs w:val="21"/>
                    </w:rPr>
                    <w:t>N/W</w:t>
                  </w:r>
                </w:p>
              </w:tc>
              <w:tc>
                <w:tcPr>
                  <w:tcW w:w="707" w:type="dxa"/>
                  <w:tcBorders>
                    <w:tl2br w:val="nil"/>
                    <w:tr2bl w:val="nil"/>
                  </w:tcBorders>
                  <w:vAlign w:val="center"/>
                </w:tcPr>
                <w:p w14:paraId="4A1B9392">
                  <w:pPr>
                    <w:widowControl/>
                    <w:adjustRightInd w:val="0"/>
                    <w:snapToGrid w:val="0"/>
                    <w:spacing w:line="320" w:lineRule="exact"/>
                    <w:jc w:val="center"/>
                    <w:rPr>
                      <w:szCs w:val="21"/>
                    </w:rPr>
                  </w:pPr>
                  <w:r>
                    <w:rPr>
                      <w:szCs w:val="21"/>
                    </w:rPr>
                    <w:t>10</w:t>
                  </w:r>
                </w:p>
              </w:tc>
            </w:tr>
            <w:tr w14:paraId="1AAA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3CD0E9F8">
                  <w:pPr>
                    <w:widowControl/>
                    <w:adjustRightInd w:val="0"/>
                    <w:snapToGrid w:val="0"/>
                    <w:spacing w:line="320" w:lineRule="exact"/>
                    <w:jc w:val="center"/>
                    <w:rPr>
                      <w:szCs w:val="21"/>
                    </w:rPr>
                  </w:pPr>
                  <w:r>
                    <w:rPr>
                      <w:szCs w:val="21"/>
                    </w:rPr>
                    <w:t>2</w:t>
                  </w:r>
                </w:p>
              </w:tc>
              <w:tc>
                <w:tcPr>
                  <w:tcW w:w="1187" w:type="dxa"/>
                  <w:tcBorders>
                    <w:tl2br w:val="nil"/>
                    <w:tr2bl w:val="nil"/>
                  </w:tcBorders>
                  <w:vAlign w:val="center"/>
                </w:tcPr>
                <w:p w14:paraId="6CB1BE41">
                  <w:pPr>
                    <w:widowControl/>
                    <w:adjustRightInd w:val="0"/>
                    <w:snapToGrid w:val="0"/>
                    <w:spacing w:line="320" w:lineRule="exact"/>
                    <w:jc w:val="center"/>
                    <w:rPr>
                      <w:szCs w:val="21"/>
                    </w:rPr>
                  </w:pPr>
                  <w:r>
                    <w:rPr>
                      <w:szCs w:val="21"/>
                    </w:rPr>
                    <w:t>四农场</w:t>
                  </w:r>
                </w:p>
              </w:tc>
              <w:tc>
                <w:tcPr>
                  <w:tcW w:w="1425" w:type="dxa"/>
                  <w:tcBorders>
                    <w:tl2br w:val="nil"/>
                    <w:tr2bl w:val="nil"/>
                  </w:tcBorders>
                  <w:vAlign w:val="center"/>
                </w:tcPr>
                <w:p w14:paraId="137D2508">
                  <w:pPr>
                    <w:widowControl/>
                    <w:adjustRightInd w:val="0"/>
                    <w:snapToGrid w:val="0"/>
                    <w:spacing w:line="320" w:lineRule="exact"/>
                    <w:jc w:val="center"/>
                    <w:rPr>
                      <w:szCs w:val="21"/>
                    </w:rPr>
                  </w:pPr>
                  <w:r>
                    <w:rPr>
                      <w:szCs w:val="21"/>
                    </w:rPr>
                    <w:t>118.403510°</w:t>
                  </w:r>
                </w:p>
              </w:tc>
              <w:tc>
                <w:tcPr>
                  <w:tcW w:w="1360" w:type="dxa"/>
                  <w:tcBorders>
                    <w:tl2br w:val="nil"/>
                    <w:tr2bl w:val="nil"/>
                  </w:tcBorders>
                  <w:vAlign w:val="center"/>
                </w:tcPr>
                <w:p w14:paraId="308B399E">
                  <w:pPr>
                    <w:widowControl/>
                    <w:adjustRightInd w:val="0"/>
                    <w:snapToGrid w:val="0"/>
                    <w:spacing w:line="320" w:lineRule="exact"/>
                    <w:jc w:val="center"/>
                    <w:rPr>
                      <w:szCs w:val="21"/>
                    </w:rPr>
                  </w:pPr>
                  <w:r>
                    <w:rPr>
                      <w:szCs w:val="21"/>
                    </w:rPr>
                    <w:t>39.246057°</w:t>
                  </w:r>
                </w:p>
              </w:tc>
              <w:tc>
                <w:tcPr>
                  <w:tcW w:w="785" w:type="dxa"/>
                  <w:vMerge w:val="continue"/>
                  <w:tcBorders>
                    <w:tl2br w:val="nil"/>
                    <w:tr2bl w:val="nil"/>
                  </w:tcBorders>
                  <w:vAlign w:val="center"/>
                </w:tcPr>
                <w:p w14:paraId="636B051E">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2D65B715">
                  <w:pPr>
                    <w:widowControl/>
                    <w:adjustRightInd w:val="0"/>
                    <w:snapToGrid w:val="0"/>
                    <w:spacing w:line="320" w:lineRule="exact"/>
                    <w:jc w:val="center"/>
                    <w:rPr>
                      <w:szCs w:val="21"/>
                    </w:rPr>
                  </w:pPr>
                </w:p>
              </w:tc>
              <w:tc>
                <w:tcPr>
                  <w:tcW w:w="1027" w:type="dxa"/>
                  <w:tcBorders>
                    <w:tl2br w:val="nil"/>
                    <w:tr2bl w:val="nil"/>
                  </w:tcBorders>
                  <w:vAlign w:val="center"/>
                </w:tcPr>
                <w:p w14:paraId="7EB217A5">
                  <w:pPr>
                    <w:widowControl/>
                    <w:adjustRightInd w:val="0"/>
                    <w:snapToGrid w:val="0"/>
                    <w:spacing w:line="320" w:lineRule="exact"/>
                    <w:jc w:val="center"/>
                    <w:rPr>
                      <w:szCs w:val="21"/>
                    </w:rPr>
                  </w:pPr>
                  <w:r>
                    <w:rPr>
                      <w:szCs w:val="21"/>
                    </w:rPr>
                    <w:t>S</w:t>
                  </w:r>
                </w:p>
              </w:tc>
              <w:tc>
                <w:tcPr>
                  <w:tcW w:w="707" w:type="dxa"/>
                  <w:tcBorders>
                    <w:tl2br w:val="nil"/>
                    <w:tr2bl w:val="nil"/>
                  </w:tcBorders>
                  <w:vAlign w:val="center"/>
                </w:tcPr>
                <w:p w14:paraId="7AF2E8A9">
                  <w:pPr>
                    <w:widowControl/>
                    <w:adjustRightInd w:val="0"/>
                    <w:snapToGrid w:val="0"/>
                    <w:spacing w:line="320" w:lineRule="exact"/>
                    <w:jc w:val="center"/>
                    <w:rPr>
                      <w:szCs w:val="21"/>
                    </w:rPr>
                  </w:pPr>
                  <w:r>
                    <w:rPr>
                      <w:szCs w:val="21"/>
                    </w:rPr>
                    <w:t>5</w:t>
                  </w:r>
                </w:p>
              </w:tc>
            </w:tr>
            <w:tr w14:paraId="4D520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75409B18">
                  <w:pPr>
                    <w:widowControl/>
                    <w:adjustRightInd w:val="0"/>
                    <w:snapToGrid w:val="0"/>
                    <w:spacing w:line="320" w:lineRule="exact"/>
                    <w:jc w:val="center"/>
                    <w:rPr>
                      <w:szCs w:val="21"/>
                    </w:rPr>
                  </w:pPr>
                  <w:r>
                    <w:rPr>
                      <w:szCs w:val="21"/>
                    </w:rPr>
                    <w:t>3</w:t>
                  </w:r>
                </w:p>
              </w:tc>
              <w:tc>
                <w:tcPr>
                  <w:tcW w:w="1187" w:type="dxa"/>
                  <w:tcBorders>
                    <w:tl2br w:val="nil"/>
                    <w:tr2bl w:val="nil"/>
                  </w:tcBorders>
                  <w:vAlign w:val="center"/>
                </w:tcPr>
                <w:p w14:paraId="5D44E7DD">
                  <w:pPr>
                    <w:widowControl/>
                    <w:adjustRightInd w:val="0"/>
                    <w:snapToGrid w:val="0"/>
                    <w:spacing w:line="320" w:lineRule="exact"/>
                    <w:jc w:val="center"/>
                    <w:rPr>
                      <w:szCs w:val="21"/>
                    </w:rPr>
                  </w:pPr>
                  <w:r>
                    <w:rPr>
                      <w:szCs w:val="21"/>
                    </w:rPr>
                    <w:t>坨东村</w:t>
                  </w:r>
                </w:p>
              </w:tc>
              <w:tc>
                <w:tcPr>
                  <w:tcW w:w="1425" w:type="dxa"/>
                  <w:tcBorders>
                    <w:tl2br w:val="nil"/>
                    <w:tr2bl w:val="nil"/>
                  </w:tcBorders>
                  <w:vAlign w:val="center"/>
                </w:tcPr>
                <w:p w14:paraId="469C331E">
                  <w:pPr>
                    <w:widowControl/>
                    <w:adjustRightInd w:val="0"/>
                    <w:snapToGrid w:val="0"/>
                    <w:spacing w:line="320" w:lineRule="exact"/>
                    <w:jc w:val="center"/>
                    <w:rPr>
                      <w:szCs w:val="21"/>
                    </w:rPr>
                  </w:pPr>
                  <w:r>
                    <w:rPr>
                      <w:szCs w:val="21"/>
                    </w:rPr>
                    <w:t>118.437086°</w:t>
                  </w:r>
                </w:p>
              </w:tc>
              <w:tc>
                <w:tcPr>
                  <w:tcW w:w="1360" w:type="dxa"/>
                  <w:tcBorders>
                    <w:tl2br w:val="nil"/>
                    <w:tr2bl w:val="nil"/>
                  </w:tcBorders>
                  <w:vAlign w:val="center"/>
                </w:tcPr>
                <w:p w14:paraId="102FD82A">
                  <w:pPr>
                    <w:widowControl/>
                    <w:adjustRightInd w:val="0"/>
                    <w:snapToGrid w:val="0"/>
                    <w:spacing w:line="320" w:lineRule="exact"/>
                    <w:jc w:val="center"/>
                    <w:rPr>
                      <w:szCs w:val="21"/>
                    </w:rPr>
                  </w:pPr>
                  <w:r>
                    <w:rPr>
                      <w:szCs w:val="21"/>
                    </w:rPr>
                    <w:t>39.198394°</w:t>
                  </w:r>
                </w:p>
              </w:tc>
              <w:tc>
                <w:tcPr>
                  <w:tcW w:w="785" w:type="dxa"/>
                  <w:vMerge w:val="continue"/>
                  <w:tcBorders>
                    <w:tl2br w:val="nil"/>
                    <w:tr2bl w:val="nil"/>
                  </w:tcBorders>
                  <w:vAlign w:val="center"/>
                </w:tcPr>
                <w:p w14:paraId="6F3A433C">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7040D363">
                  <w:pPr>
                    <w:widowControl/>
                    <w:adjustRightInd w:val="0"/>
                    <w:snapToGrid w:val="0"/>
                    <w:spacing w:line="320" w:lineRule="exact"/>
                    <w:jc w:val="center"/>
                    <w:rPr>
                      <w:szCs w:val="21"/>
                    </w:rPr>
                  </w:pPr>
                </w:p>
              </w:tc>
              <w:tc>
                <w:tcPr>
                  <w:tcW w:w="1027" w:type="dxa"/>
                  <w:tcBorders>
                    <w:tl2br w:val="nil"/>
                    <w:tr2bl w:val="nil"/>
                  </w:tcBorders>
                  <w:vAlign w:val="center"/>
                </w:tcPr>
                <w:p w14:paraId="7FEF7588">
                  <w:pPr>
                    <w:widowControl/>
                    <w:adjustRightInd w:val="0"/>
                    <w:snapToGrid w:val="0"/>
                    <w:spacing w:line="320" w:lineRule="exact"/>
                    <w:jc w:val="center"/>
                    <w:rPr>
                      <w:szCs w:val="21"/>
                    </w:rPr>
                  </w:pPr>
                  <w:r>
                    <w:rPr>
                      <w:szCs w:val="21"/>
                    </w:rPr>
                    <w:t>E</w:t>
                  </w:r>
                </w:p>
              </w:tc>
              <w:tc>
                <w:tcPr>
                  <w:tcW w:w="707" w:type="dxa"/>
                  <w:tcBorders>
                    <w:tl2br w:val="nil"/>
                    <w:tr2bl w:val="nil"/>
                  </w:tcBorders>
                  <w:vAlign w:val="center"/>
                </w:tcPr>
                <w:p w14:paraId="44E8E1B5">
                  <w:pPr>
                    <w:widowControl/>
                    <w:adjustRightInd w:val="0"/>
                    <w:snapToGrid w:val="0"/>
                    <w:spacing w:line="320" w:lineRule="exact"/>
                    <w:jc w:val="center"/>
                    <w:rPr>
                      <w:szCs w:val="21"/>
                    </w:rPr>
                  </w:pPr>
                  <w:r>
                    <w:rPr>
                      <w:szCs w:val="21"/>
                    </w:rPr>
                    <w:t>38</w:t>
                  </w:r>
                </w:p>
              </w:tc>
            </w:tr>
            <w:tr w14:paraId="763B4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67AB0F75">
                  <w:pPr>
                    <w:widowControl/>
                    <w:adjustRightInd w:val="0"/>
                    <w:snapToGrid w:val="0"/>
                    <w:spacing w:line="320" w:lineRule="exact"/>
                    <w:jc w:val="center"/>
                    <w:rPr>
                      <w:szCs w:val="21"/>
                    </w:rPr>
                  </w:pPr>
                  <w:r>
                    <w:rPr>
                      <w:szCs w:val="21"/>
                    </w:rPr>
                    <w:t>4</w:t>
                  </w:r>
                </w:p>
              </w:tc>
              <w:tc>
                <w:tcPr>
                  <w:tcW w:w="1187" w:type="dxa"/>
                  <w:tcBorders>
                    <w:tl2br w:val="nil"/>
                    <w:tr2bl w:val="nil"/>
                  </w:tcBorders>
                  <w:vAlign w:val="center"/>
                </w:tcPr>
                <w:p w14:paraId="05E6BA73">
                  <w:pPr>
                    <w:widowControl/>
                    <w:adjustRightInd w:val="0"/>
                    <w:snapToGrid w:val="0"/>
                    <w:spacing w:line="320" w:lineRule="exact"/>
                    <w:jc w:val="center"/>
                    <w:rPr>
                      <w:szCs w:val="21"/>
                    </w:rPr>
                  </w:pPr>
                  <w:r>
                    <w:rPr>
                      <w:szCs w:val="21"/>
                    </w:rPr>
                    <w:t>十里海养殖村</w:t>
                  </w:r>
                </w:p>
              </w:tc>
              <w:tc>
                <w:tcPr>
                  <w:tcW w:w="1425" w:type="dxa"/>
                  <w:tcBorders>
                    <w:tl2br w:val="nil"/>
                    <w:tr2bl w:val="nil"/>
                  </w:tcBorders>
                  <w:vAlign w:val="center"/>
                </w:tcPr>
                <w:p w14:paraId="27D8016F">
                  <w:pPr>
                    <w:widowControl/>
                    <w:adjustRightInd w:val="0"/>
                    <w:snapToGrid w:val="0"/>
                    <w:spacing w:line="320" w:lineRule="exact"/>
                    <w:jc w:val="center"/>
                    <w:rPr>
                      <w:szCs w:val="21"/>
                    </w:rPr>
                  </w:pPr>
                  <w:r>
                    <w:rPr>
                      <w:szCs w:val="21"/>
                    </w:rPr>
                    <w:t>118.481128°</w:t>
                  </w:r>
                </w:p>
              </w:tc>
              <w:tc>
                <w:tcPr>
                  <w:tcW w:w="1360" w:type="dxa"/>
                  <w:tcBorders>
                    <w:tl2br w:val="nil"/>
                    <w:tr2bl w:val="nil"/>
                  </w:tcBorders>
                  <w:vAlign w:val="center"/>
                </w:tcPr>
                <w:p w14:paraId="4BB30FDE">
                  <w:pPr>
                    <w:widowControl/>
                    <w:adjustRightInd w:val="0"/>
                    <w:snapToGrid w:val="0"/>
                    <w:spacing w:line="320" w:lineRule="exact"/>
                    <w:jc w:val="center"/>
                    <w:rPr>
                      <w:szCs w:val="21"/>
                    </w:rPr>
                  </w:pPr>
                  <w:r>
                    <w:rPr>
                      <w:szCs w:val="21"/>
                    </w:rPr>
                    <w:t>39.159808°</w:t>
                  </w:r>
                </w:p>
              </w:tc>
              <w:tc>
                <w:tcPr>
                  <w:tcW w:w="785" w:type="dxa"/>
                  <w:vMerge w:val="continue"/>
                  <w:tcBorders>
                    <w:tl2br w:val="nil"/>
                    <w:tr2bl w:val="nil"/>
                  </w:tcBorders>
                  <w:vAlign w:val="center"/>
                </w:tcPr>
                <w:p w14:paraId="1ACDB1B0">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16DCB3F9">
                  <w:pPr>
                    <w:widowControl/>
                    <w:adjustRightInd w:val="0"/>
                    <w:snapToGrid w:val="0"/>
                    <w:spacing w:line="320" w:lineRule="exact"/>
                    <w:jc w:val="center"/>
                    <w:rPr>
                      <w:szCs w:val="21"/>
                    </w:rPr>
                  </w:pPr>
                </w:p>
              </w:tc>
              <w:tc>
                <w:tcPr>
                  <w:tcW w:w="1027" w:type="dxa"/>
                  <w:tcBorders>
                    <w:tl2br w:val="nil"/>
                    <w:tr2bl w:val="nil"/>
                  </w:tcBorders>
                  <w:vAlign w:val="center"/>
                </w:tcPr>
                <w:p w14:paraId="31F8C591">
                  <w:pPr>
                    <w:widowControl/>
                    <w:adjustRightInd w:val="0"/>
                    <w:snapToGrid w:val="0"/>
                    <w:spacing w:line="320" w:lineRule="exact"/>
                    <w:jc w:val="center"/>
                    <w:rPr>
                      <w:szCs w:val="21"/>
                    </w:rPr>
                  </w:pPr>
                  <w:r>
                    <w:rPr>
                      <w:szCs w:val="21"/>
                    </w:rPr>
                    <w:t>SW</w:t>
                  </w:r>
                </w:p>
              </w:tc>
              <w:tc>
                <w:tcPr>
                  <w:tcW w:w="707" w:type="dxa"/>
                  <w:tcBorders>
                    <w:tl2br w:val="nil"/>
                    <w:tr2bl w:val="nil"/>
                  </w:tcBorders>
                  <w:vAlign w:val="center"/>
                </w:tcPr>
                <w:p w14:paraId="60AA4B9D">
                  <w:pPr>
                    <w:widowControl/>
                    <w:adjustRightInd w:val="0"/>
                    <w:snapToGrid w:val="0"/>
                    <w:spacing w:line="320" w:lineRule="exact"/>
                    <w:jc w:val="center"/>
                    <w:rPr>
                      <w:szCs w:val="21"/>
                    </w:rPr>
                  </w:pPr>
                  <w:r>
                    <w:rPr>
                      <w:szCs w:val="21"/>
                    </w:rPr>
                    <w:t>40</w:t>
                  </w:r>
                </w:p>
              </w:tc>
            </w:tr>
            <w:tr w14:paraId="315D7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shd w:val="clear" w:color="auto" w:fill="auto"/>
                  <w:vAlign w:val="center"/>
                </w:tcPr>
                <w:p w14:paraId="5ECC451A">
                  <w:pPr>
                    <w:widowControl/>
                    <w:adjustRightInd w:val="0"/>
                    <w:snapToGrid w:val="0"/>
                    <w:spacing w:line="320" w:lineRule="exact"/>
                    <w:jc w:val="center"/>
                    <w:rPr>
                      <w:szCs w:val="21"/>
                    </w:rPr>
                  </w:pPr>
                  <w:r>
                    <w:rPr>
                      <w:szCs w:val="21"/>
                    </w:rPr>
                    <w:t>5</w:t>
                  </w:r>
                </w:p>
              </w:tc>
              <w:tc>
                <w:tcPr>
                  <w:tcW w:w="1187" w:type="dxa"/>
                  <w:tcBorders>
                    <w:tl2br w:val="nil"/>
                    <w:tr2bl w:val="nil"/>
                  </w:tcBorders>
                  <w:shd w:val="clear" w:color="auto" w:fill="auto"/>
                  <w:vAlign w:val="center"/>
                </w:tcPr>
                <w:p w14:paraId="7437196F">
                  <w:pPr>
                    <w:widowControl/>
                    <w:adjustRightInd w:val="0"/>
                    <w:snapToGrid w:val="0"/>
                    <w:spacing w:line="320" w:lineRule="exact"/>
                    <w:jc w:val="center"/>
                    <w:rPr>
                      <w:szCs w:val="21"/>
                    </w:rPr>
                  </w:pPr>
                  <w:r>
                    <w:rPr>
                      <w:szCs w:val="21"/>
                    </w:rPr>
                    <w:t>八农场</w:t>
                  </w:r>
                </w:p>
              </w:tc>
              <w:tc>
                <w:tcPr>
                  <w:tcW w:w="1425" w:type="dxa"/>
                  <w:tcBorders>
                    <w:tl2br w:val="nil"/>
                    <w:tr2bl w:val="nil"/>
                  </w:tcBorders>
                  <w:shd w:val="clear" w:color="auto" w:fill="auto"/>
                  <w:vAlign w:val="center"/>
                </w:tcPr>
                <w:p w14:paraId="6D8F8E7D">
                  <w:pPr>
                    <w:widowControl/>
                    <w:adjustRightInd w:val="0"/>
                    <w:snapToGrid w:val="0"/>
                    <w:spacing w:line="320" w:lineRule="exact"/>
                    <w:jc w:val="center"/>
                    <w:rPr>
                      <w:szCs w:val="21"/>
                    </w:rPr>
                  </w:pPr>
                  <w:r>
                    <w:rPr>
                      <w:szCs w:val="21"/>
                    </w:rPr>
                    <w:t>118.291097°</w:t>
                  </w:r>
                </w:p>
              </w:tc>
              <w:tc>
                <w:tcPr>
                  <w:tcW w:w="1360" w:type="dxa"/>
                  <w:tcBorders>
                    <w:tl2br w:val="nil"/>
                    <w:tr2bl w:val="nil"/>
                  </w:tcBorders>
                  <w:shd w:val="clear" w:color="auto" w:fill="auto"/>
                  <w:vAlign w:val="center"/>
                </w:tcPr>
                <w:p w14:paraId="08C0A05A">
                  <w:pPr>
                    <w:widowControl/>
                    <w:adjustRightInd w:val="0"/>
                    <w:snapToGrid w:val="0"/>
                    <w:spacing w:line="320" w:lineRule="exact"/>
                    <w:jc w:val="center"/>
                    <w:rPr>
                      <w:szCs w:val="21"/>
                    </w:rPr>
                  </w:pPr>
                  <w:r>
                    <w:rPr>
                      <w:szCs w:val="21"/>
                    </w:rPr>
                    <w:t>39.372747°</w:t>
                  </w:r>
                </w:p>
              </w:tc>
              <w:tc>
                <w:tcPr>
                  <w:tcW w:w="785" w:type="dxa"/>
                  <w:vMerge w:val="continue"/>
                  <w:tcBorders>
                    <w:tl2br w:val="nil"/>
                    <w:tr2bl w:val="nil"/>
                  </w:tcBorders>
                  <w:vAlign w:val="center"/>
                </w:tcPr>
                <w:p w14:paraId="3D910B4A">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12BA2B95">
                  <w:pPr>
                    <w:widowControl/>
                    <w:adjustRightInd w:val="0"/>
                    <w:snapToGrid w:val="0"/>
                    <w:spacing w:line="320" w:lineRule="exact"/>
                    <w:jc w:val="center"/>
                    <w:rPr>
                      <w:szCs w:val="21"/>
                    </w:rPr>
                  </w:pPr>
                </w:p>
              </w:tc>
              <w:tc>
                <w:tcPr>
                  <w:tcW w:w="1027" w:type="dxa"/>
                  <w:tcBorders>
                    <w:tl2br w:val="nil"/>
                    <w:tr2bl w:val="nil"/>
                  </w:tcBorders>
                  <w:shd w:val="clear" w:color="auto" w:fill="auto"/>
                  <w:vAlign w:val="center"/>
                </w:tcPr>
                <w:p w14:paraId="64FEF1B3">
                  <w:pPr>
                    <w:widowControl/>
                    <w:adjustRightInd w:val="0"/>
                    <w:snapToGrid w:val="0"/>
                    <w:spacing w:line="320" w:lineRule="exact"/>
                    <w:jc w:val="center"/>
                    <w:rPr>
                      <w:szCs w:val="21"/>
                    </w:rPr>
                  </w:pPr>
                  <w:r>
                    <w:rPr>
                      <w:szCs w:val="21"/>
                    </w:rPr>
                    <w:t>S</w:t>
                  </w:r>
                </w:p>
              </w:tc>
              <w:tc>
                <w:tcPr>
                  <w:tcW w:w="707" w:type="dxa"/>
                  <w:tcBorders>
                    <w:tl2br w:val="nil"/>
                    <w:tr2bl w:val="nil"/>
                  </w:tcBorders>
                  <w:shd w:val="clear" w:color="auto" w:fill="auto"/>
                  <w:vAlign w:val="center"/>
                </w:tcPr>
                <w:p w14:paraId="0274C7E5">
                  <w:pPr>
                    <w:widowControl/>
                    <w:adjustRightInd w:val="0"/>
                    <w:snapToGrid w:val="0"/>
                    <w:spacing w:line="320" w:lineRule="exact"/>
                    <w:jc w:val="center"/>
                    <w:rPr>
                      <w:szCs w:val="21"/>
                    </w:rPr>
                  </w:pPr>
                  <w:r>
                    <w:rPr>
                      <w:szCs w:val="21"/>
                    </w:rPr>
                    <w:t>34</w:t>
                  </w:r>
                </w:p>
              </w:tc>
            </w:tr>
            <w:tr w14:paraId="22A20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12B99D96">
                  <w:pPr>
                    <w:widowControl/>
                    <w:adjustRightInd w:val="0"/>
                    <w:snapToGrid w:val="0"/>
                    <w:spacing w:line="320" w:lineRule="exact"/>
                    <w:jc w:val="center"/>
                    <w:rPr>
                      <w:szCs w:val="21"/>
                    </w:rPr>
                  </w:pPr>
                  <w:r>
                    <w:rPr>
                      <w:szCs w:val="21"/>
                    </w:rPr>
                    <w:t>6</w:t>
                  </w:r>
                </w:p>
              </w:tc>
              <w:tc>
                <w:tcPr>
                  <w:tcW w:w="1187" w:type="dxa"/>
                  <w:tcBorders>
                    <w:tl2br w:val="nil"/>
                    <w:tr2bl w:val="nil"/>
                  </w:tcBorders>
                  <w:vAlign w:val="center"/>
                </w:tcPr>
                <w:p w14:paraId="2F0E2D21">
                  <w:pPr>
                    <w:widowControl/>
                    <w:adjustRightInd w:val="0"/>
                    <w:snapToGrid w:val="0"/>
                    <w:spacing w:line="320" w:lineRule="exact"/>
                    <w:jc w:val="center"/>
                    <w:rPr>
                      <w:szCs w:val="21"/>
                    </w:rPr>
                  </w:pPr>
                  <w:r>
                    <w:rPr>
                      <w:szCs w:val="21"/>
                    </w:rPr>
                    <w:t>石匠庄</w:t>
                  </w:r>
                </w:p>
              </w:tc>
              <w:tc>
                <w:tcPr>
                  <w:tcW w:w="1425" w:type="dxa"/>
                  <w:tcBorders>
                    <w:tl2br w:val="nil"/>
                    <w:tr2bl w:val="nil"/>
                  </w:tcBorders>
                  <w:vAlign w:val="center"/>
                </w:tcPr>
                <w:p w14:paraId="6D3F88C7">
                  <w:pPr>
                    <w:widowControl/>
                    <w:adjustRightInd w:val="0"/>
                    <w:snapToGrid w:val="0"/>
                    <w:spacing w:line="320" w:lineRule="exact"/>
                    <w:jc w:val="center"/>
                    <w:rPr>
                      <w:szCs w:val="21"/>
                    </w:rPr>
                  </w:pPr>
                  <w:r>
                    <w:rPr>
                      <w:szCs w:val="21"/>
                    </w:rPr>
                    <w:t>118.288071°</w:t>
                  </w:r>
                </w:p>
              </w:tc>
              <w:tc>
                <w:tcPr>
                  <w:tcW w:w="1360" w:type="dxa"/>
                  <w:tcBorders>
                    <w:tl2br w:val="nil"/>
                    <w:tr2bl w:val="nil"/>
                  </w:tcBorders>
                  <w:vAlign w:val="center"/>
                </w:tcPr>
                <w:p w14:paraId="5EAE1A6F">
                  <w:pPr>
                    <w:widowControl/>
                    <w:adjustRightInd w:val="0"/>
                    <w:snapToGrid w:val="0"/>
                    <w:spacing w:line="320" w:lineRule="exact"/>
                    <w:jc w:val="center"/>
                    <w:rPr>
                      <w:szCs w:val="21"/>
                    </w:rPr>
                  </w:pPr>
                  <w:r>
                    <w:rPr>
                      <w:szCs w:val="21"/>
                    </w:rPr>
                    <w:t>39.401469°</w:t>
                  </w:r>
                </w:p>
              </w:tc>
              <w:tc>
                <w:tcPr>
                  <w:tcW w:w="785" w:type="dxa"/>
                  <w:vMerge w:val="continue"/>
                  <w:tcBorders>
                    <w:tl2br w:val="nil"/>
                    <w:tr2bl w:val="nil"/>
                  </w:tcBorders>
                  <w:vAlign w:val="center"/>
                </w:tcPr>
                <w:p w14:paraId="1C8DAF7D">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06AA5171">
                  <w:pPr>
                    <w:widowControl/>
                    <w:adjustRightInd w:val="0"/>
                    <w:snapToGrid w:val="0"/>
                    <w:spacing w:line="320" w:lineRule="exact"/>
                    <w:jc w:val="center"/>
                    <w:rPr>
                      <w:szCs w:val="21"/>
                    </w:rPr>
                  </w:pPr>
                </w:p>
              </w:tc>
              <w:tc>
                <w:tcPr>
                  <w:tcW w:w="1027" w:type="dxa"/>
                  <w:tcBorders>
                    <w:tl2br w:val="nil"/>
                    <w:tr2bl w:val="nil"/>
                  </w:tcBorders>
                  <w:vAlign w:val="center"/>
                </w:tcPr>
                <w:p w14:paraId="0AA670F2">
                  <w:pPr>
                    <w:widowControl/>
                    <w:adjustRightInd w:val="0"/>
                    <w:snapToGrid w:val="0"/>
                    <w:spacing w:line="320" w:lineRule="exact"/>
                    <w:jc w:val="center"/>
                    <w:rPr>
                      <w:szCs w:val="21"/>
                    </w:rPr>
                  </w:pPr>
                  <w:r>
                    <w:rPr>
                      <w:szCs w:val="21"/>
                    </w:rPr>
                    <w:t>S</w:t>
                  </w:r>
                </w:p>
              </w:tc>
              <w:tc>
                <w:tcPr>
                  <w:tcW w:w="707" w:type="dxa"/>
                  <w:tcBorders>
                    <w:tl2br w:val="nil"/>
                    <w:tr2bl w:val="nil"/>
                  </w:tcBorders>
                  <w:vAlign w:val="center"/>
                </w:tcPr>
                <w:p w14:paraId="3F7EE362">
                  <w:pPr>
                    <w:widowControl/>
                    <w:adjustRightInd w:val="0"/>
                    <w:snapToGrid w:val="0"/>
                    <w:spacing w:line="320" w:lineRule="exact"/>
                    <w:jc w:val="center"/>
                    <w:rPr>
                      <w:szCs w:val="21"/>
                    </w:rPr>
                  </w:pPr>
                  <w:r>
                    <w:rPr>
                      <w:szCs w:val="21"/>
                    </w:rPr>
                    <w:t>5</w:t>
                  </w:r>
                </w:p>
              </w:tc>
            </w:tr>
            <w:tr w14:paraId="263A0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5" w:type="dxa"/>
                  <w:tcBorders>
                    <w:tl2br w:val="nil"/>
                    <w:tr2bl w:val="nil"/>
                  </w:tcBorders>
                  <w:vAlign w:val="center"/>
                </w:tcPr>
                <w:p w14:paraId="39588218">
                  <w:pPr>
                    <w:widowControl/>
                    <w:adjustRightInd w:val="0"/>
                    <w:snapToGrid w:val="0"/>
                    <w:spacing w:line="320" w:lineRule="exact"/>
                    <w:jc w:val="center"/>
                    <w:rPr>
                      <w:szCs w:val="21"/>
                    </w:rPr>
                  </w:pPr>
                  <w:r>
                    <w:rPr>
                      <w:szCs w:val="21"/>
                    </w:rPr>
                    <w:t>7</w:t>
                  </w:r>
                </w:p>
              </w:tc>
              <w:tc>
                <w:tcPr>
                  <w:tcW w:w="1187" w:type="dxa"/>
                  <w:tcBorders>
                    <w:tl2br w:val="nil"/>
                    <w:tr2bl w:val="nil"/>
                  </w:tcBorders>
                  <w:vAlign w:val="center"/>
                </w:tcPr>
                <w:p w14:paraId="5A82E40F">
                  <w:pPr>
                    <w:widowControl/>
                    <w:adjustRightInd w:val="0"/>
                    <w:snapToGrid w:val="0"/>
                    <w:spacing w:line="320" w:lineRule="exact"/>
                    <w:jc w:val="center"/>
                    <w:rPr>
                      <w:szCs w:val="21"/>
                    </w:rPr>
                  </w:pPr>
                  <w:r>
                    <w:rPr>
                      <w:szCs w:val="21"/>
                    </w:rPr>
                    <w:t>孙塘庄</w:t>
                  </w:r>
                </w:p>
              </w:tc>
              <w:tc>
                <w:tcPr>
                  <w:tcW w:w="1425" w:type="dxa"/>
                  <w:tcBorders>
                    <w:tl2br w:val="nil"/>
                    <w:tr2bl w:val="nil"/>
                  </w:tcBorders>
                  <w:vAlign w:val="center"/>
                </w:tcPr>
                <w:p w14:paraId="0D8F6A1E">
                  <w:pPr>
                    <w:widowControl/>
                    <w:adjustRightInd w:val="0"/>
                    <w:snapToGrid w:val="0"/>
                    <w:spacing w:line="320" w:lineRule="exact"/>
                    <w:jc w:val="center"/>
                    <w:rPr>
                      <w:szCs w:val="21"/>
                    </w:rPr>
                  </w:pPr>
                  <w:r>
                    <w:rPr>
                      <w:szCs w:val="21"/>
                    </w:rPr>
                    <w:t>118.281394°</w:t>
                  </w:r>
                </w:p>
              </w:tc>
              <w:tc>
                <w:tcPr>
                  <w:tcW w:w="1360" w:type="dxa"/>
                  <w:tcBorders>
                    <w:tl2br w:val="nil"/>
                    <w:tr2bl w:val="nil"/>
                  </w:tcBorders>
                  <w:vAlign w:val="center"/>
                </w:tcPr>
                <w:p w14:paraId="6238DCE0">
                  <w:pPr>
                    <w:widowControl/>
                    <w:adjustRightInd w:val="0"/>
                    <w:snapToGrid w:val="0"/>
                    <w:spacing w:line="320" w:lineRule="exact"/>
                    <w:jc w:val="center"/>
                    <w:rPr>
                      <w:szCs w:val="21"/>
                    </w:rPr>
                  </w:pPr>
                  <w:r>
                    <w:rPr>
                      <w:szCs w:val="21"/>
                    </w:rPr>
                    <w:t>39.400304°</w:t>
                  </w:r>
                </w:p>
              </w:tc>
              <w:tc>
                <w:tcPr>
                  <w:tcW w:w="785" w:type="dxa"/>
                  <w:vMerge w:val="continue"/>
                  <w:tcBorders>
                    <w:tl2br w:val="nil"/>
                    <w:tr2bl w:val="nil"/>
                  </w:tcBorders>
                  <w:vAlign w:val="center"/>
                </w:tcPr>
                <w:p w14:paraId="3CA12A15">
                  <w:pPr>
                    <w:widowControl/>
                    <w:adjustRightInd w:val="0"/>
                    <w:snapToGrid w:val="0"/>
                    <w:spacing w:line="320" w:lineRule="exact"/>
                    <w:jc w:val="center"/>
                    <w:rPr>
                      <w:szCs w:val="21"/>
                    </w:rPr>
                  </w:pPr>
                </w:p>
              </w:tc>
              <w:tc>
                <w:tcPr>
                  <w:tcW w:w="911" w:type="dxa"/>
                  <w:vMerge w:val="continue"/>
                  <w:tcBorders>
                    <w:tl2br w:val="nil"/>
                    <w:tr2bl w:val="nil"/>
                  </w:tcBorders>
                  <w:vAlign w:val="center"/>
                </w:tcPr>
                <w:p w14:paraId="6F0FC984">
                  <w:pPr>
                    <w:widowControl/>
                    <w:adjustRightInd w:val="0"/>
                    <w:snapToGrid w:val="0"/>
                    <w:spacing w:line="320" w:lineRule="exact"/>
                    <w:jc w:val="center"/>
                    <w:rPr>
                      <w:szCs w:val="21"/>
                    </w:rPr>
                  </w:pPr>
                </w:p>
              </w:tc>
              <w:tc>
                <w:tcPr>
                  <w:tcW w:w="1027" w:type="dxa"/>
                  <w:tcBorders>
                    <w:tl2br w:val="nil"/>
                    <w:tr2bl w:val="nil"/>
                  </w:tcBorders>
                  <w:vAlign w:val="center"/>
                </w:tcPr>
                <w:p w14:paraId="765DCE24">
                  <w:pPr>
                    <w:widowControl/>
                    <w:adjustRightInd w:val="0"/>
                    <w:snapToGrid w:val="0"/>
                    <w:spacing w:line="320" w:lineRule="exact"/>
                    <w:jc w:val="center"/>
                    <w:rPr>
                      <w:szCs w:val="21"/>
                    </w:rPr>
                  </w:pPr>
                  <w:r>
                    <w:rPr>
                      <w:szCs w:val="21"/>
                    </w:rPr>
                    <w:t>S</w:t>
                  </w:r>
                </w:p>
              </w:tc>
              <w:tc>
                <w:tcPr>
                  <w:tcW w:w="707" w:type="dxa"/>
                  <w:tcBorders>
                    <w:tl2br w:val="nil"/>
                    <w:tr2bl w:val="nil"/>
                  </w:tcBorders>
                  <w:vAlign w:val="center"/>
                </w:tcPr>
                <w:p w14:paraId="085BB6B3">
                  <w:pPr>
                    <w:widowControl/>
                    <w:adjustRightInd w:val="0"/>
                    <w:snapToGrid w:val="0"/>
                    <w:spacing w:line="320" w:lineRule="exact"/>
                    <w:jc w:val="center"/>
                    <w:rPr>
                      <w:szCs w:val="21"/>
                    </w:rPr>
                  </w:pPr>
                  <w:r>
                    <w:rPr>
                      <w:szCs w:val="21"/>
                    </w:rPr>
                    <w:t>5</w:t>
                  </w:r>
                </w:p>
              </w:tc>
            </w:tr>
            <w:tr w14:paraId="68419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vAlign w:val="center"/>
                </w:tcPr>
                <w:p w14:paraId="4AA5D6EF">
                  <w:pPr>
                    <w:widowControl/>
                    <w:adjustRightInd w:val="0"/>
                    <w:snapToGrid w:val="0"/>
                    <w:spacing w:line="320" w:lineRule="exact"/>
                    <w:jc w:val="center"/>
                    <w:rPr>
                      <w:szCs w:val="21"/>
                    </w:rPr>
                  </w:pPr>
                  <w:r>
                    <w:rPr>
                      <w:szCs w:val="21"/>
                    </w:rPr>
                    <w:t>8</w:t>
                  </w:r>
                </w:p>
              </w:tc>
              <w:tc>
                <w:tcPr>
                  <w:tcW w:w="1187" w:type="dxa"/>
                  <w:tcBorders>
                    <w:tl2br w:val="nil"/>
                    <w:tr2bl w:val="nil"/>
                  </w:tcBorders>
                  <w:vAlign w:val="center"/>
                </w:tcPr>
                <w:p w14:paraId="0204A208">
                  <w:pPr>
                    <w:widowControl/>
                    <w:adjustRightInd w:val="0"/>
                    <w:snapToGrid w:val="0"/>
                    <w:spacing w:line="320" w:lineRule="exact"/>
                    <w:jc w:val="center"/>
                    <w:rPr>
                      <w:szCs w:val="21"/>
                    </w:rPr>
                  </w:pPr>
                  <w:r>
                    <w:rPr>
                      <w:szCs w:val="21"/>
                    </w:rPr>
                    <w:t>曹妃甸湿地和鸟类省级自然保护区</w:t>
                  </w:r>
                </w:p>
              </w:tc>
              <w:tc>
                <w:tcPr>
                  <w:tcW w:w="1425" w:type="dxa"/>
                  <w:tcBorders>
                    <w:tl2br w:val="nil"/>
                    <w:tr2bl w:val="nil"/>
                  </w:tcBorders>
                  <w:vAlign w:val="center"/>
                </w:tcPr>
                <w:p w14:paraId="6E705D72">
                  <w:pPr>
                    <w:widowControl/>
                    <w:adjustRightInd w:val="0"/>
                    <w:snapToGrid w:val="0"/>
                    <w:spacing w:line="320" w:lineRule="exact"/>
                    <w:jc w:val="center"/>
                    <w:rPr>
                      <w:szCs w:val="21"/>
                    </w:rPr>
                  </w:pPr>
                  <w:r>
                    <w:rPr>
                      <w:szCs w:val="21"/>
                    </w:rPr>
                    <w:t>118.382367°</w:t>
                  </w:r>
                </w:p>
              </w:tc>
              <w:tc>
                <w:tcPr>
                  <w:tcW w:w="1360" w:type="dxa"/>
                  <w:tcBorders>
                    <w:tl2br w:val="nil"/>
                    <w:tr2bl w:val="nil"/>
                  </w:tcBorders>
                  <w:vAlign w:val="center"/>
                </w:tcPr>
                <w:p w14:paraId="733CD281">
                  <w:pPr>
                    <w:widowControl/>
                    <w:adjustRightInd w:val="0"/>
                    <w:snapToGrid w:val="0"/>
                    <w:spacing w:line="320" w:lineRule="exact"/>
                    <w:jc w:val="center"/>
                    <w:rPr>
                      <w:szCs w:val="21"/>
                    </w:rPr>
                  </w:pPr>
                  <w:r>
                    <w:rPr>
                      <w:szCs w:val="21"/>
                    </w:rPr>
                    <w:t>39.256152°</w:t>
                  </w:r>
                </w:p>
              </w:tc>
              <w:tc>
                <w:tcPr>
                  <w:tcW w:w="785" w:type="dxa"/>
                  <w:tcBorders>
                    <w:tl2br w:val="nil"/>
                    <w:tr2bl w:val="nil"/>
                  </w:tcBorders>
                  <w:vAlign w:val="center"/>
                </w:tcPr>
                <w:p w14:paraId="6C7D2D7D">
                  <w:pPr>
                    <w:widowControl/>
                    <w:adjustRightInd w:val="0"/>
                    <w:snapToGrid w:val="0"/>
                    <w:spacing w:line="320" w:lineRule="exact"/>
                    <w:jc w:val="center"/>
                    <w:rPr>
                      <w:szCs w:val="21"/>
                    </w:rPr>
                  </w:pPr>
                  <w:r>
                    <w:rPr>
                      <w:szCs w:val="21"/>
                    </w:rPr>
                    <w:t>自然保护区</w:t>
                  </w:r>
                </w:p>
              </w:tc>
              <w:tc>
                <w:tcPr>
                  <w:tcW w:w="911" w:type="dxa"/>
                  <w:vMerge w:val="continue"/>
                  <w:tcBorders>
                    <w:tl2br w:val="nil"/>
                    <w:tr2bl w:val="nil"/>
                  </w:tcBorders>
                  <w:vAlign w:val="center"/>
                </w:tcPr>
                <w:p w14:paraId="6FD6E757">
                  <w:pPr>
                    <w:widowControl/>
                    <w:adjustRightInd w:val="0"/>
                    <w:snapToGrid w:val="0"/>
                    <w:spacing w:line="320" w:lineRule="exact"/>
                    <w:jc w:val="center"/>
                    <w:rPr>
                      <w:szCs w:val="21"/>
                    </w:rPr>
                  </w:pPr>
                </w:p>
              </w:tc>
              <w:tc>
                <w:tcPr>
                  <w:tcW w:w="1027" w:type="dxa"/>
                  <w:tcBorders>
                    <w:tl2br w:val="nil"/>
                    <w:tr2bl w:val="nil"/>
                  </w:tcBorders>
                  <w:vAlign w:val="center"/>
                </w:tcPr>
                <w:p w14:paraId="258D86BA">
                  <w:pPr>
                    <w:widowControl/>
                    <w:adjustRightInd w:val="0"/>
                    <w:snapToGrid w:val="0"/>
                    <w:spacing w:line="320" w:lineRule="exact"/>
                    <w:jc w:val="center"/>
                    <w:rPr>
                      <w:szCs w:val="21"/>
                    </w:rPr>
                  </w:pPr>
                  <w:r>
                    <w:rPr>
                      <w:szCs w:val="21"/>
                    </w:rPr>
                    <w:t>S</w:t>
                  </w:r>
                </w:p>
              </w:tc>
              <w:tc>
                <w:tcPr>
                  <w:tcW w:w="707" w:type="dxa"/>
                  <w:tcBorders>
                    <w:tl2br w:val="nil"/>
                    <w:tr2bl w:val="nil"/>
                  </w:tcBorders>
                  <w:vAlign w:val="center"/>
                </w:tcPr>
                <w:p w14:paraId="6112FFFA">
                  <w:pPr>
                    <w:widowControl/>
                    <w:adjustRightInd w:val="0"/>
                    <w:snapToGrid w:val="0"/>
                    <w:spacing w:line="320" w:lineRule="exact"/>
                    <w:jc w:val="center"/>
                    <w:rPr>
                      <w:szCs w:val="21"/>
                    </w:rPr>
                  </w:pPr>
                  <w:r>
                    <w:rPr>
                      <w:szCs w:val="21"/>
                    </w:rPr>
                    <w:t>8</w:t>
                  </w:r>
                </w:p>
              </w:tc>
            </w:tr>
          </w:tbl>
          <w:p w14:paraId="5092DF60">
            <w:pPr>
              <w:widowControl/>
              <w:jc w:val="left"/>
            </w:pPr>
            <w:r>
              <w:rPr>
                <w:b/>
                <w:bCs/>
                <w:kern w:val="0"/>
                <w:sz w:val="24"/>
              </w:rPr>
              <w:t>4</w:t>
            </w:r>
            <w:r>
              <w:rPr>
                <w:rFonts w:hint="eastAsia" w:ascii="宋体" w:hAnsi="宋体" w:cs="宋体"/>
                <w:b/>
                <w:bCs/>
                <w:kern w:val="0"/>
                <w:sz w:val="24"/>
              </w:rPr>
              <w:t>、生态环境保护目标</w:t>
            </w:r>
            <w:r>
              <w:rPr>
                <w:rFonts w:hint="eastAsia" w:ascii="宋体" w:hAnsi="宋体" w:cs="宋体"/>
                <w:kern w:val="0"/>
                <w:sz w:val="24"/>
              </w:rPr>
              <w:t xml:space="preserve"> </w:t>
            </w:r>
          </w:p>
          <w:p w14:paraId="04725B4A">
            <w:pPr>
              <w:widowControl/>
              <w:adjustRightInd w:val="0"/>
              <w:snapToGrid w:val="0"/>
              <w:spacing w:line="480" w:lineRule="exact"/>
              <w:ind w:firstLine="480" w:firstLineChars="200"/>
              <w:rPr>
                <w:sz w:val="24"/>
              </w:rPr>
            </w:pPr>
            <w:r>
              <w:rPr>
                <w:rFonts w:hint="eastAsia"/>
                <w:sz w:val="24"/>
              </w:rPr>
              <w:t xml:space="preserve">施工期生态环境保护目标包括施工范围内植被及动植物资源、生态系统完整性等，并关注施工临建区植被破坏、水土流失等方面的影响。保护项目所在区域生态环境不受明显影响，生态系统维持现有水平。 </w:t>
            </w:r>
          </w:p>
          <w:p w14:paraId="6156F888">
            <w:pPr>
              <w:widowControl/>
              <w:adjustRightInd w:val="0"/>
              <w:snapToGrid w:val="0"/>
              <w:spacing w:line="480" w:lineRule="exact"/>
              <w:rPr>
                <w:b/>
                <w:bCs/>
                <w:sz w:val="24"/>
              </w:rPr>
            </w:pPr>
            <w:r>
              <w:rPr>
                <w:rFonts w:hint="eastAsia"/>
                <w:b/>
                <w:bCs/>
                <w:sz w:val="24"/>
              </w:rPr>
              <w:t>二、运营</w:t>
            </w:r>
            <w:r>
              <w:rPr>
                <w:b/>
                <w:bCs/>
                <w:sz w:val="24"/>
              </w:rPr>
              <w:t>期环境保护目标</w:t>
            </w:r>
          </w:p>
          <w:p w14:paraId="3588E4B8">
            <w:pPr>
              <w:widowControl/>
              <w:adjustRightInd w:val="0"/>
              <w:snapToGrid w:val="0"/>
              <w:spacing w:line="480" w:lineRule="exact"/>
              <w:rPr>
                <w:b/>
                <w:bCs/>
                <w:sz w:val="24"/>
              </w:rPr>
            </w:pPr>
            <w:r>
              <w:rPr>
                <w:b/>
                <w:bCs/>
                <w:sz w:val="24"/>
              </w:rPr>
              <w:t>1</w:t>
            </w:r>
            <w:r>
              <w:rPr>
                <w:rFonts w:hint="eastAsia"/>
                <w:b/>
                <w:bCs/>
                <w:sz w:val="24"/>
              </w:rPr>
              <w:t>、</w:t>
            </w:r>
            <w:r>
              <w:rPr>
                <w:b/>
                <w:bCs/>
                <w:sz w:val="24"/>
              </w:rPr>
              <w:t>生态环境</w:t>
            </w:r>
            <w:r>
              <w:rPr>
                <w:rFonts w:hint="eastAsia"/>
                <w:b/>
                <w:bCs/>
                <w:sz w:val="24"/>
              </w:rPr>
              <w:t>保护目标</w:t>
            </w:r>
          </w:p>
          <w:p w14:paraId="670DE99D">
            <w:pPr>
              <w:adjustRightInd w:val="0"/>
              <w:snapToGrid w:val="0"/>
              <w:spacing w:line="480" w:lineRule="exact"/>
              <w:ind w:firstLine="480" w:firstLineChars="200"/>
              <w:rPr>
                <w:bCs/>
                <w:spacing w:val="-4"/>
                <w:sz w:val="24"/>
              </w:rPr>
            </w:pPr>
            <w:r>
              <w:rPr>
                <w:kern w:val="0"/>
                <w:sz w:val="24"/>
              </w:rPr>
              <w:t>本项目选址不占用国家公园、自然保护区、风景名胜区、世界文化和自然遗产地、海洋特别保护区、饮用水水源保护区等环境敏感区</w:t>
            </w:r>
            <w:r>
              <w:rPr>
                <w:bCs/>
                <w:spacing w:val="-4"/>
                <w:sz w:val="24"/>
              </w:rPr>
              <w:t>。施工期生态环境保护目标包括施工范围内植被及动植物资源、生态系统完整性等，并关注施工营造区植被破坏、水土流失等方面的影响。保护项目所在区生态环境不受明显影响，生态系统维持现有水平。</w:t>
            </w:r>
          </w:p>
          <w:p w14:paraId="5E61BDE2">
            <w:pPr>
              <w:widowControl/>
              <w:adjustRightInd w:val="0"/>
              <w:snapToGrid w:val="0"/>
              <w:spacing w:line="480" w:lineRule="exact"/>
              <w:rPr>
                <w:b/>
                <w:bCs/>
                <w:sz w:val="24"/>
              </w:rPr>
            </w:pPr>
            <w:r>
              <w:rPr>
                <w:b/>
                <w:bCs/>
                <w:sz w:val="24"/>
              </w:rPr>
              <w:t>2</w:t>
            </w:r>
            <w:r>
              <w:rPr>
                <w:rFonts w:hint="eastAsia"/>
                <w:b/>
                <w:bCs/>
                <w:sz w:val="24"/>
              </w:rPr>
              <w:t>、</w:t>
            </w:r>
            <w:r>
              <w:rPr>
                <w:b/>
                <w:bCs/>
                <w:sz w:val="24"/>
              </w:rPr>
              <w:t>大气环境</w:t>
            </w:r>
            <w:r>
              <w:rPr>
                <w:rFonts w:hint="eastAsia"/>
                <w:b/>
                <w:bCs/>
                <w:sz w:val="24"/>
              </w:rPr>
              <w:t>保护目标</w:t>
            </w:r>
          </w:p>
          <w:p w14:paraId="375160FF">
            <w:pPr>
              <w:adjustRightInd w:val="0"/>
              <w:snapToGrid w:val="0"/>
              <w:spacing w:line="480" w:lineRule="exact"/>
              <w:ind w:firstLine="464" w:firstLineChars="200"/>
              <w:rPr>
                <w:bCs/>
                <w:spacing w:val="-4"/>
                <w:sz w:val="24"/>
              </w:rPr>
            </w:pPr>
            <w:r>
              <w:rPr>
                <w:bCs/>
                <w:spacing w:val="-4"/>
                <w:sz w:val="24"/>
              </w:rPr>
              <w:t>本项目运营期升压站周边500m</w:t>
            </w:r>
            <w:r>
              <w:rPr>
                <w:rFonts w:hint="eastAsia"/>
                <w:bCs/>
                <w:spacing w:val="-4"/>
                <w:sz w:val="24"/>
              </w:rPr>
              <w:t>为评价范围，评价</w:t>
            </w:r>
            <w:r>
              <w:rPr>
                <w:bCs/>
                <w:spacing w:val="-4"/>
                <w:sz w:val="24"/>
              </w:rPr>
              <w:t>范围内无自然保护区、风景名胜区、居住区、文化区和农村地区中人群较集中的区域的大气保护目标。</w:t>
            </w:r>
          </w:p>
          <w:p w14:paraId="619F7D77">
            <w:pPr>
              <w:widowControl/>
              <w:adjustRightInd w:val="0"/>
              <w:snapToGrid w:val="0"/>
              <w:spacing w:line="480" w:lineRule="exact"/>
              <w:rPr>
                <w:b/>
                <w:bCs/>
                <w:sz w:val="24"/>
              </w:rPr>
            </w:pPr>
            <w:r>
              <w:rPr>
                <w:b/>
                <w:bCs/>
                <w:sz w:val="24"/>
              </w:rPr>
              <w:t>3</w:t>
            </w:r>
            <w:r>
              <w:rPr>
                <w:rFonts w:hint="eastAsia"/>
                <w:b/>
                <w:bCs/>
                <w:sz w:val="24"/>
              </w:rPr>
              <w:t>、</w:t>
            </w:r>
            <w:r>
              <w:rPr>
                <w:b/>
                <w:bCs/>
                <w:sz w:val="24"/>
              </w:rPr>
              <w:t>声环境</w:t>
            </w:r>
            <w:r>
              <w:rPr>
                <w:rFonts w:hint="eastAsia"/>
                <w:b/>
                <w:bCs/>
                <w:sz w:val="24"/>
              </w:rPr>
              <w:t>保护目标</w:t>
            </w:r>
          </w:p>
          <w:p w14:paraId="787EDDDC">
            <w:pPr>
              <w:adjustRightInd w:val="0"/>
              <w:snapToGrid w:val="0"/>
              <w:spacing w:line="480" w:lineRule="exact"/>
              <w:ind w:firstLine="464" w:firstLineChars="200"/>
              <w:rPr>
                <w:bCs/>
                <w:spacing w:val="-4"/>
                <w:sz w:val="24"/>
              </w:rPr>
            </w:pPr>
            <w:r>
              <w:rPr>
                <w:bCs/>
                <w:spacing w:val="-4"/>
                <w:sz w:val="24"/>
              </w:rPr>
              <w:t>本项目运营期升压站周边</w:t>
            </w:r>
            <w:r>
              <w:rPr>
                <w:rFonts w:hint="eastAsia"/>
                <w:bCs/>
                <w:spacing w:val="-4"/>
                <w:sz w:val="24"/>
              </w:rPr>
              <w:t>20</w:t>
            </w:r>
            <w:r>
              <w:rPr>
                <w:bCs/>
                <w:spacing w:val="-4"/>
                <w:sz w:val="24"/>
              </w:rPr>
              <w:t>0m</w:t>
            </w:r>
            <w:r>
              <w:rPr>
                <w:rFonts w:hint="eastAsia"/>
                <w:bCs/>
                <w:spacing w:val="-4"/>
                <w:sz w:val="24"/>
              </w:rPr>
              <w:t>为声环境影响评价</w:t>
            </w:r>
            <w:r>
              <w:rPr>
                <w:bCs/>
                <w:spacing w:val="-4"/>
                <w:sz w:val="24"/>
              </w:rPr>
              <w:t>范围</w:t>
            </w:r>
            <w:r>
              <w:rPr>
                <w:rFonts w:hint="eastAsia"/>
                <w:bCs/>
                <w:spacing w:val="-4"/>
                <w:sz w:val="24"/>
              </w:rPr>
              <w:t>，</w:t>
            </w:r>
            <w:r>
              <w:rPr>
                <w:bCs/>
                <w:spacing w:val="-4"/>
                <w:sz w:val="24"/>
              </w:rPr>
              <w:t>风机周边300m</w:t>
            </w:r>
            <w:r>
              <w:rPr>
                <w:rFonts w:hint="eastAsia"/>
                <w:bCs/>
                <w:spacing w:val="-4"/>
                <w:sz w:val="24"/>
              </w:rPr>
              <w:t>为声环境影响评价范围，评价</w:t>
            </w:r>
            <w:r>
              <w:rPr>
                <w:bCs/>
                <w:spacing w:val="-4"/>
                <w:sz w:val="24"/>
              </w:rPr>
              <w:t>范围内无声环境敏感目标。</w:t>
            </w:r>
            <w:r>
              <w:rPr>
                <w:sz w:val="24"/>
              </w:rPr>
              <w:t>本项目距离各风机点位最近的村庄为风机B01北侧515m处的向阳村和风机J32南侧515m处的五场五队</w:t>
            </w:r>
            <w:r>
              <w:rPr>
                <w:rFonts w:hint="eastAsia"/>
                <w:sz w:val="24"/>
              </w:rPr>
              <w:t>，</w:t>
            </w:r>
            <w:r>
              <w:rPr>
                <w:sz w:val="24"/>
              </w:rPr>
              <w:t>风机B01</w:t>
            </w:r>
            <w:r>
              <w:rPr>
                <w:rFonts w:hint="eastAsia"/>
                <w:sz w:val="24"/>
              </w:rPr>
              <w:t>叶片最大边缘距</w:t>
            </w:r>
            <w:r>
              <w:rPr>
                <w:sz w:val="24"/>
              </w:rPr>
              <w:t>向阳村</w:t>
            </w:r>
            <w:r>
              <w:rPr>
                <w:rFonts w:hint="eastAsia"/>
                <w:sz w:val="24"/>
              </w:rPr>
              <w:t>508m，</w:t>
            </w:r>
            <w:r>
              <w:rPr>
                <w:sz w:val="24"/>
              </w:rPr>
              <w:t>风机J32</w:t>
            </w:r>
            <w:r>
              <w:rPr>
                <w:rFonts w:hint="eastAsia"/>
                <w:sz w:val="24"/>
              </w:rPr>
              <w:t>叶片最大边缘距</w:t>
            </w:r>
            <w:r>
              <w:rPr>
                <w:sz w:val="24"/>
              </w:rPr>
              <w:t>五场五队</w:t>
            </w:r>
            <w:r>
              <w:rPr>
                <w:rFonts w:hint="eastAsia"/>
                <w:sz w:val="24"/>
              </w:rPr>
              <w:t>478m。</w:t>
            </w:r>
          </w:p>
          <w:p w14:paraId="0F9B571E">
            <w:pPr>
              <w:pStyle w:val="42"/>
              <w:ind w:left="0" w:leftChars="0" w:firstLine="0" w:firstLineChars="0"/>
              <w:rPr>
                <w:rFonts w:ascii="Times New Roman" w:hAnsi="Times New Roman" w:eastAsia="宋体"/>
              </w:rPr>
            </w:pPr>
          </w:p>
        </w:tc>
      </w:tr>
      <w:tr w14:paraId="2612B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5" w:type="pct"/>
            <w:vAlign w:val="center"/>
          </w:tcPr>
          <w:p w14:paraId="2557EC3D">
            <w:pPr>
              <w:adjustRightInd w:val="0"/>
              <w:snapToGrid w:val="0"/>
              <w:jc w:val="center"/>
              <w:rPr>
                <w:kern w:val="0"/>
                <w:sz w:val="24"/>
              </w:rPr>
            </w:pPr>
            <w:r>
              <w:rPr>
                <w:kern w:val="0"/>
                <w:sz w:val="24"/>
              </w:rPr>
              <w:t>评价</w:t>
            </w:r>
          </w:p>
          <w:p w14:paraId="366F974E">
            <w:pPr>
              <w:adjustRightInd w:val="0"/>
              <w:snapToGrid w:val="0"/>
              <w:jc w:val="center"/>
              <w:rPr>
                <w:kern w:val="0"/>
                <w:sz w:val="24"/>
              </w:rPr>
            </w:pPr>
            <w:r>
              <w:rPr>
                <w:kern w:val="0"/>
                <w:sz w:val="24"/>
              </w:rPr>
              <w:t>标准</w:t>
            </w:r>
          </w:p>
        </w:tc>
        <w:tc>
          <w:tcPr>
            <w:tcW w:w="4774" w:type="pct"/>
            <w:vAlign w:val="center"/>
          </w:tcPr>
          <w:p w14:paraId="2F5BC85E">
            <w:pPr>
              <w:spacing w:line="480" w:lineRule="exact"/>
              <w:ind w:firstLine="522" w:firstLineChars="200"/>
              <w:rPr>
                <w:b/>
                <w:bCs/>
                <w:sz w:val="24"/>
              </w:rPr>
            </w:pPr>
            <w:r>
              <w:rPr>
                <w:b/>
                <w:bCs/>
                <w:spacing w:val="10"/>
                <w:position w:val="2"/>
                <w:sz w:val="24"/>
              </w:rPr>
              <w:t>一</w:t>
            </w:r>
            <w:r>
              <w:rPr>
                <w:b/>
                <w:bCs/>
                <w:spacing w:val="8"/>
                <w:position w:val="2"/>
                <w:sz w:val="24"/>
              </w:rPr>
              <w:t>、环境质量标准</w:t>
            </w:r>
          </w:p>
          <w:p w14:paraId="56A904CB">
            <w:pPr>
              <w:spacing w:line="480" w:lineRule="exact"/>
              <w:ind w:firstLine="480" w:firstLineChars="200"/>
              <w:rPr>
                <w:kern w:val="0"/>
                <w:sz w:val="24"/>
              </w:rPr>
            </w:pPr>
            <w:r>
              <w:rPr>
                <w:kern w:val="0"/>
                <w:sz w:val="24"/>
              </w:rPr>
              <w:t>（1）环境空气：</w:t>
            </w:r>
          </w:p>
          <w:p w14:paraId="1A06D581">
            <w:pPr>
              <w:spacing w:line="480" w:lineRule="exact"/>
              <w:ind w:firstLine="480" w:firstLineChars="200"/>
              <w:rPr>
                <w:sz w:val="24"/>
              </w:rPr>
            </w:pPr>
            <w:r>
              <w:rPr>
                <w:kern w:val="24"/>
                <w:sz w:val="24"/>
              </w:rPr>
              <w:t>曹妃甸湿地和鸟类省级自然保护区</w:t>
            </w:r>
            <w:r>
              <w:rPr>
                <w:rFonts w:hint="eastAsia"/>
                <w:kern w:val="24"/>
                <w:sz w:val="24"/>
              </w:rPr>
              <w:t>、曹妃甸十里荷香景区、曹妃甸十里海河豚小镇</w:t>
            </w:r>
            <w:r>
              <w:rPr>
                <w:kern w:val="24"/>
                <w:sz w:val="24"/>
              </w:rPr>
              <w:t>为一类区，PM</w:t>
            </w:r>
            <w:r>
              <w:rPr>
                <w:kern w:val="24"/>
                <w:sz w:val="24"/>
                <w:vertAlign w:val="subscript"/>
              </w:rPr>
              <w:t>10</w:t>
            </w:r>
            <w:r>
              <w:rPr>
                <w:kern w:val="24"/>
                <w:sz w:val="24"/>
              </w:rPr>
              <w:t>、SO</w:t>
            </w:r>
            <w:r>
              <w:rPr>
                <w:kern w:val="24"/>
                <w:sz w:val="24"/>
                <w:vertAlign w:val="subscript"/>
              </w:rPr>
              <w:t>2</w:t>
            </w:r>
            <w:r>
              <w:rPr>
                <w:kern w:val="24"/>
                <w:sz w:val="24"/>
              </w:rPr>
              <w:t>、NO</w:t>
            </w:r>
            <w:r>
              <w:rPr>
                <w:kern w:val="24"/>
                <w:sz w:val="24"/>
                <w:vertAlign w:val="subscript"/>
              </w:rPr>
              <w:t>2</w:t>
            </w:r>
            <w:r>
              <w:rPr>
                <w:kern w:val="24"/>
                <w:sz w:val="24"/>
              </w:rPr>
              <w:t>、PM</w:t>
            </w:r>
            <w:r>
              <w:rPr>
                <w:kern w:val="24"/>
                <w:sz w:val="24"/>
                <w:vertAlign w:val="subscript"/>
              </w:rPr>
              <w:t>2.5</w:t>
            </w:r>
            <w:r>
              <w:rPr>
                <w:kern w:val="24"/>
                <w:sz w:val="24"/>
              </w:rPr>
              <w:t>、CO、O</w:t>
            </w:r>
            <w:r>
              <w:rPr>
                <w:kern w:val="24"/>
                <w:sz w:val="24"/>
                <w:vertAlign w:val="subscript"/>
              </w:rPr>
              <w:t>3</w:t>
            </w:r>
            <w:r>
              <w:rPr>
                <w:kern w:val="24"/>
                <w:sz w:val="24"/>
              </w:rPr>
              <w:t>执行</w:t>
            </w:r>
            <w:r>
              <w:rPr>
                <w:sz w:val="24"/>
              </w:rPr>
              <w:t>《环境空气质量标准》（GB3095-2012）中一级标准及其修改单。</w:t>
            </w:r>
            <w:r>
              <w:rPr>
                <w:rFonts w:hint="eastAsia"/>
                <w:kern w:val="24"/>
                <w:sz w:val="24"/>
              </w:rPr>
              <w:t>施工期项目周边500m范围内环境空气质量</w:t>
            </w:r>
            <w:r>
              <w:rPr>
                <w:kern w:val="24"/>
                <w:sz w:val="24"/>
              </w:rPr>
              <w:t>二类区</w:t>
            </w:r>
            <w:r>
              <w:rPr>
                <w:kern w:val="0"/>
                <w:sz w:val="24"/>
              </w:rPr>
              <w:t>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、O</w:t>
            </w:r>
            <w:r>
              <w:rPr>
                <w:kern w:val="0"/>
                <w:sz w:val="24"/>
                <w:vertAlign w:val="subscript"/>
              </w:rPr>
              <w:t>3</w:t>
            </w:r>
            <w:r>
              <w:rPr>
                <w:kern w:val="0"/>
                <w:sz w:val="24"/>
              </w:rPr>
              <w:t>、CO执行《环境空气质量标准》（GB3095-2012）中的二级标准及其修改单要求</w:t>
            </w:r>
            <w:r>
              <w:rPr>
                <w:kern w:val="0"/>
                <w:sz w:val="24"/>
                <w:lang w:val="zh-CN"/>
              </w:rPr>
              <w:t>。</w:t>
            </w:r>
          </w:p>
          <w:p w14:paraId="099C50BC">
            <w:pPr>
              <w:spacing w:line="480" w:lineRule="exact"/>
              <w:ind w:firstLine="422" w:firstLineChars="200"/>
              <w:jc w:val="center"/>
              <w:rPr>
                <w:b/>
                <w:bCs/>
              </w:rPr>
            </w:pPr>
            <w:r>
              <w:rPr>
                <w:b/>
                <w:bCs/>
              </w:rPr>
              <w:t>表</w:t>
            </w:r>
            <w:r>
              <w:rPr>
                <w:rFonts w:hint="eastAsia"/>
                <w:b/>
                <w:bCs/>
              </w:rPr>
              <w:t>3-9</w:t>
            </w:r>
            <w:r>
              <w:rPr>
                <w:b/>
                <w:bCs/>
              </w:rPr>
              <w:t xml:space="preserve">     环境空气质量标准</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271"/>
              <w:gridCol w:w="1560"/>
              <w:gridCol w:w="1590"/>
              <w:gridCol w:w="1396"/>
            </w:tblGrid>
            <w:tr w14:paraId="66501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0" w:type="dxa"/>
                  <w:vMerge w:val="restart"/>
                  <w:vAlign w:val="center"/>
                </w:tcPr>
                <w:p w14:paraId="0CD03B69">
                  <w:pPr>
                    <w:jc w:val="center"/>
                    <w:rPr>
                      <w:szCs w:val="21"/>
                    </w:rPr>
                  </w:pPr>
                  <w:r>
                    <w:rPr>
                      <w:szCs w:val="21"/>
                    </w:rPr>
                    <w:t>污染物</w:t>
                  </w:r>
                </w:p>
              </w:tc>
              <w:tc>
                <w:tcPr>
                  <w:tcW w:w="2271" w:type="dxa"/>
                  <w:vMerge w:val="restart"/>
                  <w:vAlign w:val="center"/>
                </w:tcPr>
                <w:p w14:paraId="6FE56D4C">
                  <w:pPr>
                    <w:jc w:val="center"/>
                    <w:rPr>
                      <w:szCs w:val="21"/>
                    </w:rPr>
                  </w:pPr>
                  <w:r>
                    <w:rPr>
                      <w:szCs w:val="21"/>
                    </w:rPr>
                    <w:t>平均时间</w:t>
                  </w:r>
                </w:p>
              </w:tc>
              <w:tc>
                <w:tcPr>
                  <w:tcW w:w="3150" w:type="dxa"/>
                  <w:gridSpan w:val="2"/>
                  <w:vAlign w:val="center"/>
                </w:tcPr>
                <w:p w14:paraId="252323B0">
                  <w:pPr>
                    <w:jc w:val="center"/>
                    <w:rPr>
                      <w:szCs w:val="21"/>
                    </w:rPr>
                  </w:pPr>
                  <w:r>
                    <w:rPr>
                      <w:szCs w:val="21"/>
                    </w:rPr>
                    <w:t>浓度限值</w:t>
                  </w:r>
                </w:p>
              </w:tc>
              <w:tc>
                <w:tcPr>
                  <w:tcW w:w="1396" w:type="dxa"/>
                  <w:vMerge w:val="restart"/>
                  <w:vAlign w:val="center"/>
                </w:tcPr>
                <w:p w14:paraId="61099613">
                  <w:pPr>
                    <w:jc w:val="center"/>
                    <w:rPr>
                      <w:szCs w:val="21"/>
                    </w:rPr>
                  </w:pPr>
                  <w:r>
                    <w:rPr>
                      <w:szCs w:val="21"/>
                    </w:rPr>
                    <w:t>单位</w:t>
                  </w:r>
                </w:p>
              </w:tc>
            </w:tr>
            <w:tr w14:paraId="4FD5A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20" w:type="dxa"/>
                  <w:vMerge w:val="continue"/>
                  <w:vAlign w:val="center"/>
                </w:tcPr>
                <w:p w14:paraId="382DFD4B">
                  <w:pPr>
                    <w:jc w:val="center"/>
                    <w:rPr>
                      <w:szCs w:val="21"/>
                    </w:rPr>
                  </w:pPr>
                </w:p>
              </w:tc>
              <w:tc>
                <w:tcPr>
                  <w:tcW w:w="2271" w:type="dxa"/>
                  <w:vMerge w:val="continue"/>
                  <w:vAlign w:val="center"/>
                </w:tcPr>
                <w:p w14:paraId="2CB44A06">
                  <w:pPr>
                    <w:jc w:val="center"/>
                    <w:rPr>
                      <w:szCs w:val="21"/>
                    </w:rPr>
                  </w:pPr>
                </w:p>
              </w:tc>
              <w:tc>
                <w:tcPr>
                  <w:tcW w:w="1560" w:type="dxa"/>
                  <w:vAlign w:val="center"/>
                </w:tcPr>
                <w:p w14:paraId="3BAEBC53">
                  <w:pPr>
                    <w:jc w:val="center"/>
                    <w:rPr>
                      <w:szCs w:val="21"/>
                    </w:rPr>
                  </w:pPr>
                  <w:r>
                    <w:rPr>
                      <w:szCs w:val="21"/>
                    </w:rPr>
                    <w:t>一级</w:t>
                  </w:r>
                </w:p>
              </w:tc>
              <w:tc>
                <w:tcPr>
                  <w:tcW w:w="1590" w:type="dxa"/>
                  <w:vAlign w:val="center"/>
                </w:tcPr>
                <w:p w14:paraId="06F3D5CC">
                  <w:pPr>
                    <w:jc w:val="center"/>
                    <w:rPr>
                      <w:szCs w:val="21"/>
                    </w:rPr>
                  </w:pPr>
                  <w:r>
                    <w:rPr>
                      <w:szCs w:val="21"/>
                    </w:rPr>
                    <w:t>二级</w:t>
                  </w:r>
                </w:p>
              </w:tc>
              <w:tc>
                <w:tcPr>
                  <w:tcW w:w="1396" w:type="dxa"/>
                  <w:vMerge w:val="continue"/>
                  <w:vAlign w:val="center"/>
                </w:tcPr>
                <w:p w14:paraId="50FAB94E">
                  <w:pPr>
                    <w:jc w:val="center"/>
                    <w:rPr>
                      <w:szCs w:val="21"/>
                    </w:rPr>
                  </w:pPr>
                </w:p>
              </w:tc>
            </w:tr>
            <w:tr w14:paraId="3AD3A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restart"/>
                  <w:vAlign w:val="center"/>
                </w:tcPr>
                <w:p w14:paraId="43D6A0D1">
                  <w:pPr>
                    <w:jc w:val="center"/>
                    <w:rPr>
                      <w:szCs w:val="21"/>
                    </w:rPr>
                  </w:pPr>
                  <w:r>
                    <w:rPr>
                      <w:szCs w:val="21"/>
                    </w:rPr>
                    <w:t>SO</w:t>
                  </w:r>
                  <w:r>
                    <w:rPr>
                      <w:szCs w:val="21"/>
                      <w:vertAlign w:val="subscript"/>
                    </w:rPr>
                    <w:t>2</w:t>
                  </w:r>
                </w:p>
              </w:tc>
              <w:tc>
                <w:tcPr>
                  <w:tcW w:w="2271" w:type="dxa"/>
                  <w:vAlign w:val="center"/>
                </w:tcPr>
                <w:p w14:paraId="061B5539">
                  <w:pPr>
                    <w:jc w:val="center"/>
                    <w:rPr>
                      <w:szCs w:val="21"/>
                    </w:rPr>
                  </w:pPr>
                  <w:r>
                    <w:rPr>
                      <w:kern w:val="0"/>
                      <w:szCs w:val="21"/>
                    </w:rPr>
                    <w:t>年平均</w:t>
                  </w:r>
                </w:p>
              </w:tc>
              <w:tc>
                <w:tcPr>
                  <w:tcW w:w="1560" w:type="dxa"/>
                  <w:vAlign w:val="center"/>
                </w:tcPr>
                <w:p w14:paraId="1E7D490A">
                  <w:pPr>
                    <w:jc w:val="center"/>
                    <w:rPr>
                      <w:szCs w:val="21"/>
                    </w:rPr>
                  </w:pPr>
                  <w:r>
                    <w:rPr>
                      <w:szCs w:val="21"/>
                    </w:rPr>
                    <w:t>20</w:t>
                  </w:r>
                </w:p>
              </w:tc>
              <w:tc>
                <w:tcPr>
                  <w:tcW w:w="1590" w:type="dxa"/>
                  <w:vAlign w:val="center"/>
                </w:tcPr>
                <w:p w14:paraId="72934921">
                  <w:pPr>
                    <w:jc w:val="center"/>
                    <w:rPr>
                      <w:szCs w:val="21"/>
                    </w:rPr>
                  </w:pPr>
                  <w:r>
                    <w:rPr>
                      <w:szCs w:val="21"/>
                    </w:rPr>
                    <w:t>60</w:t>
                  </w:r>
                </w:p>
              </w:tc>
              <w:tc>
                <w:tcPr>
                  <w:tcW w:w="1396" w:type="dxa"/>
                  <w:vMerge w:val="restart"/>
                  <w:vAlign w:val="center"/>
                </w:tcPr>
                <w:p w14:paraId="0B029C2A">
                  <w:pPr>
                    <w:jc w:val="center"/>
                    <w:rPr>
                      <w:szCs w:val="21"/>
                    </w:rPr>
                  </w:pPr>
                  <w:r>
                    <w:rPr>
                      <w:szCs w:val="21"/>
                    </w:rPr>
                    <w:t>μg/m</w:t>
                  </w:r>
                  <w:r>
                    <w:rPr>
                      <w:szCs w:val="21"/>
                      <w:vertAlign w:val="superscript"/>
                    </w:rPr>
                    <w:t>3</w:t>
                  </w:r>
                </w:p>
              </w:tc>
            </w:tr>
            <w:tr w14:paraId="6D003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continue"/>
                  <w:vAlign w:val="center"/>
                </w:tcPr>
                <w:p w14:paraId="51386424">
                  <w:pPr>
                    <w:jc w:val="center"/>
                    <w:rPr>
                      <w:szCs w:val="21"/>
                    </w:rPr>
                  </w:pPr>
                </w:p>
              </w:tc>
              <w:tc>
                <w:tcPr>
                  <w:tcW w:w="2271" w:type="dxa"/>
                  <w:vAlign w:val="center"/>
                </w:tcPr>
                <w:p w14:paraId="7531C730">
                  <w:pPr>
                    <w:jc w:val="center"/>
                    <w:rPr>
                      <w:szCs w:val="21"/>
                    </w:rPr>
                  </w:pPr>
                  <w:r>
                    <w:rPr>
                      <w:szCs w:val="21"/>
                    </w:rPr>
                    <w:t>24小时平均</w:t>
                  </w:r>
                </w:p>
              </w:tc>
              <w:tc>
                <w:tcPr>
                  <w:tcW w:w="1560" w:type="dxa"/>
                  <w:vAlign w:val="center"/>
                </w:tcPr>
                <w:p w14:paraId="0D9D4322">
                  <w:pPr>
                    <w:jc w:val="center"/>
                    <w:rPr>
                      <w:szCs w:val="21"/>
                    </w:rPr>
                  </w:pPr>
                  <w:r>
                    <w:rPr>
                      <w:szCs w:val="21"/>
                    </w:rPr>
                    <w:t>50</w:t>
                  </w:r>
                </w:p>
              </w:tc>
              <w:tc>
                <w:tcPr>
                  <w:tcW w:w="1590" w:type="dxa"/>
                  <w:vAlign w:val="center"/>
                </w:tcPr>
                <w:p w14:paraId="5EC6BE67">
                  <w:pPr>
                    <w:jc w:val="center"/>
                    <w:rPr>
                      <w:szCs w:val="21"/>
                    </w:rPr>
                  </w:pPr>
                  <w:r>
                    <w:rPr>
                      <w:szCs w:val="21"/>
                    </w:rPr>
                    <w:t>150</w:t>
                  </w:r>
                </w:p>
              </w:tc>
              <w:tc>
                <w:tcPr>
                  <w:tcW w:w="1396" w:type="dxa"/>
                  <w:vMerge w:val="continue"/>
                  <w:vAlign w:val="center"/>
                </w:tcPr>
                <w:p w14:paraId="6FAC8935">
                  <w:pPr>
                    <w:jc w:val="center"/>
                    <w:rPr>
                      <w:szCs w:val="21"/>
                    </w:rPr>
                  </w:pPr>
                </w:p>
              </w:tc>
            </w:tr>
            <w:tr w14:paraId="6B3DD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continue"/>
                  <w:vAlign w:val="center"/>
                </w:tcPr>
                <w:p w14:paraId="7AD8A3E7">
                  <w:pPr>
                    <w:jc w:val="center"/>
                    <w:rPr>
                      <w:szCs w:val="21"/>
                    </w:rPr>
                  </w:pPr>
                </w:p>
              </w:tc>
              <w:tc>
                <w:tcPr>
                  <w:tcW w:w="2271" w:type="dxa"/>
                  <w:vAlign w:val="center"/>
                </w:tcPr>
                <w:p w14:paraId="683397B5">
                  <w:pPr>
                    <w:jc w:val="center"/>
                    <w:rPr>
                      <w:szCs w:val="21"/>
                    </w:rPr>
                  </w:pPr>
                  <w:r>
                    <w:rPr>
                      <w:szCs w:val="21"/>
                    </w:rPr>
                    <w:t>1小时平均</w:t>
                  </w:r>
                </w:p>
              </w:tc>
              <w:tc>
                <w:tcPr>
                  <w:tcW w:w="1560" w:type="dxa"/>
                  <w:vAlign w:val="center"/>
                </w:tcPr>
                <w:p w14:paraId="665BF7AB">
                  <w:pPr>
                    <w:jc w:val="center"/>
                    <w:rPr>
                      <w:szCs w:val="21"/>
                    </w:rPr>
                  </w:pPr>
                  <w:r>
                    <w:rPr>
                      <w:szCs w:val="21"/>
                    </w:rPr>
                    <w:t>150</w:t>
                  </w:r>
                </w:p>
              </w:tc>
              <w:tc>
                <w:tcPr>
                  <w:tcW w:w="1590" w:type="dxa"/>
                  <w:vAlign w:val="center"/>
                </w:tcPr>
                <w:p w14:paraId="3BB6C593">
                  <w:pPr>
                    <w:jc w:val="center"/>
                    <w:rPr>
                      <w:szCs w:val="21"/>
                    </w:rPr>
                  </w:pPr>
                  <w:r>
                    <w:rPr>
                      <w:szCs w:val="21"/>
                    </w:rPr>
                    <w:t>500</w:t>
                  </w:r>
                </w:p>
              </w:tc>
              <w:tc>
                <w:tcPr>
                  <w:tcW w:w="1396" w:type="dxa"/>
                  <w:vMerge w:val="continue"/>
                  <w:vAlign w:val="center"/>
                </w:tcPr>
                <w:p w14:paraId="1DA3CAC5">
                  <w:pPr>
                    <w:jc w:val="center"/>
                    <w:rPr>
                      <w:szCs w:val="21"/>
                    </w:rPr>
                  </w:pPr>
                </w:p>
              </w:tc>
            </w:tr>
            <w:tr w14:paraId="66310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restart"/>
                  <w:vAlign w:val="center"/>
                </w:tcPr>
                <w:p w14:paraId="777EB648">
                  <w:pPr>
                    <w:jc w:val="center"/>
                    <w:rPr>
                      <w:szCs w:val="21"/>
                    </w:rPr>
                  </w:pPr>
                  <w:r>
                    <w:rPr>
                      <w:szCs w:val="21"/>
                    </w:rPr>
                    <w:t>NO</w:t>
                  </w:r>
                  <w:r>
                    <w:rPr>
                      <w:szCs w:val="21"/>
                      <w:vertAlign w:val="subscript"/>
                    </w:rPr>
                    <w:t>2</w:t>
                  </w:r>
                </w:p>
              </w:tc>
              <w:tc>
                <w:tcPr>
                  <w:tcW w:w="2271" w:type="dxa"/>
                  <w:vAlign w:val="center"/>
                </w:tcPr>
                <w:p w14:paraId="42563852">
                  <w:pPr>
                    <w:jc w:val="center"/>
                    <w:rPr>
                      <w:szCs w:val="21"/>
                    </w:rPr>
                  </w:pPr>
                  <w:r>
                    <w:rPr>
                      <w:kern w:val="0"/>
                      <w:szCs w:val="21"/>
                    </w:rPr>
                    <w:t>年平均</w:t>
                  </w:r>
                </w:p>
              </w:tc>
              <w:tc>
                <w:tcPr>
                  <w:tcW w:w="1560" w:type="dxa"/>
                  <w:vAlign w:val="center"/>
                </w:tcPr>
                <w:p w14:paraId="216EFF1F">
                  <w:pPr>
                    <w:jc w:val="center"/>
                    <w:rPr>
                      <w:szCs w:val="21"/>
                    </w:rPr>
                  </w:pPr>
                  <w:r>
                    <w:rPr>
                      <w:szCs w:val="21"/>
                    </w:rPr>
                    <w:t>40</w:t>
                  </w:r>
                </w:p>
              </w:tc>
              <w:tc>
                <w:tcPr>
                  <w:tcW w:w="1590" w:type="dxa"/>
                  <w:vAlign w:val="center"/>
                </w:tcPr>
                <w:p w14:paraId="7CBBEEF2">
                  <w:pPr>
                    <w:jc w:val="center"/>
                    <w:rPr>
                      <w:szCs w:val="21"/>
                    </w:rPr>
                  </w:pPr>
                  <w:r>
                    <w:rPr>
                      <w:szCs w:val="21"/>
                    </w:rPr>
                    <w:t>40</w:t>
                  </w:r>
                </w:p>
              </w:tc>
              <w:tc>
                <w:tcPr>
                  <w:tcW w:w="1396" w:type="dxa"/>
                  <w:vMerge w:val="continue"/>
                  <w:vAlign w:val="center"/>
                </w:tcPr>
                <w:p w14:paraId="6F07AD3F">
                  <w:pPr>
                    <w:jc w:val="center"/>
                    <w:rPr>
                      <w:szCs w:val="21"/>
                    </w:rPr>
                  </w:pPr>
                </w:p>
              </w:tc>
            </w:tr>
            <w:tr w14:paraId="34452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continue"/>
                  <w:vAlign w:val="center"/>
                </w:tcPr>
                <w:p w14:paraId="2CD55E64">
                  <w:pPr>
                    <w:jc w:val="center"/>
                    <w:rPr>
                      <w:szCs w:val="21"/>
                    </w:rPr>
                  </w:pPr>
                </w:p>
              </w:tc>
              <w:tc>
                <w:tcPr>
                  <w:tcW w:w="2271" w:type="dxa"/>
                  <w:vAlign w:val="center"/>
                </w:tcPr>
                <w:p w14:paraId="470C15FD">
                  <w:pPr>
                    <w:jc w:val="center"/>
                    <w:rPr>
                      <w:szCs w:val="21"/>
                    </w:rPr>
                  </w:pPr>
                  <w:r>
                    <w:rPr>
                      <w:szCs w:val="21"/>
                    </w:rPr>
                    <w:t>24小时平均</w:t>
                  </w:r>
                </w:p>
              </w:tc>
              <w:tc>
                <w:tcPr>
                  <w:tcW w:w="1560" w:type="dxa"/>
                  <w:vAlign w:val="center"/>
                </w:tcPr>
                <w:p w14:paraId="5AC51C41">
                  <w:pPr>
                    <w:jc w:val="center"/>
                    <w:rPr>
                      <w:szCs w:val="21"/>
                    </w:rPr>
                  </w:pPr>
                  <w:r>
                    <w:rPr>
                      <w:szCs w:val="21"/>
                    </w:rPr>
                    <w:t>80</w:t>
                  </w:r>
                </w:p>
              </w:tc>
              <w:tc>
                <w:tcPr>
                  <w:tcW w:w="1590" w:type="dxa"/>
                  <w:vAlign w:val="center"/>
                </w:tcPr>
                <w:p w14:paraId="100D5ABB">
                  <w:pPr>
                    <w:jc w:val="center"/>
                    <w:rPr>
                      <w:szCs w:val="21"/>
                    </w:rPr>
                  </w:pPr>
                  <w:r>
                    <w:rPr>
                      <w:szCs w:val="21"/>
                    </w:rPr>
                    <w:t>80</w:t>
                  </w:r>
                </w:p>
              </w:tc>
              <w:tc>
                <w:tcPr>
                  <w:tcW w:w="1396" w:type="dxa"/>
                  <w:vMerge w:val="continue"/>
                  <w:vAlign w:val="center"/>
                </w:tcPr>
                <w:p w14:paraId="3A57CB06">
                  <w:pPr>
                    <w:jc w:val="center"/>
                    <w:rPr>
                      <w:szCs w:val="21"/>
                    </w:rPr>
                  </w:pPr>
                </w:p>
              </w:tc>
            </w:tr>
            <w:tr w14:paraId="52832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120" w:type="dxa"/>
                  <w:vMerge w:val="continue"/>
                  <w:vAlign w:val="center"/>
                </w:tcPr>
                <w:p w14:paraId="402DFAA0">
                  <w:pPr>
                    <w:jc w:val="center"/>
                    <w:rPr>
                      <w:szCs w:val="21"/>
                    </w:rPr>
                  </w:pPr>
                </w:p>
              </w:tc>
              <w:tc>
                <w:tcPr>
                  <w:tcW w:w="2271" w:type="dxa"/>
                  <w:vAlign w:val="center"/>
                </w:tcPr>
                <w:p w14:paraId="28B27E15">
                  <w:pPr>
                    <w:jc w:val="center"/>
                    <w:rPr>
                      <w:szCs w:val="21"/>
                    </w:rPr>
                  </w:pPr>
                  <w:r>
                    <w:rPr>
                      <w:szCs w:val="21"/>
                    </w:rPr>
                    <w:t>1小时平均</w:t>
                  </w:r>
                </w:p>
              </w:tc>
              <w:tc>
                <w:tcPr>
                  <w:tcW w:w="1560" w:type="dxa"/>
                  <w:vAlign w:val="center"/>
                </w:tcPr>
                <w:p w14:paraId="590059EE">
                  <w:pPr>
                    <w:jc w:val="center"/>
                    <w:rPr>
                      <w:szCs w:val="21"/>
                    </w:rPr>
                  </w:pPr>
                  <w:r>
                    <w:rPr>
                      <w:szCs w:val="21"/>
                    </w:rPr>
                    <w:t>200</w:t>
                  </w:r>
                </w:p>
              </w:tc>
              <w:tc>
                <w:tcPr>
                  <w:tcW w:w="1590" w:type="dxa"/>
                  <w:vAlign w:val="center"/>
                </w:tcPr>
                <w:p w14:paraId="417DD822">
                  <w:pPr>
                    <w:jc w:val="center"/>
                    <w:rPr>
                      <w:szCs w:val="21"/>
                    </w:rPr>
                  </w:pPr>
                  <w:r>
                    <w:rPr>
                      <w:szCs w:val="21"/>
                    </w:rPr>
                    <w:t>200</w:t>
                  </w:r>
                </w:p>
              </w:tc>
              <w:tc>
                <w:tcPr>
                  <w:tcW w:w="1396" w:type="dxa"/>
                  <w:vMerge w:val="continue"/>
                  <w:vAlign w:val="center"/>
                </w:tcPr>
                <w:p w14:paraId="5D94DC18">
                  <w:pPr>
                    <w:jc w:val="center"/>
                    <w:rPr>
                      <w:szCs w:val="21"/>
                    </w:rPr>
                  </w:pPr>
                </w:p>
              </w:tc>
            </w:tr>
            <w:tr w14:paraId="3B576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20" w:type="dxa"/>
                  <w:vMerge w:val="restart"/>
                  <w:vAlign w:val="center"/>
                </w:tcPr>
                <w:p w14:paraId="2DABA1C6">
                  <w:pPr>
                    <w:jc w:val="center"/>
                    <w:rPr>
                      <w:szCs w:val="21"/>
                    </w:rPr>
                  </w:pPr>
                  <w:r>
                    <w:rPr>
                      <w:szCs w:val="21"/>
                    </w:rPr>
                    <w:t>CO</w:t>
                  </w:r>
                </w:p>
              </w:tc>
              <w:tc>
                <w:tcPr>
                  <w:tcW w:w="2271" w:type="dxa"/>
                  <w:vAlign w:val="center"/>
                </w:tcPr>
                <w:p w14:paraId="287607BF">
                  <w:pPr>
                    <w:jc w:val="center"/>
                    <w:rPr>
                      <w:szCs w:val="21"/>
                    </w:rPr>
                  </w:pPr>
                  <w:r>
                    <w:rPr>
                      <w:szCs w:val="21"/>
                    </w:rPr>
                    <w:t>24 小时平均</w:t>
                  </w:r>
                </w:p>
              </w:tc>
              <w:tc>
                <w:tcPr>
                  <w:tcW w:w="1560" w:type="dxa"/>
                  <w:vAlign w:val="center"/>
                </w:tcPr>
                <w:p w14:paraId="5BB8ECA1">
                  <w:pPr>
                    <w:jc w:val="center"/>
                    <w:rPr>
                      <w:szCs w:val="21"/>
                    </w:rPr>
                  </w:pPr>
                  <w:r>
                    <w:rPr>
                      <w:szCs w:val="21"/>
                    </w:rPr>
                    <w:t>4</w:t>
                  </w:r>
                </w:p>
              </w:tc>
              <w:tc>
                <w:tcPr>
                  <w:tcW w:w="1590" w:type="dxa"/>
                  <w:vAlign w:val="center"/>
                </w:tcPr>
                <w:p w14:paraId="46344A2F">
                  <w:pPr>
                    <w:jc w:val="center"/>
                    <w:rPr>
                      <w:szCs w:val="21"/>
                    </w:rPr>
                  </w:pPr>
                  <w:r>
                    <w:rPr>
                      <w:szCs w:val="21"/>
                    </w:rPr>
                    <w:t>4</w:t>
                  </w:r>
                </w:p>
              </w:tc>
              <w:tc>
                <w:tcPr>
                  <w:tcW w:w="1396" w:type="dxa"/>
                  <w:vMerge w:val="restart"/>
                  <w:vAlign w:val="center"/>
                </w:tcPr>
                <w:p w14:paraId="7471016B">
                  <w:pPr>
                    <w:jc w:val="center"/>
                    <w:rPr>
                      <w:szCs w:val="21"/>
                    </w:rPr>
                  </w:pPr>
                  <w:r>
                    <w:rPr>
                      <w:szCs w:val="21"/>
                    </w:rPr>
                    <w:t>mg/m</w:t>
                  </w:r>
                  <w:r>
                    <w:rPr>
                      <w:szCs w:val="21"/>
                      <w:vertAlign w:val="superscript"/>
                    </w:rPr>
                    <w:t>3</w:t>
                  </w:r>
                </w:p>
              </w:tc>
            </w:tr>
            <w:tr w14:paraId="49BF7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20" w:type="dxa"/>
                  <w:vMerge w:val="continue"/>
                  <w:vAlign w:val="center"/>
                </w:tcPr>
                <w:p w14:paraId="5BDCC4E2">
                  <w:pPr>
                    <w:jc w:val="center"/>
                    <w:rPr>
                      <w:szCs w:val="21"/>
                    </w:rPr>
                  </w:pPr>
                </w:p>
              </w:tc>
              <w:tc>
                <w:tcPr>
                  <w:tcW w:w="2271" w:type="dxa"/>
                  <w:vAlign w:val="center"/>
                </w:tcPr>
                <w:p w14:paraId="5ED3B3A4">
                  <w:pPr>
                    <w:jc w:val="center"/>
                    <w:rPr>
                      <w:szCs w:val="21"/>
                    </w:rPr>
                  </w:pPr>
                  <w:r>
                    <w:rPr>
                      <w:szCs w:val="21"/>
                    </w:rPr>
                    <w:t>1 小时平均</w:t>
                  </w:r>
                </w:p>
              </w:tc>
              <w:tc>
                <w:tcPr>
                  <w:tcW w:w="1560" w:type="dxa"/>
                  <w:shd w:val="clear" w:color="auto" w:fill="auto"/>
                  <w:vAlign w:val="center"/>
                </w:tcPr>
                <w:p w14:paraId="3AF7D5C5">
                  <w:pPr>
                    <w:jc w:val="center"/>
                    <w:rPr>
                      <w:szCs w:val="21"/>
                    </w:rPr>
                  </w:pPr>
                  <w:r>
                    <w:rPr>
                      <w:szCs w:val="21"/>
                    </w:rPr>
                    <w:t>10</w:t>
                  </w:r>
                </w:p>
              </w:tc>
              <w:tc>
                <w:tcPr>
                  <w:tcW w:w="1590" w:type="dxa"/>
                  <w:vAlign w:val="center"/>
                </w:tcPr>
                <w:p w14:paraId="74DE4577">
                  <w:pPr>
                    <w:jc w:val="center"/>
                    <w:rPr>
                      <w:szCs w:val="21"/>
                    </w:rPr>
                  </w:pPr>
                  <w:r>
                    <w:rPr>
                      <w:szCs w:val="21"/>
                    </w:rPr>
                    <w:t>10</w:t>
                  </w:r>
                </w:p>
              </w:tc>
              <w:tc>
                <w:tcPr>
                  <w:tcW w:w="1396" w:type="dxa"/>
                  <w:vMerge w:val="continue"/>
                  <w:vAlign w:val="center"/>
                </w:tcPr>
                <w:p w14:paraId="20444750">
                  <w:pPr>
                    <w:jc w:val="center"/>
                    <w:rPr>
                      <w:szCs w:val="21"/>
                    </w:rPr>
                  </w:pPr>
                </w:p>
              </w:tc>
            </w:tr>
            <w:tr w14:paraId="63679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20" w:type="dxa"/>
                  <w:vMerge w:val="restart"/>
                  <w:vAlign w:val="center"/>
                </w:tcPr>
                <w:p w14:paraId="4AD37954">
                  <w:pPr>
                    <w:jc w:val="center"/>
                    <w:rPr>
                      <w:szCs w:val="21"/>
                    </w:rPr>
                  </w:pPr>
                  <w:r>
                    <w:rPr>
                      <w:szCs w:val="21"/>
                    </w:rPr>
                    <w:t>O</w:t>
                  </w:r>
                  <w:r>
                    <w:rPr>
                      <w:szCs w:val="21"/>
                      <w:vertAlign w:val="subscript"/>
                    </w:rPr>
                    <w:t>3</w:t>
                  </w:r>
                </w:p>
              </w:tc>
              <w:tc>
                <w:tcPr>
                  <w:tcW w:w="2271" w:type="dxa"/>
                  <w:vAlign w:val="center"/>
                </w:tcPr>
                <w:p w14:paraId="25232E46">
                  <w:pPr>
                    <w:jc w:val="center"/>
                    <w:rPr>
                      <w:szCs w:val="21"/>
                    </w:rPr>
                  </w:pPr>
                  <w:r>
                    <w:rPr>
                      <w:szCs w:val="21"/>
                    </w:rPr>
                    <w:t>日最大8小时平均</w:t>
                  </w:r>
                </w:p>
              </w:tc>
              <w:tc>
                <w:tcPr>
                  <w:tcW w:w="1560" w:type="dxa"/>
                  <w:shd w:val="clear" w:color="auto" w:fill="auto"/>
                  <w:vAlign w:val="center"/>
                </w:tcPr>
                <w:p w14:paraId="1B3C45A6">
                  <w:pPr>
                    <w:jc w:val="center"/>
                    <w:rPr>
                      <w:szCs w:val="21"/>
                    </w:rPr>
                  </w:pPr>
                  <w:r>
                    <w:rPr>
                      <w:szCs w:val="21"/>
                    </w:rPr>
                    <w:t>100</w:t>
                  </w:r>
                </w:p>
              </w:tc>
              <w:tc>
                <w:tcPr>
                  <w:tcW w:w="1590" w:type="dxa"/>
                  <w:vAlign w:val="center"/>
                </w:tcPr>
                <w:p w14:paraId="44847867">
                  <w:pPr>
                    <w:jc w:val="center"/>
                    <w:rPr>
                      <w:szCs w:val="21"/>
                    </w:rPr>
                  </w:pPr>
                  <w:r>
                    <w:rPr>
                      <w:szCs w:val="21"/>
                    </w:rPr>
                    <w:t>160</w:t>
                  </w:r>
                </w:p>
              </w:tc>
              <w:tc>
                <w:tcPr>
                  <w:tcW w:w="1396" w:type="dxa"/>
                  <w:vMerge w:val="restart"/>
                  <w:vAlign w:val="center"/>
                </w:tcPr>
                <w:p w14:paraId="0D3B3AB8">
                  <w:pPr>
                    <w:jc w:val="center"/>
                    <w:rPr>
                      <w:szCs w:val="21"/>
                    </w:rPr>
                  </w:pPr>
                  <w:r>
                    <w:rPr>
                      <w:szCs w:val="21"/>
                    </w:rPr>
                    <w:t>μg/m</w:t>
                  </w:r>
                  <w:r>
                    <w:rPr>
                      <w:szCs w:val="21"/>
                      <w:vertAlign w:val="superscript"/>
                    </w:rPr>
                    <w:t>3</w:t>
                  </w:r>
                </w:p>
              </w:tc>
            </w:tr>
            <w:tr w14:paraId="36E6A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20" w:type="dxa"/>
                  <w:vMerge w:val="continue"/>
                  <w:vAlign w:val="center"/>
                </w:tcPr>
                <w:p w14:paraId="546A9175">
                  <w:pPr>
                    <w:jc w:val="center"/>
                    <w:rPr>
                      <w:szCs w:val="21"/>
                    </w:rPr>
                  </w:pPr>
                </w:p>
              </w:tc>
              <w:tc>
                <w:tcPr>
                  <w:tcW w:w="2271" w:type="dxa"/>
                  <w:vAlign w:val="center"/>
                </w:tcPr>
                <w:p w14:paraId="0AE31C52">
                  <w:pPr>
                    <w:jc w:val="center"/>
                    <w:rPr>
                      <w:szCs w:val="21"/>
                    </w:rPr>
                  </w:pPr>
                  <w:r>
                    <w:rPr>
                      <w:szCs w:val="21"/>
                    </w:rPr>
                    <w:t>1 小时平均</w:t>
                  </w:r>
                </w:p>
              </w:tc>
              <w:tc>
                <w:tcPr>
                  <w:tcW w:w="1560" w:type="dxa"/>
                  <w:shd w:val="clear" w:color="auto" w:fill="auto"/>
                  <w:vAlign w:val="center"/>
                </w:tcPr>
                <w:p w14:paraId="32171345">
                  <w:pPr>
                    <w:jc w:val="center"/>
                    <w:rPr>
                      <w:szCs w:val="21"/>
                    </w:rPr>
                  </w:pPr>
                  <w:r>
                    <w:rPr>
                      <w:szCs w:val="21"/>
                    </w:rPr>
                    <w:t>160</w:t>
                  </w:r>
                </w:p>
              </w:tc>
              <w:tc>
                <w:tcPr>
                  <w:tcW w:w="1590" w:type="dxa"/>
                  <w:vAlign w:val="center"/>
                </w:tcPr>
                <w:p w14:paraId="3DFB1404">
                  <w:pPr>
                    <w:jc w:val="center"/>
                    <w:rPr>
                      <w:szCs w:val="21"/>
                    </w:rPr>
                  </w:pPr>
                  <w:r>
                    <w:rPr>
                      <w:szCs w:val="21"/>
                    </w:rPr>
                    <w:t>200</w:t>
                  </w:r>
                </w:p>
              </w:tc>
              <w:tc>
                <w:tcPr>
                  <w:tcW w:w="1396" w:type="dxa"/>
                  <w:vMerge w:val="continue"/>
                  <w:vAlign w:val="center"/>
                </w:tcPr>
                <w:p w14:paraId="645458BD">
                  <w:pPr>
                    <w:jc w:val="center"/>
                    <w:rPr>
                      <w:szCs w:val="21"/>
                    </w:rPr>
                  </w:pPr>
                </w:p>
              </w:tc>
            </w:tr>
            <w:tr w14:paraId="08201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20" w:type="dxa"/>
                  <w:vMerge w:val="restart"/>
                  <w:vAlign w:val="center"/>
                </w:tcPr>
                <w:p w14:paraId="7832278A">
                  <w:pPr>
                    <w:jc w:val="center"/>
                    <w:rPr>
                      <w:szCs w:val="21"/>
                    </w:rPr>
                  </w:pPr>
                  <w:r>
                    <w:rPr>
                      <w:szCs w:val="21"/>
                    </w:rPr>
                    <w:t>PM</w:t>
                  </w:r>
                  <w:r>
                    <w:rPr>
                      <w:szCs w:val="21"/>
                      <w:vertAlign w:val="subscript"/>
                    </w:rPr>
                    <w:t>10</w:t>
                  </w:r>
                </w:p>
              </w:tc>
              <w:tc>
                <w:tcPr>
                  <w:tcW w:w="2271" w:type="dxa"/>
                  <w:vAlign w:val="center"/>
                </w:tcPr>
                <w:p w14:paraId="29370A6A">
                  <w:pPr>
                    <w:jc w:val="center"/>
                    <w:rPr>
                      <w:szCs w:val="21"/>
                    </w:rPr>
                  </w:pPr>
                  <w:r>
                    <w:rPr>
                      <w:szCs w:val="21"/>
                    </w:rPr>
                    <w:t>年平均</w:t>
                  </w:r>
                </w:p>
              </w:tc>
              <w:tc>
                <w:tcPr>
                  <w:tcW w:w="1560" w:type="dxa"/>
                  <w:vAlign w:val="center"/>
                </w:tcPr>
                <w:p w14:paraId="51E57899">
                  <w:pPr>
                    <w:jc w:val="center"/>
                    <w:rPr>
                      <w:szCs w:val="21"/>
                    </w:rPr>
                  </w:pPr>
                  <w:r>
                    <w:rPr>
                      <w:szCs w:val="21"/>
                    </w:rPr>
                    <w:t>40</w:t>
                  </w:r>
                </w:p>
              </w:tc>
              <w:tc>
                <w:tcPr>
                  <w:tcW w:w="1590" w:type="dxa"/>
                  <w:vAlign w:val="center"/>
                </w:tcPr>
                <w:p w14:paraId="5B0A6945">
                  <w:pPr>
                    <w:jc w:val="center"/>
                    <w:rPr>
                      <w:szCs w:val="21"/>
                    </w:rPr>
                  </w:pPr>
                  <w:r>
                    <w:rPr>
                      <w:szCs w:val="21"/>
                    </w:rPr>
                    <w:t>70</w:t>
                  </w:r>
                </w:p>
              </w:tc>
              <w:tc>
                <w:tcPr>
                  <w:tcW w:w="1396" w:type="dxa"/>
                  <w:vMerge w:val="continue"/>
                  <w:vAlign w:val="center"/>
                </w:tcPr>
                <w:p w14:paraId="68DB965E">
                  <w:pPr>
                    <w:jc w:val="center"/>
                    <w:rPr>
                      <w:szCs w:val="21"/>
                    </w:rPr>
                  </w:pPr>
                </w:p>
              </w:tc>
            </w:tr>
            <w:tr w14:paraId="1C533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120" w:type="dxa"/>
                  <w:vMerge w:val="continue"/>
                  <w:vAlign w:val="center"/>
                </w:tcPr>
                <w:p w14:paraId="5431EF7F">
                  <w:pPr>
                    <w:jc w:val="center"/>
                    <w:rPr>
                      <w:szCs w:val="21"/>
                    </w:rPr>
                  </w:pPr>
                </w:p>
              </w:tc>
              <w:tc>
                <w:tcPr>
                  <w:tcW w:w="2271" w:type="dxa"/>
                  <w:vAlign w:val="center"/>
                </w:tcPr>
                <w:p w14:paraId="627C00A6">
                  <w:pPr>
                    <w:jc w:val="center"/>
                    <w:rPr>
                      <w:szCs w:val="21"/>
                    </w:rPr>
                  </w:pPr>
                  <w:r>
                    <w:rPr>
                      <w:szCs w:val="21"/>
                    </w:rPr>
                    <w:t>24 小时平均</w:t>
                  </w:r>
                </w:p>
              </w:tc>
              <w:tc>
                <w:tcPr>
                  <w:tcW w:w="1560" w:type="dxa"/>
                  <w:vAlign w:val="center"/>
                </w:tcPr>
                <w:p w14:paraId="4F484B6C">
                  <w:pPr>
                    <w:jc w:val="center"/>
                    <w:rPr>
                      <w:szCs w:val="21"/>
                    </w:rPr>
                  </w:pPr>
                  <w:r>
                    <w:rPr>
                      <w:szCs w:val="21"/>
                    </w:rPr>
                    <w:t>50</w:t>
                  </w:r>
                </w:p>
              </w:tc>
              <w:tc>
                <w:tcPr>
                  <w:tcW w:w="1590" w:type="dxa"/>
                  <w:vAlign w:val="center"/>
                </w:tcPr>
                <w:p w14:paraId="4077E442">
                  <w:pPr>
                    <w:jc w:val="center"/>
                    <w:rPr>
                      <w:szCs w:val="21"/>
                    </w:rPr>
                  </w:pPr>
                  <w:r>
                    <w:rPr>
                      <w:szCs w:val="21"/>
                    </w:rPr>
                    <w:t>150</w:t>
                  </w:r>
                </w:p>
              </w:tc>
              <w:tc>
                <w:tcPr>
                  <w:tcW w:w="1396" w:type="dxa"/>
                  <w:vMerge w:val="continue"/>
                  <w:vAlign w:val="center"/>
                </w:tcPr>
                <w:p w14:paraId="071A3376">
                  <w:pPr>
                    <w:jc w:val="center"/>
                    <w:rPr>
                      <w:szCs w:val="21"/>
                    </w:rPr>
                  </w:pPr>
                </w:p>
              </w:tc>
            </w:tr>
            <w:tr w14:paraId="4B65D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20" w:type="dxa"/>
                  <w:vMerge w:val="restart"/>
                  <w:vAlign w:val="center"/>
                </w:tcPr>
                <w:p w14:paraId="2CAD486F">
                  <w:pPr>
                    <w:jc w:val="center"/>
                    <w:rPr>
                      <w:szCs w:val="21"/>
                    </w:rPr>
                  </w:pPr>
                  <w:r>
                    <w:rPr>
                      <w:szCs w:val="21"/>
                    </w:rPr>
                    <w:t>PM</w:t>
                  </w:r>
                  <w:r>
                    <w:rPr>
                      <w:szCs w:val="21"/>
                      <w:vertAlign w:val="subscript"/>
                    </w:rPr>
                    <w:t>2.5</w:t>
                  </w:r>
                </w:p>
              </w:tc>
              <w:tc>
                <w:tcPr>
                  <w:tcW w:w="2271" w:type="dxa"/>
                  <w:vAlign w:val="center"/>
                </w:tcPr>
                <w:p w14:paraId="38D68101">
                  <w:pPr>
                    <w:jc w:val="center"/>
                    <w:rPr>
                      <w:szCs w:val="21"/>
                    </w:rPr>
                  </w:pPr>
                  <w:r>
                    <w:rPr>
                      <w:szCs w:val="21"/>
                    </w:rPr>
                    <w:t>年平均</w:t>
                  </w:r>
                </w:p>
              </w:tc>
              <w:tc>
                <w:tcPr>
                  <w:tcW w:w="1560" w:type="dxa"/>
                  <w:vAlign w:val="center"/>
                </w:tcPr>
                <w:p w14:paraId="46E49690">
                  <w:pPr>
                    <w:jc w:val="center"/>
                    <w:rPr>
                      <w:szCs w:val="21"/>
                    </w:rPr>
                  </w:pPr>
                  <w:r>
                    <w:rPr>
                      <w:szCs w:val="21"/>
                    </w:rPr>
                    <w:t>15</w:t>
                  </w:r>
                </w:p>
              </w:tc>
              <w:tc>
                <w:tcPr>
                  <w:tcW w:w="1590" w:type="dxa"/>
                  <w:vAlign w:val="center"/>
                </w:tcPr>
                <w:p w14:paraId="12EDAA35">
                  <w:pPr>
                    <w:jc w:val="center"/>
                    <w:rPr>
                      <w:szCs w:val="21"/>
                    </w:rPr>
                  </w:pPr>
                  <w:r>
                    <w:rPr>
                      <w:szCs w:val="21"/>
                    </w:rPr>
                    <w:t>35</w:t>
                  </w:r>
                </w:p>
              </w:tc>
              <w:tc>
                <w:tcPr>
                  <w:tcW w:w="1396" w:type="dxa"/>
                  <w:vMerge w:val="continue"/>
                  <w:vAlign w:val="center"/>
                </w:tcPr>
                <w:p w14:paraId="05A0A2E6">
                  <w:pPr>
                    <w:jc w:val="center"/>
                    <w:rPr>
                      <w:szCs w:val="21"/>
                    </w:rPr>
                  </w:pPr>
                </w:p>
              </w:tc>
            </w:tr>
            <w:tr w14:paraId="67EEC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20" w:type="dxa"/>
                  <w:vMerge w:val="continue"/>
                  <w:vAlign w:val="center"/>
                </w:tcPr>
                <w:p w14:paraId="430427C9">
                  <w:pPr>
                    <w:jc w:val="center"/>
                    <w:rPr>
                      <w:szCs w:val="21"/>
                    </w:rPr>
                  </w:pPr>
                </w:p>
              </w:tc>
              <w:tc>
                <w:tcPr>
                  <w:tcW w:w="2271" w:type="dxa"/>
                  <w:vAlign w:val="center"/>
                </w:tcPr>
                <w:p w14:paraId="0A2C95C2">
                  <w:pPr>
                    <w:jc w:val="center"/>
                    <w:rPr>
                      <w:szCs w:val="21"/>
                    </w:rPr>
                  </w:pPr>
                  <w:r>
                    <w:rPr>
                      <w:szCs w:val="21"/>
                    </w:rPr>
                    <w:t>24 小时平均</w:t>
                  </w:r>
                </w:p>
              </w:tc>
              <w:tc>
                <w:tcPr>
                  <w:tcW w:w="1560" w:type="dxa"/>
                  <w:vAlign w:val="center"/>
                </w:tcPr>
                <w:p w14:paraId="46A2A5A5">
                  <w:pPr>
                    <w:jc w:val="center"/>
                    <w:rPr>
                      <w:szCs w:val="21"/>
                    </w:rPr>
                  </w:pPr>
                  <w:r>
                    <w:rPr>
                      <w:szCs w:val="21"/>
                    </w:rPr>
                    <w:t>35</w:t>
                  </w:r>
                </w:p>
              </w:tc>
              <w:tc>
                <w:tcPr>
                  <w:tcW w:w="1590" w:type="dxa"/>
                  <w:vAlign w:val="center"/>
                </w:tcPr>
                <w:p w14:paraId="63BE4A63">
                  <w:pPr>
                    <w:jc w:val="center"/>
                    <w:rPr>
                      <w:szCs w:val="21"/>
                    </w:rPr>
                  </w:pPr>
                  <w:r>
                    <w:rPr>
                      <w:szCs w:val="21"/>
                    </w:rPr>
                    <w:t>75</w:t>
                  </w:r>
                </w:p>
              </w:tc>
              <w:tc>
                <w:tcPr>
                  <w:tcW w:w="1396" w:type="dxa"/>
                  <w:vMerge w:val="continue"/>
                  <w:vAlign w:val="center"/>
                </w:tcPr>
                <w:p w14:paraId="3C5C02A4">
                  <w:pPr>
                    <w:jc w:val="center"/>
                    <w:rPr>
                      <w:szCs w:val="21"/>
                    </w:rPr>
                  </w:pPr>
                </w:p>
              </w:tc>
            </w:tr>
          </w:tbl>
          <w:p w14:paraId="2367BC51">
            <w:pPr>
              <w:spacing w:line="480" w:lineRule="exact"/>
              <w:ind w:firstLine="480" w:firstLineChars="200"/>
              <w:rPr>
                <w:kern w:val="0"/>
                <w:sz w:val="24"/>
                <w:szCs w:val="22"/>
              </w:rPr>
            </w:pPr>
            <w:r>
              <w:rPr>
                <w:kern w:val="0"/>
                <w:sz w:val="24"/>
                <w:lang w:val="zh-CN"/>
              </w:rPr>
              <w:t xml:space="preserve"> </w:t>
            </w:r>
            <w:r>
              <w:rPr>
                <w:sz w:val="24"/>
              </w:rPr>
              <w:t>（2）</w:t>
            </w:r>
            <w:r>
              <w:rPr>
                <w:kern w:val="0"/>
                <w:sz w:val="24"/>
                <w:szCs w:val="22"/>
              </w:rPr>
              <w:t>声环境：项目所在区域执行《声环境质量标准》（GB3096-2008）中的1类区标准。</w:t>
            </w:r>
          </w:p>
          <w:p w14:paraId="5576772A">
            <w:pPr>
              <w:adjustRightInd w:val="0"/>
              <w:snapToGrid w:val="0"/>
              <w:jc w:val="center"/>
              <w:outlineLvl w:val="4"/>
              <w:rPr>
                <w:b/>
                <w:kern w:val="0"/>
              </w:rPr>
            </w:pPr>
          </w:p>
          <w:p w14:paraId="3FC1332F">
            <w:pPr>
              <w:adjustRightInd w:val="0"/>
              <w:snapToGrid w:val="0"/>
              <w:jc w:val="center"/>
              <w:outlineLvl w:val="4"/>
              <w:rPr>
                <w:b/>
                <w:kern w:val="0"/>
              </w:rPr>
            </w:pPr>
            <w:r>
              <w:rPr>
                <w:b/>
                <w:kern w:val="0"/>
              </w:rPr>
              <w:t>表</w:t>
            </w:r>
            <w:r>
              <w:rPr>
                <w:rFonts w:hint="eastAsia"/>
                <w:b/>
                <w:kern w:val="0"/>
              </w:rPr>
              <w:t>3-10</w:t>
            </w:r>
            <w:r>
              <w:rPr>
                <w:b/>
                <w:kern w:val="0"/>
              </w:rPr>
              <w:t xml:space="preserve">     声环境质量标准     单位：dB（A）</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201"/>
              <w:gridCol w:w="1096"/>
              <w:gridCol w:w="4315"/>
            </w:tblGrid>
            <w:tr w14:paraId="14C9A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3" w:type="dxa"/>
                  <w:vMerge w:val="restart"/>
                  <w:tcBorders>
                    <w:tl2br w:val="nil"/>
                    <w:tr2bl w:val="nil"/>
                  </w:tcBorders>
                  <w:vAlign w:val="center"/>
                </w:tcPr>
                <w:p w14:paraId="7B11DE11">
                  <w:pPr>
                    <w:jc w:val="center"/>
                    <w:rPr>
                      <w:kern w:val="0"/>
                      <w:szCs w:val="21"/>
                    </w:rPr>
                  </w:pPr>
                  <w:r>
                    <w:rPr>
                      <w:kern w:val="0"/>
                      <w:szCs w:val="21"/>
                    </w:rPr>
                    <w:t>级别</w:t>
                  </w:r>
                </w:p>
              </w:tc>
              <w:tc>
                <w:tcPr>
                  <w:tcW w:w="1930" w:type="dxa"/>
                  <w:gridSpan w:val="2"/>
                  <w:tcBorders>
                    <w:tl2br w:val="nil"/>
                    <w:tr2bl w:val="nil"/>
                  </w:tcBorders>
                  <w:vAlign w:val="center"/>
                </w:tcPr>
                <w:p w14:paraId="2D7FE2DD">
                  <w:pPr>
                    <w:jc w:val="center"/>
                    <w:rPr>
                      <w:kern w:val="0"/>
                      <w:szCs w:val="21"/>
                    </w:rPr>
                  </w:pPr>
                  <w:r>
                    <w:rPr>
                      <w:kern w:val="0"/>
                      <w:szCs w:val="21"/>
                    </w:rPr>
                    <w:t>标准值</w:t>
                  </w:r>
                </w:p>
              </w:tc>
              <w:tc>
                <w:tcPr>
                  <w:tcW w:w="3625" w:type="dxa"/>
                  <w:vMerge w:val="restart"/>
                  <w:tcBorders>
                    <w:tl2br w:val="nil"/>
                    <w:tr2bl w:val="nil"/>
                  </w:tcBorders>
                  <w:vAlign w:val="center"/>
                </w:tcPr>
                <w:p w14:paraId="044E03AD">
                  <w:pPr>
                    <w:jc w:val="center"/>
                    <w:rPr>
                      <w:kern w:val="0"/>
                      <w:szCs w:val="21"/>
                    </w:rPr>
                  </w:pPr>
                  <w:r>
                    <w:rPr>
                      <w:kern w:val="0"/>
                      <w:szCs w:val="21"/>
                    </w:rPr>
                    <w:t>标 准</w:t>
                  </w:r>
                </w:p>
              </w:tc>
            </w:tr>
            <w:tr w14:paraId="17023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13" w:type="dxa"/>
                  <w:vMerge w:val="continue"/>
                  <w:tcBorders>
                    <w:tl2br w:val="nil"/>
                    <w:tr2bl w:val="nil"/>
                  </w:tcBorders>
                  <w:vAlign w:val="center"/>
                </w:tcPr>
                <w:p w14:paraId="487C1404">
                  <w:pPr>
                    <w:jc w:val="center"/>
                    <w:rPr>
                      <w:kern w:val="0"/>
                      <w:szCs w:val="21"/>
                    </w:rPr>
                  </w:pPr>
                </w:p>
              </w:tc>
              <w:tc>
                <w:tcPr>
                  <w:tcW w:w="1009" w:type="dxa"/>
                  <w:tcBorders>
                    <w:tl2br w:val="nil"/>
                    <w:tr2bl w:val="nil"/>
                  </w:tcBorders>
                  <w:vAlign w:val="center"/>
                </w:tcPr>
                <w:p w14:paraId="76194668">
                  <w:pPr>
                    <w:jc w:val="center"/>
                    <w:rPr>
                      <w:kern w:val="0"/>
                      <w:szCs w:val="21"/>
                    </w:rPr>
                  </w:pPr>
                  <w:r>
                    <w:rPr>
                      <w:kern w:val="0"/>
                      <w:szCs w:val="21"/>
                    </w:rPr>
                    <w:t>昼间</w:t>
                  </w:r>
                </w:p>
              </w:tc>
              <w:tc>
                <w:tcPr>
                  <w:tcW w:w="921" w:type="dxa"/>
                  <w:tcBorders>
                    <w:tl2br w:val="nil"/>
                    <w:tr2bl w:val="nil"/>
                  </w:tcBorders>
                  <w:vAlign w:val="center"/>
                </w:tcPr>
                <w:p w14:paraId="2E3B1AD5">
                  <w:pPr>
                    <w:jc w:val="center"/>
                    <w:rPr>
                      <w:kern w:val="0"/>
                      <w:szCs w:val="21"/>
                    </w:rPr>
                  </w:pPr>
                  <w:r>
                    <w:rPr>
                      <w:kern w:val="0"/>
                      <w:szCs w:val="21"/>
                    </w:rPr>
                    <w:t>夜间</w:t>
                  </w:r>
                </w:p>
              </w:tc>
              <w:tc>
                <w:tcPr>
                  <w:tcW w:w="3625" w:type="dxa"/>
                  <w:vMerge w:val="continue"/>
                  <w:tcBorders>
                    <w:tl2br w:val="nil"/>
                    <w:tr2bl w:val="nil"/>
                  </w:tcBorders>
                  <w:vAlign w:val="center"/>
                </w:tcPr>
                <w:p w14:paraId="43C8500C">
                  <w:pPr>
                    <w:jc w:val="center"/>
                    <w:rPr>
                      <w:kern w:val="0"/>
                      <w:szCs w:val="21"/>
                    </w:rPr>
                  </w:pPr>
                </w:p>
              </w:tc>
            </w:tr>
            <w:tr w14:paraId="582EC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1113" w:type="dxa"/>
                  <w:tcBorders>
                    <w:tl2br w:val="nil"/>
                    <w:tr2bl w:val="nil"/>
                  </w:tcBorders>
                  <w:vAlign w:val="center"/>
                </w:tcPr>
                <w:p w14:paraId="7E09E984">
                  <w:pPr>
                    <w:jc w:val="center"/>
                    <w:rPr>
                      <w:kern w:val="0"/>
                      <w:szCs w:val="21"/>
                    </w:rPr>
                  </w:pPr>
                  <w:r>
                    <w:rPr>
                      <w:kern w:val="0"/>
                      <w:szCs w:val="21"/>
                    </w:rPr>
                    <w:t>1类区</w:t>
                  </w:r>
                </w:p>
              </w:tc>
              <w:tc>
                <w:tcPr>
                  <w:tcW w:w="1009" w:type="dxa"/>
                  <w:tcBorders>
                    <w:tl2br w:val="nil"/>
                    <w:tr2bl w:val="nil"/>
                  </w:tcBorders>
                  <w:vAlign w:val="center"/>
                </w:tcPr>
                <w:p w14:paraId="297CDD74">
                  <w:pPr>
                    <w:jc w:val="center"/>
                    <w:rPr>
                      <w:kern w:val="0"/>
                      <w:szCs w:val="21"/>
                    </w:rPr>
                  </w:pPr>
                  <w:r>
                    <w:rPr>
                      <w:kern w:val="0"/>
                      <w:szCs w:val="21"/>
                    </w:rPr>
                    <w:t>55</w:t>
                  </w:r>
                </w:p>
              </w:tc>
              <w:tc>
                <w:tcPr>
                  <w:tcW w:w="921" w:type="dxa"/>
                  <w:tcBorders>
                    <w:tl2br w:val="nil"/>
                    <w:tr2bl w:val="nil"/>
                  </w:tcBorders>
                  <w:vAlign w:val="center"/>
                </w:tcPr>
                <w:p w14:paraId="6211663E">
                  <w:pPr>
                    <w:jc w:val="center"/>
                    <w:rPr>
                      <w:kern w:val="0"/>
                      <w:szCs w:val="21"/>
                    </w:rPr>
                  </w:pPr>
                  <w:r>
                    <w:rPr>
                      <w:kern w:val="0"/>
                      <w:szCs w:val="21"/>
                    </w:rPr>
                    <w:t>45</w:t>
                  </w:r>
                </w:p>
              </w:tc>
              <w:tc>
                <w:tcPr>
                  <w:tcW w:w="3625" w:type="dxa"/>
                  <w:tcBorders>
                    <w:tl2br w:val="nil"/>
                    <w:tr2bl w:val="nil"/>
                  </w:tcBorders>
                  <w:vAlign w:val="center"/>
                </w:tcPr>
                <w:p w14:paraId="11D3DC3A">
                  <w:pPr>
                    <w:jc w:val="center"/>
                    <w:rPr>
                      <w:kern w:val="0"/>
                      <w:szCs w:val="21"/>
                    </w:rPr>
                  </w:pPr>
                  <w:r>
                    <w:rPr>
                      <w:kern w:val="0"/>
                      <w:szCs w:val="21"/>
                    </w:rPr>
                    <w:t>《声环境质量标准》（GB3096-2008）</w:t>
                  </w:r>
                </w:p>
              </w:tc>
            </w:tr>
          </w:tbl>
          <w:p w14:paraId="6712D4CA">
            <w:pPr>
              <w:spacing w:line="480" w:lineRule="exact"/>
              <w:ind w:firstLine="522" w:firstLineChars="200"/>
              <w:rPr>
                <w:b/>
                <w:bCs/>
                <w:sz w:val="24"/>
              </w:rPr>
            </w:pPr>
            <w:r>
              <w:rPr>
                <w:b/>
                <w:bCs/>
                <w:spacing w:val="10"/>
                <w:position w:val="2"/>
                <w:sz w:val="24"/>
              </w:rPr>
              <w:t>二</w:t>
            </w:r>
            <w:r>
              <w:rPr>
                <w:b/>
                <w:bCs/>
                <w:spacing w:val="8"/>
                <w:position w:val="2"/>
                <w:sz w:val="24"/>
              </w:rPr>
              <w:t>、污染物排放标准</w:t>
            </w:r>
          </w:p>
          <w:p w14:paraId="13624E54">
            <w:pPr>
              <w:spacing w:line="480" w:lineRule="exact"/>
              <w:ind w:firstLine="482" w:firstLineChars="200"/>
              <w:rPr>
                <w:b/>
                <w:bCs/>
                <w:sz w:val="24"/>
              </w:rPr>
            </w:pPr>
            <w:r>
              <w:rPr>
                <w:b/>
                <w:bCs/>
                <w:sz w:val="24"/>
              </w:rPr>
              <w:t>1.施工期</w:t>
            </w:r>
          </w:p>
          <w:p w14:paraId="08A9552F">
            <w:pPr>
              <w:spacing w:line="480" w:lineRule="exact"/>
              <w:ind w:firstLine="480" w:firstLineChars="200"/>
              <w:rPr>
                <w:sz w:val="24"/>
              </w:rPr>
            </w:pPr>
            <w:r>
              <w:rPr>
                <w:sz w:val="24"/>
              </w:rPr>
              <w:t>（1）废气</w:t>
            </w:r>
          </w:p>
          <w:p w14:paraId="3A48855B">
            <w:pPr>
              <w:spacing w:line="480" w:lineRule="exact"/>
              <w:ind w:firstLine="480"/>
              <w:jc w:val="left"/>
              <w:rPr>
                <w:sz w:val="24"/>
              </w:rPr>
            </w:pPr>
            <w:r>
              <w:rPr>
                <w:sz w:val="24"/>
              </w:rPr>
              <w:t>施工扬尘执行《施工场地扬尘排放标准》（DB13/2934-2019）表1扬尘排放浓度限值。</w:t>
            </w:r>
          </w:p>
          <w:p w14:paraId="64293EB8">
            <w:pPr>
              <w:spacing w:line="480" w:lineRule="exact"/>
              <w:ind w:firstLine="422"/>
              <w:jc w:val="center"/>
              <w:rPr>
                <w:b/>
                <w:bCs/>
                <w:kern w:val="24"/>
                <w:szCs w:val="21"/>
              </w:rPr>
            </w:pPr>
            <w:r>
              <w:rPr>
                <w:b/>
                <w:bCs/>
                <w:kern w:val="24"/>
                <w:szCs w:val="21"/>
              </w:rPr>
              <w:t>表3</w:t>
            </w:r>
            <w:r>
              <w:rPr>
                <w:rFonts w:hint="eastAsia"/>
                <w:b/>
                <w:bCs/>
                <w:kern w:val="24"/>
                <w:szCs w:val="21"/>
              </w:rPr>
              <w:t>-11</w:t>
            </w:r>
            <w:r>
              <w:rPr>
                <w:b/>
                <w:bCs/>
                <w:kern w:val="24"/>
                <w:szCs w:val="21"/>
              </w:rPr>
              <w:t xml:space="preserve">    扬尘排放浓度限值</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5"/>
              <w:gridCol w:w="2646"/>
            </w:tblGrid>
            <w:tr w14:paraId="4DA21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46" w:type="dxa"/>
                  <w:vAlign w:val="center"/>
                </w:tcPr>
                <w:p w14:paraId="252EE59B">
                  <w:pPr>
                    <w:spacing w:line="320" w:lineRule="exact"/>
                    <w:jc w:val="center"/>
                    <w:rPr>
                      <w:kern w:val="24"/>
                      <w:szCs w:val="21"/>
                    </w:rPr>
                  </w:pPr>
                  <w:r>
                    <w:rPr>
                      <w:kern w:val="24"/>
                      <w:szCs w:val="21"/>
                    </w:rPr>
                    <w:t>控制项目</w:t>
                  </w:r>
                </w:p>
              </w:tc>
              <w:tc>
                <w:tcPr>
                  <w:tcW w:w="2645" w:type="dxa"/>
                  <w:vAlign w:val="center"/>
                </w:tcPr>
                <w:p w14:paraId="647D4480">
                  <w:pPr>
                    <w:spacing w:line="320" w:lineRule="exact"/>
                    <w:jc w:val="center"/>
                    <w:rPr>
                      <w:kern w:val="24"/>
                      <w:szCs w:val="21"/>
                    </w:rPr>
                  </w:pPr>
                  <w:r>
                    <w:rPr>
                      <w:kern w:val="24"/>
                      <w:szCs w:val="21"/>
                    </w:rPr>
                    <w:t>监测点浓度限值</w:t>
                  </w:r>
                  <w:r>
                    <w:rPr>
                      <w:kern w:val="24"/>
                      <w:szCs w:val="21"/>
                      <w:vertAlign w:val="superscript"/>
                    </w:rPr>
                    <w:t>a</w:t>
                  </w:r>
                  <w:r>
                    <w:rPr>
                      <w:kern w:val="24"/>
                      <w:szCs w:val="21"/>
                    </w:rPr>
                    <w:t>（</w:t>
                  </w:r>
                  <w:r>
                    <w:rPr>
                      <w:szCs w:val="21"/>
                    </w:rPr>
                    <w:t>μg/m</w:t>
                  </w:r>
                  <w:r>
                    <w:rPr>
                      <w:szCs w:val="21"/>
                      <w:vertAlign w:val="superscript"/>
                    </w:rPr>
                    <w:t>3</w:t>
                  </w:r>
                  <w:r>
                    <w:rPr>
                      <w:kern w:val="24"/>
                      <w:szCs w:val="21"/>
                    </w:rPr>
                    <w:t>）</w:t>
                  </w:r>
                </w:p>
              </w:tc>
              <w:tc>
                <w:tcPr>
                  <w:tcW w:w="2646" w:type="dxa"/>
                  <w:vAlign w:val="center"/>
                </w:tcPr>
                <w:p w14:paraId="62357276">
                  <w:pPr>
                    <w:spacing w:line="320" w:lineRule="exact"/>
                    <w:jc w:val="center"/>
                    <w:rPr>
                      <w:kern w:val="24"/>
                      <w:szCs w:val="21"/>
                    </w:rPr>
                  </w:pPr>
                  <w:r>
                    <w:rPr>
                      <w:kern w:val="24"/>
                      <w:szCs w:val="21"/>
                    </w:rPr>
                    <w:t>达标判定依据（次/天）</w:t>
                  </w:r>
                </w:p>
              </w:tc>
            </w:tr>
            <w:tr w14:paraId="72DE2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46" w:type="dxa"/>
                  <w:vAlign w:val="center"/>
                </w:tcPr>
                <w:p w14:paraId="0908FEE7">
                  <w:pPr>
                    <w:spacing w:line="320" w:lineRule="exact"/>
                    <w:jc w:val="center"/>
                    <w:rPr>
                      <w:kern w:val="24"/>
                      <w:szCs w:val="21"/>
                    </w:rPr>
                  </w:pPr>
                  <w:r>
                    <w:rPr>
                      <w:kern w:val="24"/>
                      <w:szCs w:val="21"/>
                    </w:rPr>
                    <w:t>PM</w:t>
                  </w:r>
                  <w:r>
                    <w:rPr>
                      <w:kern w:val="24"/>
                      <w:szCs w:val="21"/>
                      <w:vertAlign w:val="subscript"/>
                    </w:rPr>
                    <w:t>10</w:t>
                  </w:r>
                </w:p>
              </w:tc>
              <w:tc>
                <w:tcPr>
                  <w:tcW w:w="2645" w:type="dxa"/>
                  <w:vAlign w:val="center"/>
                </w:tcPr>
                <w:p w14:paraId="1F2175AE">
                  <w:pPr>
                    <w:spacing w:line="320" w:lineRule="exact"/>
                    <w:jc w:val="center"/>
                    <w:rPr>
                      <w:kern w:val="24"/>
                      <w:szCs w:val="21"/>
                    </w:rPr>
                  </w:pPr>
                  <w:r>
                    <w:rPr>
                      <w:kern w:val="24"/>
                      <w:szCs w:val="21"/>
                    </w:rPr>
                    <w:t>80</w:t>
                  </w:r>
                </w:p>
              </w:tc>
              <w:tc>
                <w:tcPr>
                  <w:tcW w:w="2646" w:type="dxa"/>
                  <w:vAlign w:val="center"/>
                </w:tcPr>
                <w:p w14:paraId="364001FA">
                  <w:pPr>
                    <w:spacing w:line="320" w:lineRule="exact"/>
                    <w:jc w:val="center"/>
                    <w:rPr>
                      <w:kern w:val="24"/>
                      <w:szCs w:val="21"/>
                    </w:rPr>
                  </w:pPr>
                  <w:r>
                    <w:rPr>
                      <w:kern w:val="24"/>
                      <w:szCs w:val="21"/>
                    </w:rPr>
                    <w:t>≤2</w:t>
                  </w:r>
                </w:p>
              </w:tc>
            </w:tr>
            <w:tr w14:paraId="751BE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3"/>
                  <w:vAlign w:val="center"/>
                </w:tcPr>
                <w:p w14:paraId="2B7C6C82">
                  <w:pPr>
                    <w:spacing w:line="320" w:lineRule="exact"/>
                    <w:jc w:val="center"/>
                    <w:rPr>
                      <w:kern w:val="24"/>
                      <w:szCs w:val="21"/>
                    </w:rPr>
                  </w:pPr>
                  <w:r>
                    <w:rPr>
                      <w:kern w:val="24"/>
                      <w:szCs w:val="21"/>
                      <w:vertAlign w:val="superscript"/>
                    </w:rPr>
                    <w:t>a</w:t>
                  </w:r>
                  <w:r>
                    <w:rPr>
                      <w:kern w:val="24"/>
                      <w:szCs w:val="21"/>
                    </w:rPr>
                    <w:t>指监测点PM</w:t>
                  </w:r>
                  <w:r>
                    <w:rPr>
                      <w:kern w:val="24"/>
                      <w:szCs w:val="21"/>
                      <w:vertAlign w:val="subscript"/>
                    </w:rPr>
                    <w:t>10</w:t>
                  </w:r>
                  <w:r>
                    <w:rPr>
                      <w:kern w:val="24"/>
                      <w:szCs w:val="21"/>
                    </w:rPr>
                    <w:t>小时平均浓度实测值与同时段所属县（市、区）PM</w:t>
                  </w:r>
                  <w:r>
                    <w:rPr>
                      <w:kern w:val="24"/>
                      <w:szCs w:val="21"/>
                      <w:vertAlign w:val="subscript"/>
                    </w:rPr>
                    <w:t>10</w:t>
                  </w:r>
                  <w:r>
                    <w:rPr>
                      <w:kern w:val="24"/>
                      <w:szCs w:val="21"/>
                    </w:rPr>
                    <w:t>小时平均浓度的差值。当县（市、区）PM</w:t>
                  </w:r>
                  <w:r>
                    <w:rPr>
                      <w:kern w:val="24"/>
                      <w:szCs w:val="21"/>
                      <w:vertAlign w:val="subscript"/>
                    </w:rPr>
                    <w:t>10</w:t>
                  </w:r>
                  <w:r>
                    <w:rPr>
                      <w:kern w:val="24"/>
                      <w:szCs w:val="21"/>
                    </w:rPr>
                    <w:t>小时平均浓度值大于150</w:t>
                  </w:r>
                  <w:r>
                    <w:rPr>
                      <w:szCs w:val="21"/>
                    </w:rPr>
                    <w:t>μg/m</w:t>
                  </w:r>
                  <w:r>
                    <w:rPr>
                      <w:szCs w:val="21"/>
                      <w:vertAlign w:val="superscript"/>
                    </w:rPr>
                    <w:t>3</w:t>
                  </w:r>
                  <w:r>
                    <w:rPr>
                      <w:szCs w:val="21"/>
                    </w:rPr>
                    <w:t>时，以</w:t>
                  </w:r>
                  <w:r>
                    <w:rPr>
                      <w:kern w:val="24"/>
                      <w:szCs w:val="21"/>
                    </w:rPr>
                    <w:t>150</w:t>
                  </w:r>
                  <w:r>
                    <w:rPr>
                      <w:szCs w:val="21"/>
                    </w:rPr>
                    <w:t>μg/m</w:t>
                  </w:r>
                  <w:r>
                    <w:rPr>
                      <w:szCs w:val="21"/>
                      <w:vertAlign w:val="superscript"/>
                    </w:rPr>
                    <w:t>3</w:t>
                  </w:r>
                  <w:r>
                    <w:rPr>
                      <w:szCs w:val="21"/>
                    </w:rPr>
                    <w:t>计。</w:t>
                  </w:r>
                </w:p>
              </w:tc>
            </w:tr>
          </w:tbl>
          <w:p w14:paraId="6FD2C102">
            <w:pPr>
              <w:spacing w:line="480" w:lineRule="exact"/>
              <w:ind w:firstLine="480" w:firstLineChars="200"/>
              <w:rPr>
                <w:sz w:val="24"/>
              </w:rPr>
            </w:pPr>
            <w:r>
              <w:rPr>
                <w:sz w:val="24"/>
              </w:rPr>
              <w:t>（2）噪声</w:t>
            </w:r>
          </w:p>
          <w:p w14:paraId="2C2FC159">
            <w:pPr>
              <w:spacing w:line="480" w:lineRule="exact"/>
              <w:ind w:firstLine="480" w:firstLineChars="200"/>
              <w:rPr>
                <w:snapToGrid w:val="0"/>
                <w:kern w:val="0"/>
                <w:sz w:val="24"/>
              </w:rPr>
            </w:pPr>
            <w:r>
              <w:rPr>
                <w:sz w:val="24"/>
              </w:rPr>
              <w:t>施工期噪声</w:t>
            </w:r>
            <w:r>
              <w:rPr>
                <w:kern w:val="24"/>
                <w:sz w:val="24"/>
              </w:rPr>
              <w:t>执行</w:t>
            </w:r>
            <w:r>
              <w:rPr>
                <w:sz w:val="24"/>
                <w:lang w:val="zh-CN"/>
              </w:rPr>
              <w:t>《建筑施工场界环境噪声排放标准》（GB12523-2011）中限值：昼间：</w:t>
            </w:r>
            <w:r>
              <w:rPr>
                <w:sz w:val="24"/>
              </w:rPr>
              <w:t>70</w:t>
            </w:r>
            <w:r>
              <w:rPr>
                <w:snapToGrid w:val="0"/>
                <w:kern w:val="0"/>
                <w:sz w:val="24"/>
              </w:rPr>
              <w:t>dB（A），夜间：55dB（A）</w:t>
            </w:r>
          </w:p>
          <w:p w14:paraId="18B21EF7">
            <w:pPr>
              <w:spacing w:line="480" w:lineRule="exact"/>
              <w:ind w:firstLine="482" w:firstLineChars="200"/>
              <w:rPr>
                <w:b/>
                <w:bCs/>
                <w:snapToGrid w:val="0"/>
                <w:kern w:val="0"/>
                <w:sz w:val="24"/>
              </w:rPr>
            </w:pPr>
            <w:r>
              <w:rPr>
                <w:b/>
                <w:bCs/>
                <w:snapToGrid w:val="0"/>
                <w:kern w:val="0"/>
                <w:sz w:val="24"/>
              </w:rPr>
              <w:t>（3）固废</w:t>
            </w:r>
          </w:p>
          <w:p w14:paraId="24059471">
            <w:pPr>
              <w:spacing w:line="480" w:lineRule="exact"/>
              <w:ind w:firstLine="480" w:firstLineChars="200"/>
              <w:rPr>
                <w:b/>
                <w:bCs/>
                <w:snapToGrid w:val="0"/>
                <w:kern w:val="0"/>
                <w:sz w:val="24"/>
              </w:rPr>
            </w:pPr>
            <w:r>
              <w:rPr>
                <w:sz w:val="24"/>
              </w:rPr>
              <w:t>施工期建筑渣土处置执行《中华人民共和国固体废物污染环境防治法（2020年修订）》及建部门建筑工程渣土管理办法，建筑渣土堆放于指定地点、建筑工地文明施工管理规定等，不得形成二次污染。一般固废参考执行《一般工业固体废物贮存和填埋污染控制标准》（GB18599-2020）、《中华人民共和国固体废物污染环境防治法》、《排污许可证申请与核发技术规范 工业固体废物(试行)》（HJ1200-2021）中相关要求。</w:t>
            </w:r>
          </w:p>
          <w:p w14:paraId="08014B10">
            <w:pPr>
              <w:spacing w:line="480" w:lineRule="exact"/>
              <w:ind w:firstLine="482" w:firstLineChars="200"/>
              <w:rPr>
                <w:b/>
                <w:bCs/>
                <w:snapToGrid w:val="0"/>
                <w:kern w:val="0"/>
                <w:sz w:val="24"/>
              </w:rPr>
            </w:pPr>
            <w:r>
              <w:rPr>
                <w:b/>
                <w:bCs/>
                <w:snapToGrid w:val="0"/>
                <w:kern w:val="0"/>
                <w:sz w:val="24"/>
              </w:rPr>
              <w:t>2.运营期</w:t>
            </w:r>
          </w:p>
          <w:p w14:paraId="437D72C6">
            <w:pPr>
              <w:spacing w:line="480" w:lineRule="exact"/>
              <w:ind w:firstLine="480" w:firstLineChars="200"/>
              <w:rPr>
                <w:sz w:val="24"/>
              </w:rPr>
            </w:pPr>
            <w:r>
              <w:rPr>
                <w:sz w:val="24"/>
              </w:rPr>
              <w:t>（1）废气</w:t>
            </w:r>
          </w:p>
          <w:p w14:paraId="0C00206B">
            <w:pPr>
              <w:spacing w:line="480" w:lineRule="exact"/>
              <w:ind w:firstLine="480" w:firstLineChars="200"/>
              <w:rPr>
                <w:sz w:val="24"/>
              </w:rPr>
            </w:pPr>
            <w:r>
              <w:rPr>
                <w:sz w:val="24"/>
              </w:rPr>
              <w:t>升压站污水处理设施运行过程中废气执行</w:t>
            </w:r>
            <w:r>
              <w:rPr>
                <w:rFonts w:hint="eastAsia"/>
                <w:sz w:val="24"/>
              </w:rPr>
              <w:t>《</w:t>
            </w:r>
            <w:r>
              <w:rPr>
                <w:sz w:val="24"/>
              </w:rPr>
              <w:t>城镇污水处理厂污染物排放标准</w:t>
            </w:r>
            <w:r>
              <w:rPr>
                <w:rFonts w:hint="eastAsia"/>
                <w:sz w:val="24"/>
              </w:rPr>
              <w:t>》（</w:t>
            </w:r>
            <w:r>
              <w:rPr>
                <w:sz w:val="24"/>
              </w:rPr>
              <w:t>GB 18918-2002</w:t>
            </w:r>
            <w:r>
              <w:rPr>
                <w:rFonts w:hint="eastAsia"/>
                <w:sz w:val="24"/>
              </w:rPr>
              <w:t>）</w:t>
            </w:r>
            <w:r>
              <w:rPr>
                <w:sz w:val="24"/>
              </w:rPr>
              <w:t>表</w:t>
            </w:r>
            <w:r>
              <w:rPr>
                <w:rFonts w:hint="eastAsia"/>
                <w:sz w:val="24"/>
              </w:rPr>
              <w:t>4</w:t>
            </w:r>
            <w:r>
              <w:rPr>
                <w:sz w:val="24"/>
              </w:rPr>
              <w:t>厂界废气最高允许排放浓度</w:t>
            </w:r>
            <w:r>
              <w:rPr>
                <w:rFonts w:hint="eastAsia"/>
                <w:sz w:val="24"/>
              </w:rPr>
              <w:t>二级标准</w:t>
            </w:r>
            <w:r>
              <w:rPr>
                <w:sz w:val="24"/>
              </w:rPr>
              <w:t>NH</w:t>
            </w:r>
            <w:r>
              <w:rPr>
                <w:sz w:val="24"/>
                <w:vertAlign w:val="subscript"/>
              </w:rPr>
              <w:t xml:space="preserve">3 </w:t>
            </w:r>
            <w:r>
              <w:rPr>
                <w:sz w:val="24"/>
              </w:rPr>
              <w:t>1.5mg/m</w:t>
            </w:r>
            <w:r>
              <w:rPr>
                <w:sz w:val="24"/>
                <w:vertAlign w:val="superscript"/>
              </w:rPr>
              <w:t>3</w:t>
            </w:r>
            <w:r>
              <w:rPr>
                <w:rFonts w:hint="eastAsia"/>
                <w:sz w:val="24"/>
              </w:rPr>
              <w:t>、</w:t>
            </w:r>
            <w:r>
              <w:rPr>
                <w:sz w:val="24"/>
              </w:rPr>
              <w:t>H</w:t>
            </w:r>
            <w:r>
              <w:rPr>
                <w:sz w:val="24"/>
                <w:vertAlign w:val="subscript"/>
              </w:rPr>
              <w:t>2</w:t>
            </w:r>
            <w:r>
              <w:rPr>
                <w:sz w:val="24"/>
              </w:rPr>
              <w:t>S 0.06mg/m</w:t>
            </w:r>
            <w:r>
              <w:rPr>
                <w:sz w:val="24"/>
                <w:vertAlign w:val="superscript"/>
              </w:rPr>
              <w:t>3</w:t>
            </w:r>
            <w:r>
              <w:rPr>
                <w:rFonts w:hint="eastAsia"/>
                <w:sz w:val="24"/>
              </w:rPr>
              <w:t>、</w:t>
            </w:r>
            <w:r>
              <w:rPr>
                <w:sz w:val="24"/>
              </w:rPr>
              <w:t>臭气浓度20（无量纲）</w:t>
            </w:r>
            <w:r>
              <w:rPr>
                <w:rFonts w:hint="eastAsia"/>
                <w:sz w:val="24"/>
              </w:rPr>
              <w:t>、甲烷（厂区最高体积浓度）1%</w:t>
            </w:r>
            <w:r>
              <w:rPr>
                <w:sz w:val="24"/>
              </w:rPr>
              <w:t>的限值要求。</w:t>
            </w:r>
          </w:p>
          <w:p w14:paraId="79F150A3">
            <w:pPr>
              <w:spacing w:line="480" w:lineRule="exact"/>
              <w:ind w:firstLine="480" w:firstLineChars="200"/>
              <w:rPr>
                <w:sz w:val="24"/>
              </w:rPr>
            </w:pPr>
            <w:r>
              <w:rPr>
                <w:sz w:val="24"/>
              </w:rPr>
              <w:t>食堂废气执行《餐饮业大气污染物排放标准》（DB13/5808-2023) 小型规模油烟最高允许排放浓度油烟1.5mg/m</w:t>
            </w:r>
            <w:r>
              <w:rPr>
                <w:sz w:val="24"/>
                <w:vertAlign w:val="superscript"/>
              </w:rPr>
              <w:t>3</w:t>
            </w:r>
            <w:r>
              <w:rPr>
                <w:sz w:val="24"/>
              </w:rPr>
              <w:t>的要求，同时执行《唐山市餐饮油烟污染治理专项方案》  (唐气领办[2021]58号) ：油烟≤1mg/m</w:t>
            </w:r>
            <w:r>
              <w:rPr>
                <w:sz w:val="24"/>
                <w:vertAlign w:val="superscript"/>
              </w:rPr>
              <w:t>3</w:t>
            </w:r>
            <w:r>
              <w:rPr>
                <w:sz w:val="24"/>
              </w:rPr>
              <w:t>。</w:t>
            </w:r>
          </w:p>
          <w:p w14:paraId="11412E23">
            <w:pPr>
              <w:spacing w:line="480" w:lineRule="exact"/>
              <w:ind w:firstLine="480" w:firstLineChars="200"/>
              <w:rPr>
                <w:sz w:val="24"/>
              </w:rPr>
            </w:pPr>
            <w:r>
              <w:rPr>
                <w:sz w:val="24"/>
              </w:rPr>
              <w:t>（2）废水</w:t>
            </w:r>
          </w:p>
          <w:p w14:paraId="4E2B0083">
            <w:pPr>
              <w:spacing w:line="480" w:lineRule="exact"/>
              <w:ind w:firstLine="480" w:firstLineChars="200"/>
              <w:rPr>
                <w:sz w:val="24"/>
              </w:rPr>
            </w:pPr>
            <w:r>
              <w:rPr>
                <w:sz w:val="24"/>
              </w:rPr>
              <w:t>运营期废水执行《城市污水再生利用城市杂用水水质》(GB/T18920-2020) 表1中“城市绿化，道路清扫，消防，建筑施工”回用标准。</w:t>
            </w:r>
          </w:p>
          <w:p w14:paraId="3201151A">
            <w:pPr>
              <w:adjustRightInd w:val="0"/>
              <w:snapToGrid w:val="0"/>
              <w:spacing w:line="480" w:lineRule="exact"/>
              <w:jc w:val="center"/>
              <w:outlineLvl w:val="4"/>
              <w:rPr>
                <w:b/>
                <w:kern w:val="0"/>
              </w:rPr>
            </w:pPr>
            <w:r>
              <w:rPr>
                <w:b/>
                <w:kern w:val="0"/>
              </w:rPr>
              <w:t>表</w:t>
            </w:r>
            <w:r>
              <w:rPr>
                <w:rFonts w:hint="eastAsia"/>
                <w:b/>
                <w:kern w:val="0"/>
              </w:rPr>
              <w:t>3-12</w:t>
            </w:r>
            <w:r>
              <w:rPr>
                <w:b/>
                <w:kern w:val="0"/>
              </w:rPr>
              <w:t xml:space="preserve">       废水污染物排放标准</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9"/>
              <w:gridCol w:w="1302"/>
              <w:gridCol w:w="1450"/>
              <w:gridCol w:w="1372"/>
              <w:gridCol w:w="3244"/>
            </w:tblGrid>
            <w:tr w14:paraId="4F460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9" w:hRule="atLeast"/>
                <w:jc w:val="center"/>
              </w:trPr>
              <w:tc>
                <w:tcPr>
                  <w:tcW w:w="454" w:type="dxa"/>
                  <w:tcBorders>
                    <w:tl2br w:val="nil"/>
                    <w:tr2bl w:val="nil"/>
                  </w:tcBorders>
                  <w:vAlign w:val="center"/>
                </w:tcPr>
                <w:p w14:paraId="7238F5FF">
                  <w:pPr>
                    <w:jc w:val="center"/>
                    <w:rPr>
                      <w:kern w:val="0"/>
                      <w:szCs w:val="21"/>
                    </w:rPr>
                  </w:pPr>
                  <w:r>
                    <w:rPr>
                      <w:kern w:val="0"/>
                      <w:szCs w:val="21"/>
                    </w:rPr>
                    <w:t>项目</w:t>
                  </w:r>
                </w:p>
              </w:tc>
              <w:tc>
                <w:tcPr>
                  <w:tcW w:w="1038" w:type="dxa"/>
                  <w:tcBorders>
                    <w:tl2br w:val="nil"/>
                    <w:tr2bl w:val="nil"/>
                  </w:tcBorders>
                  <w:vAlign w:val="center"/>
                </w:tcPr>
                <w:p w14:paraId="1849EF01">
                  <w:pPr>
                    <w:jc w:val="center"/>
                    <w:rPr>
                      <w:kern w:val="0"/>
                      <w:szCs w:val="21"/>
                    </w:rPr>
                  </w:pPr>
                  <w:r>
                    <w:rPr>
                      <w:kern w:val="0"/>
                      <w:szCs w:val="21"/>
                    </w:rPr>
                    <w:t>排污节点</w:t>
                  </w:r>
                </w:p>
              </w:tc>
              <w:tc>
                <w:tcPr>
                  <w:tcW w:w="1156" w:type="dxa"/>
                  <w:tcBorders>
                    <w:tl2br w:val="nil"/>
                    <w:tr2bl w:val="nil"/>
                  </w:tcBorders>
                  <w:vAlign w:val="center"/>
                </w:tcPr>
                <w:p w14:paraId="414BC8AB">
                  <w:pPr>
                    <w:jc w:val="center"/>
                    <w:rPr>
                      <w:kern w:val="0"/>
                      <w:szCs w:val="21"/>
                    </w:rPr>
                  </w:pPr>
                  <w:r>
                    <w:rPr>
                      <w:kern w:val="0"/>
                      <w:szCs w:val="21"/>
                    </w:rPr>
                    <w:t>污染物</w:t>
                  </w:r>
                </w:p>
              </w:tc>
              <w:tc>
                <w:tcPr>
                  <w:tcW w:w="1094" w:type="dxa"/>
                  <w:tcBorders>
                    <w:tl2br w:val="nil"/>
                    <w:tr2bl w:val="nil"/>
                  </w:tcBorders>
                  <w:vAlign w:val="center"/>
                </w:tcPr>
                <w:p w14:paraId="7A37B6E0">
                  <w:pPr>
                    <w:jc w:val="center"/>
                    <w:rPr>
                      <w:szCs w:val="21"/>
                    </w:rPr>
                  </w:pPr>
                  <w:r>
                    <w:rPr>
                      <w:kern w:val="0"/>
                      <w:szCs w:val="21"/>
                    </w:rPr>
                    <w:t>单位</w:t>
                  </w:r>
                </w:p>
              </w:tc>
              <w:tc>
                <w:tcPr>
                  <w:tcW w:w="2587" w:type="dxa"/>
                  <w:tcBorders>
                    <w:tl2br w:val="nil"/>
                    <w:tr2bl w:val="nil"/>
                  </w:tcBorders>
                  <w:vAlign w:val="center"/>
                </w:tcPr>
                <w:p w14:paraId="7912AB21">
                  <w:pPr>
                    <w:jc w:val="center"/>
                    <w:rPr>
                      <w:kern w:val="0"/>
                      <w:szCs w:val="21"/>
                    </w:rPr>
                  </w:pPr>
                  <w:r>
                    <w:rPr>
                      <w:szCs w:val="21"/>
                    </w:rPr>
                    <w:t>标准值</w:t>
                  </w:r>
                </w:p>
              </w:tc>
            </w:tr>
            <w:tr w14:paraId="2855D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5" w:hRule="atLeast"/>
                <w:jc w:val="center"/>
              </w:trPr>
              <w:tc>
                <w:tcPr>
                  <w:tcW w:w="454" w:type="dxa"/>
                  <w:vMerge w:val="restart"/>
                  <w:tcBorders>
                    <w:tl2br w:val="nil"/>
                    <w:tr2bl w:val="nil"/>
                  </w:tcBorders>
                  <w:vAlign w:val="center"/>
                </w:tcPr>
                <w:p w14:paraId="3C58ACD3">
                  <w:pPr>
                    <w:jc w:val="center"/>
                    <w:rPr>
                      <w:kern w:val="0"/>
                      <w:szCs w:val="21"/>
                    </w:rPr>
                  </w:pPr>
                  <w:r>
                    <w:rPr>
                      <w:kern w:val="0"/>
                      <w:szCs w:val="21"/>
                    </w:rPr>
                    <w:t>废水</w:t>
                  </w:r>
                </w:p>
              </w:tc>
              <w:tc>
                <w:tcPr>
                  <w:tcW w:w="1038" w:type="dxa"/>
                  <w:vMerge w:val="restart"/>
                  <w:tcBorders>
                    <w:tl2br w:val="nil"/>
                    <w:tr2bl w:val="nil"/>
                  </w:tcBorders>
                  <w:vAlign w:val="center"/>
                </w:tcPr>
                <w:p w14:paraId="1BD9489A">
                  <w:pPr>
                    <w:jc w:val="center"/>
                    <w:rPr>
                      <w:kern w:val="0"/>
                      <w:szCs w:val="21"/>
                    </w:rPr>
                  </w:pPr>
                  <w:r>
                    <w:rPr>
                      <w:kern w:val="0"/>
                      <w:szCs w:val="21"/>
                    </w:rPr>
                    <w:t>生活污水</w:t>
                  </w:r>
                </w:p>
              </w:tc>
              <w:tc>
                <w:tcPr>
                  <w:tcW w:w="1156" w:type="dxa"/>
                  <w:tcBorders>
                    <w:tl2br w:val="nil"/>
                    <w:tr2bl w:val="nil"/>
                  </w:tcBorders>
                  <w:vAlign w:val="center"/>
                </w:tcPr>
                <w:p w14:paraId="766F6137">
                  <w:pPr>
                    <w:pStyle w:val="16"/>
                    <w:jc w:val="center"/>
                    <w:rPr>
                      <w:rFonts w:ascii="Times New Roman" w:hAnsi="Times New Roman"/>
                      <w:kern w:val="0"/>
                      <w:szCs w:val="21"/>
                    </w:rPr>
                  </w:pPr>
                  <w:r>
                    <w:rPr>
                      <w:rFonts w:ascii="Times New Roman" w:hAnsi="Times New Roman"/>
                      <w:szCs w:val="21"/>
                    </w:rPr>
                    <w:t>pH</w:t>
                  </w:r>
                </w:p>
              </w:tc>
              <w:tc>
                <w:tcPr>
                  <w:tcW w:w="1094" w:type="dxa"/>
                  <w:tcBorders>
                    <w:tl2br w:val="nil"/>
                    <w:tr2bl w:val="nil"/>
                  </w:tcBorders>
                  <w:vAlign w:val="center"/>
                </w:tcPr>
                <w:p w14:paraId="660CB6A5">
                  <w:pPr>
                    <w:jc w:val="center"/>
                    <w:rPr>
                      <w:szCs w:val="21"/>
                    </w:rPr>
                  </w:pPr>
                  <w:r>
                    <w:rPr>
                      <w:kern w:val="0"/>
                      <w:szCs w:val="21"/>
                    </w:rPr>
                    <w:t>---</w:t>
                  </w:r>
                </w:p>
              </w:tc>
              <w:tc>
                <w:tcPr>
                  <w:tcW w:w="2587" w:type="dxa"/>
                  <w:tcBorders>
                    <w:tl2br w:val="nil"/>
                    <w:tr2bl w:val="nil"/>
                  </w:tcBorders>
                  <w:vAlign w:val="center"/>
                </w:tcPr>
                <w:p w14:paraId="0A8C51A4">
                  <w:pPr>
                    <w:jc w:val="center"/>
                    <w:rPr>
                      <w:kern w:val="0"/>
                      <w:szCs w:val="21"/>
                    </w:rPr>
                  </w:pPr>
                  <w:r>
                    <w:rPr>
                      <w:kern w:val="0"/>
                      <w:szCs w:val="21"/>
                    </w:rPr>
                    <w:t>6~9</w:t>
                  </w:r>
                </w:p>
              </w:tc>
            </w:tr>
            <w:tr w14:paraId="4A25E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5" w:hRule="atLeast"/>
                <w:jc w:val="center"/>
              </w:trPr>
              <w:tc>
                <w:tcPr>
                  <w:tcW w:w="454" w:type="dxa"/>
                  <w:vMerge w:val="continue"/>
                  <w:tcBorders>
                    <w:tl2br w:val="nil"/>
                    <w:tr2bl w:val="nil"/>
                  </w:tcBorders>
                  <w:vAlign w:val="center"/>
                </w:tcPr>
                <w:p w14:paraId="2608FD32">
                  <w:pPr>
                    <w:jc w:val="center"/>
                    <w:rPr>
                      <w:kern w:val="0"/>
                      <w:szCs w:val="21"/>
                    </w:rPr>
                  </w:pPr>
                </w:p>
              </w:tc>
              <w:tc>
                <w:tcPr>
                  <w:tcW w:w="1038" w:type="dxa"/>
                  <w:vMerge w:val="continue"/>
                  <w:tcBorders>
                    <w:tl2br w:val="nil"/>
                    <w:tr2bl w:val="nil"/>
                  </w:tcBorders>
                  <w:vAlign w:val="center"/>
                </w:tcPr>
                <w:p w14:paraId="442E06E1">
                  <w:pPr>
                    <w:jc w:val="center"/>
                    <w:rPr>
                      <w:kern w:val="0"/>
                      <w:szCs w:val="21"/>
                    </w:rPr>
                  </w:pPr>
                </w:p>
              </w:tc>
              <w:tc>
                <w:tcPr>
                  <w:tcW w:w="1156" w:type="dxa"/>
                  <w:tcBorders>
                    <w:tl2br w:val="nil"/>
                    <w:tr2bl w:val="nil"/>
                  </w:tcBorders>
                  <w:vAlign w:val="center"/>
                </w:tcPr>
                <w:p w14:paraId="6E64C9C0">
                  <w:pPr>
                    <w:pStyle w:val="16"/>
                    <w:jc w:val="center"/>
                    <w:rPr>
                      <w:rFonts w:ascii="Times New Roman" w:hAnsi="Times New Roman"/>
                      <w:kern w:val="0"/>
                      <w:szCs w:val="21"/>
                    </w:rPr>
                  </w:pPr>
                  <w:r>
                    <w:rPr>
                      <w:rFonts w:ascii="Times New Roman" w:hAnsi="Times New Roman"/>
                      <w:kern w:val="0"/>
                      <w:szCs w:val="21"/>
                      <w:lang w:val="zh-CN"/>
                    </w:rPr>
                    <w:t>BOD</w:t>
                  </w:r>
                  <w:r>
                    <w:rPr>
                      <w:rFonts w:ascii="Times New Roman" w:hAnsi="Times New Roman"/>
                      <w:kern w:val="0"/>
                      <w:szCs w:val="21"/>
                      <w:vertAlign w:val="subscript"/>
                      <w:lang w:val="zh-CN"/>
                    </w:rPr>
                    <w:t>5</w:t>
                  </w:r>
                </w:p>
              </w:tc>
              <w:tc>
                <w:tcPr>
                  <w:tcW w:w="1094" w:type="dxa"/>
                  <w:tcBorders>
                    <w:tl2br w:val="nil"/>
                    <w:tr2bl w:val="nil"/>
                  </w:tcBorders>
                  <w:vAlign w:val="center"/>
                </w:tcPr>
                <w:p w14:paraId="5E653371">
                  <w:pPr>
                    <w:jc w:val="center"/>
                    <w:rPr>
                      <w:szCs w:val="21"/>
                    </w:rPr>
                  </w:pPr>
                  <w:r>
                    <w:rPr>
                      <w:kern w:val="0"/>
                      <w:szCs w:val="21"/>
                    </w:rPr>
                    <w:t>mg/L</w:t>
                  </w:r>
                </w:p>
              </w:tc>
              <w:tc>
                <w:tcPr>
                  <w:tcW w:w="2587" w:type="dxa"/>
                  <w:tcBorders>
                    <w:tl2br w:val="nil"/>
                    <w:tr2bl w:val="nil"/>
                  </w:tcBorders>
                  <w:vAlign w:val="center"/>
                </w:tcPr>
                <w:p w14:paraId="696BC7D0">
                  <w:pPr>
                    <w:jc w:val="center"/>
                    <w:rPr>
                      <w:kern w:val="0"/>
                      <w:szCs w:val="21"/>
                    </w:rPr>
                  </w:pPr>
                  <w:r>
                    <w:rPr>
                      <w:kern w:val="0"/>
                      <w:szCs w:val="21"/>
                    </w:rPr>
                    <w:t>10</w:t>
                  </w:r>
                </w:p>
              </w:tc>
            </w:tr>
            <w:tr w14:paraId="34E96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54" w:type="dxa"/>
                  <w:vMerge w:val="continue"/>
                  <w:tcBorders>
                    <w:tl2br w:val="nil"/>
                    <w:tr2bl w:val="nil"/>
                  </w:tcBorders>
                  <w:vAlign w:val="center"/>
                </w:tcPr>
                <w:p w14:paraId="135DCD42">
                  <w:pPr>
                    <w:jc w:val="center"/>
                    <w:rPr>
                      <w:kern w:val="0"/>
                      <w:szCs w:val="21"/>
                    </w:rPr>
                  </w:pPr>
                </w:p>
              </w:tc>
              <w:tc>
                <w:tcPr>
                  <w:tcW w:w="1038" w:type="dxa"/>
                  <w:vMerge w:val="continue"/>
                  <w:tcBorders>
                    <w:tl2br w:val="nil"/>
                    <w:tr2bl w:val="nil"/>
                  </w:tcBorders>
                  <w:vAlign w:val="center"/>
                </w:tcPr>
                <w:p w14:paraId="030920E9">
                  <w:pPr>
                    <w:jc w:val="center"/>
                    <w:rPr>
                      <w:kern w:val="0"/>
                      <w:szCs w:val="21"/>
                    </w:rPr>
                  </w:pPr>
                </w:p>
              </w:tc>
              <w:tc>
                <w:tcPr>
                  <w:tcW w:w="1156" w:type="dxa"/>
                  <w:tcBorders>
                    <w:tl2br w:val="nil"/>
                    <w:tr2bl w:val="nil"/>
                  </w:tcBorders>
                  <w:vAlign w:val="center"/>
                </w:tcPr>
                <w:p w14:paraId="2A1A16C1">
                  <w:pPr>
                    <w:pStyle w:val="16"/>
                    <w:jc w:val="center"/>
                    <w:rPr>
                      <w:rFonts w:ascii="Times New Roman" w:hAnsi="Times New Roman"/>
                      <w:kern w:val="0"/>
                      <w:szCs w:val="21"/>
                    </w:rPr>
                  </w:pPr>
                  <w:r>
                    <w:rPr>
                      <w:rFonts w:ascii="Times New Roman" w:hAnsi="Times New Roman"/>
                      <w:kern w:val="0"/>
                      <w:szCs w:val="21"/>
                      <w:lang w:val="zh-CN"/>
                    </w:rPr>
                    <w:t>氨氮</w:t>
                  </w:r>
                </w:p>
              </w:tc>
              <w:tc>
                <w:tcPr>
                  <w:tcW w:w="1094" w:type="dxa"/>
                  <w:tcBorders>
                    <w:tl2br w:val="nil"/>
                    <w:tr2bl w:val="nil"/>
                  </w:tcBorders>
                  <w:vAlign w:val="center"/>
                </w:tcPr>
                <w:p w14:paraId="13E7ADD1">
                  <w:pPr>
                    <w:jc w:val="center"/>
                    <w:rPr>
                      <w:szCs w:val="21"/>
                    </w:rPr>
                  </w:pPr>
                  <w:r>
                    <w:rPr>
                      <w:kern w:val="0"/>
                      <w:szCs w:val="21"/>
                    </w:rPr>
                    <w:t>mg/L</w:t>
                  </w:r>
                </w:p>
              </w:tc>
              <w:tc>
                <w:tcPr>
                  <w:tcW w:w="2587" w:type="dxa"/>
                  <w:tcBorders>
                    <w:tl2br w:val="nil"/>
                    <w:tr2bl w:val="nil"/>
                  </w:tcBorders>
                  <w:vAlign w:val="center"/>
                </w:tcPr>
                <w:p w14:paraId="3EA40D95">
                  <w:pPr>
                    <w:jc w:val="center"/>
                    <w:rPr>
                      <w:kern w:val="0"/>
                      <w:szCs w:val="21"/>
                    </w:rPr>
                  </w:pPr>
                  <w:r>
                    <w:rPr>
                      <w:kern w:val="0"/>
                      <w:szCs w:val="21"/>
                    </w:rPr>
                    <w:t>8</w:t>
                  </w:r>
                </w:p>
              </w:tc>
            </w:tr>
          </w:tbl>
          <w:p w14:paraId="68C4E9C1">
            <w:pPr>
              <w:spacing w:line="480" w:lineRule="exact"/>
              <w:ind w:firstLine="480" w:firstLineChars="200"/>
              <w:rPr>
                <w:sz w:val="24"/>
              </w:rPr>
            </w:pPr>
            <w:r>
              <w:rPr>
                <w:sz w:val="24"/>
              </w:rPr>
              <w:t>（3）噪声</w:t>
            </w:r>
          </w:p>
          <w:p w14:paraId="2F4C9DD0">
            <w:pPr>
              <w:spacing w:line="480" w:lineRule="exact"/>
              <w:ind w:firstLine="480" w:firstLineChars="200"/>
              <w:rPr>
                <w:sz w:val="24"/>
              </w:rPr>
            </w:pPr>
            <w:r>
              <w:rPr>
                <w:sz w:val="24"/>
              </w:rPr>
              <w:t>运营期噪声执行《工业企业厂界环境噪声排放标准》（GB12348-2008）表1中</w:t>
            </w:r>
            <w:r>
              <w:rPr>
                <w:rFonts w:hint="eastAsia"/>
                <w:sz w:val="24"/>
              </w:rPr>
              <w:t>1</w:t>
            </w:r>
            <w:r>
              <w:rPr>
                <w:sz w:val="24"/>
              </w:rPr>
              <w:t>类标准：昼间</w:t>
            </w:r>
            <w:r>
              <w:rPr>
                <w:rFonts w:hint="eastAsia"/>
                <w:sz w:val="24"/>
              </w:rPr>
              <w:t>50</w:t>
            </w:r>
            <w:r>
              <w:rPr>
                <w:sz w:val="24"/>
              </w:rPr>
              <w:t>dB(A)、夜间</w:t>
            </w:r>
            <w:r>
              <w:rPr>
                <w:rFonts w:hint="eastAsia"/>
                <w:sz w:val="24"/>
              </w:rPr>
              <w:t>45</w:t>
            </w:r>
            <w:r>
              <w:rPr>
                <w:sz w:val="24"/>
              </w:rPr>
              <w:t>dB(A)。</w:t>
            </w:r>
          </w:p>
          <w:p w14:paraId="4877F98D">
            <w:pPr>
              <w:adjustRightInd w:val="0"/>
              <w:snapToGrid w:val="0"/>
              <w:spacing w:line="480" w:lineRule="exact"/>
              <w:ind w:firstLine="480" w:firstLineChars="200"/>
              <w:rPr>
                <w:kern w:val="0"/>
                <w:sz w:val="24"/>
              </w:rPr>
            </w:pPr>
            <w:r>
              <w:rPr>
                <w:kern w:val="0"/>
                <w:sz w:val="24"/>
              </w:rPr>
              <w:t>（4）固废</w:t>
            </w:r>
          </w:p>
          <w:p w14:paraId="39200DB6">
            <w:pPr>
              <w:adjustRightInd w:val="0"/>
              <w:snapToGrid w:val="0"/>
              <w:spacing w:line="480" w:lineRule="exact"/>
              <w:ind w:firstLine="480" w:firstLineChars="200"/>
              <w:rPr>
                <w:sz w:val="24"/>
              </w:rPr>
            </w:pPr>
            <w:r>
              <w:rPr>
                <w:sz w:val="24"/>
              </w:rPr>
              <w:t>固废参考执行《一般工业固体废物贮存和填埋污染控制标准》（GB18599-2020）、《中华人民共和国固体废物污染环境防治法》、《排污许可证申请与核发技术规范 工业固体废物(试行)》（HJ1200-2021）和《危险废物贮存污染控制标准》（GB18597-2023）中相关要求。</w:t>
            </w:r>
          </w:p>
          <w:p w14:paraId="7F73E944">
            <w:pPr>
              <w:widowControl/>
              <w:adjustRightInd w:val="0"/>
              <w:snapToGrid w:val="0"/>
              <w:spacing w:line="480" w:lineRule="exact"/>
            </w:pPr>
          </w:p>
        </w:tc>
      </w:tr>
      <w:tr w14:paraId="4D7A6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 w:type="pct"/>
            <w:vAlign w:val="center"/>
          </w:tcPr>
          <w:p w14:paraId="46CAB038">
            <w:pPr>
              <w:adjustRightInd w:val="0"/>
              <w:snapToGrid w:val="0"/>
              <w:jc w:val="center"/>
              <w:rPr>
                <w:kern w:val="0"/>
                <w:sz w:val="24"/>
              </w:rPr>
            </w:pPr>
            <w:r>
              <w:rPr>
                <w:kern w:val="0"/>
                <w:sz w:val="24"/>
              </w:rPr>
              <w:t>其他</w:t>
            </w:r>
          </w:p>
        </w:tc>
        <w:tc>
          <w:tcPr>
            <w:tcW w:w="4774" w:type="pct"/>
            <w:vAlign w:val="center"/>
          </w:tcPr>
          <w:p w14:paraId="4625D655">
            <w:pPr>
              <w:widowControl/>
              <w:adjustRightInd w:val="0"/>
              <w:snapToGrid w:val="0"/>
              <w:spacing w:line="480" w:lineRule="exact"/>
              <w:ind w:firstLine="482" w:firstLineChars="200"/>
              <w:rPr>
                <w:b/>
                <w:sz w:val="24"/>
              </w:rPr>
            </w:pPr>
            <w:bookmarkStart w:id="17" w:name="_Toc11351"/>
            <w:bookmarkStart w:id="18" w:name="_Toc20439"/>
            <w:bookmarkStart w:id="19" w:name="_Toc13804"/>
          </w:p>
          <w:p w14:paraId="2B5ECDA0">
            <w:pPr>
              <w:widowControl/>
              <w:adjustRightInd w:val="0"/>
              <w:snapToGrid w:val="0"/>
              <w:spacing w:line="480" w:lineRule="exact"/>
              <w:ind w:firstLine="482" w:firstLineChars="200"/>
              <w:rPr>
                <w:b/>
                <w:sz w:val="24"/>
              </w:rPr>
            </w:pPr>
          </w:p>
          <w:p w14:paraId="27972399">
            <w:pPr>
              <w:widowControl/>
              <w:adjustRightInd w:val="0"/>
              <w:snapToGrid w:val="0"/>
              <w:spacing w:line="480" w:lineRule="exact"/>
              <w:ind w:firstLine="482" w:firstLineChars="200"/>
              <w:rPr>
                <w:b/>
                <w:sz w:val="24"/>
              </w:rPr>
            </w:pPr>
          </w:p>
          <w:p w14:paraId="1A71BF2B">
            <w:pPr>
              <w:widowControl/>
              <w:adjustRightInd w:val="0"/>
              <w:snapToGrid w:val="0"/>
              <w:spacing w:line="480" w:lineRule="exact"/>
              <w:ind w:firstLine="482" w:firstLineChars="200"/>
              <w:rPr>
                <w:b/>
                <w:sz w:val="24"/>
              </w:rPr>
            </w:pPr>
          </w:p>
          <w:p w14:paraId="23B8F94D">
            <w:pPr>
              <w:widowControl/>
              <w:adjustRightInd w:val="0"/>
              <w:snapToGrid w:val="0"/>
              <w:spacing w:line="480" w:lineRule="exact"/>
              <w:ind w:firstLine="482" w:firstLineChars="200"/>
              <w:rPr>
                <w:b/>
                <w:sz w:val="24"/>
              </w:rPr>
            </w:pPr>
          </w:p>
          <w:p w14:paraId="795ED7C6">
            <w:pPr>
              <w:widowControl/>
              <w:adjustRightInd w:val="0"/>
              <w:snapToGrid w:val="0"/>
              <w:spacing w:line="480" w:lineRule="exact"/>
              <w:ind w:firstLine="482" w:firstLineChars="200"/>
              <w:rPr>
                <w:b/>
                <w:sz w:val="24"/>
              </w:rPr>
            </w:pPr>
          </w:p>
          <w:p w14:paraId="26430EC6">
            <w:pPr>
              <w:widowControl/>
              <w:adjustRightInd w:val="0"/>
              <w:snapToGrid w:val="0"/>
              <w:spacing w:line="480" w:lineRule="exact"/>
              <w:ind w:firstLine="482" w:firstLineChars="200"/>
              <w:rPr>
                <w:b/>
                <w:sz w:val="24"/>
              </w:rPr>
            </w:pPr>
          </w:p>
          <w:p w14:paraId="0EEADF2D">
            <w:pPr>
              <w:widowControl/>
              <w:adjustRightInd w:val="0"/>
              <w:snapToGrid w:val="0"/>
              <w:spacing w:line="480" w:lineRule="exact"/>
              <w:ind w:firstLine="482" w:firstLineChars="200"/>
              <w:rPr>
                <w:b/>
                <w:sz w:val="24"/>
              </w:rPr>
            </w:pPr>
          </w:p>
          <w:p w14:paraId="646515A6">
            <w:pPr>
              <w:widowControl/>
              <w:adjustRightInd w:val="0"/>
              <w:snapToGrid w:val="0"/>
              <w:spacing w:line="480" w:lineRule="exact"/>
              <w:ind w:firstLine="482" w:firstLineChars="200"/>
              <w:rPr>
                <w:b/>
                <w:sz w:val="24"/>
              </w:rPr>
            </w:pPr>
          </w:p>
          <w:p w14:paraId="02684FC8">
            <w:pPr>
              <w:widowControl/>
              <w:adjustRightInd w:val="0"/>
              <w:snapToGrid w:val="0"/>
              <w:spacing w:line="480" w:lineRule="exact"/>
              <w:ind w:firstLine="482" w:firstLineChars="200"/>
              <w:rPr>
                <w:bCs/>
                <w:sz w:val="24"/>
              </w:rPr>
            </w:pPr>
            <w:r>
              <w:rPr>
                <w:b/>
                <w:sz w:val="24"/>
              </w:rPr>
              <w:t>1、总量控制</w:t>
            </w:r>
            <w:bookmarkEnd w:id="17"/>
            <w:bookmarkEnd w:id="18"/>
            <w:bookmarkEnd w:id="19"/>
          </w:p>
          <w:p w14:paraId="4732F3AD">
            <w:pPr>
              <w:widowControl/>
              <w:spacing w:line="440" w:lineRule="exact"/>
              <w:ind w:firstLine="480" w:firstLineChars="200"/>
              <w:rPr>
                <w:sz w:val="24"/>
              </w:rPr>
            </w:pPr>
            <w:r>
              <w:rPr>
                <w:sz w:val="24"/>
              </w:rPr>
              <w:t>根据《建设项目主要污染物排放总量指标审核及管理暂行办法》的通知(环发[2014]197号)规定，确定该项目总量控制指标为：COD、NH</w:t>
            </w:r>
            <w:r>
              <w:rPr>
                <w:sz w:val="24"/>
                <w:vertAlign w:val="subscript"/>
              </w:rPr>
              <w:t>3</w:t>
            </w:r>
            <w:r>
              <w:rPr>
                <w:sz w:val="24"/>
              </w:rPr>
              <w:t>-N、SO</w:t>
            </w:r>
            <w:r>
              <w:rPr>
                <w:sz w:val="24"/>
                <w:vertAlign w:val="subscript"/>
              </w:rPr>
              <w:t>2</w:t>
            </w:r>
            <w:r>
              <w:rPr>
                <w:sz w:val="24"/>
              </w:rPr>
              <w:t>、NO</w:t>
            </w:r>
            <w:r>
              <w:rPr>
                <w:sz w:val="24"/>
                <w:vertAlign w:val="subscript"/>
              </w:rPr>
              <w:t>X</w:t>
            </w:r>
            <w:r>
              <w:rPr>
                <w:sz w:val="24"/>
              </w:rPr>
              <w:t xml:space="preserve">。 </w:t>
            </w:r>
          </w:p>
          <w:p w14:paraId="34055477">
            <w:pPr>
              <w:widowControl/>
              <w:spacing w:line="440" w:lineRule="exact"/>
              <w:ind w:firstLine="480" w:firstLineChars="200"/>
              <w:rPr>
                <w:sz w:val="24"/>
              </w:rPr>
            </w:pPr>
            <w:r>
              <w:rPr>
                <w:sz w:val="24"/>
              </w:rPr>
              <w:t>本项目生产无需用热，不涉及燃料燃烧，不会产生SO</w:t>
            </w:r>
            <w:r>
              <w:rPr>
                <w:sz w:val="24"/>
                <w:vertAlign w:val="subscript"/>
              </w:rPr>
              <w:t>2</w:t>
            </w:r>
            <w:r>
              <w:rPr>
                <w:sz w:val="24"/>
              </w:rPr>
              <w:t>、NO</w:t>
            </w:r>
            <w:r>
              <w:rPr>
                <w:sz w:val="24"/>
                <w:vertAlign w:val="subscript"/>
              </w:rPr>
              <w:t>X</w:t>
            </w:r>
            <w:r>
              <w:rPr>
                <w:sz w:val="24"/>
              </w:rPr>
              <w:t xml:space="preserve">。 </w:t>
            </w:r>
          </w:p>
          <w:p w14:paraId="5A2E5261">
            <w:pPr>
              <w:widowControl/>
              <w:spacing w:line="440" w:lineRule="exact"/>
              <w:ind w:firstLine="480" w:firstLineChars="200"/>
              <w:rPr>
                <w:sz w:val="24"/>
              </w:rPr>
            </w:pPr>
            <w:r>
              <w:rPr>
                <w:bCs/>
                <w:sz w:val="24"/>
              </w:rPr>
              <w:t>本项目升压站运营期无废水外排。因此，废水污染物COD、NH</w:t>
            </w:r>
            <w:r>
              <w:rPr>
                <w:bCs/>
                <w:sz w:val="24"/>
                <w:vertAlign w:val="subscript"/>
              </w:rPr>
              <w:t>3</w:t>
            </w:r>
            <w:r>
              <w:rPr>
                <w:bCs/>
                <w:sz w:val="24"/>
              </w:rPr>
              <w:t>-N的总量控制指标均为0。</w:t>
            </w:r>
            <w:r>
              <w:rPr>
                <w:sz w:val="24"/>
              </w:rPr>
              <w:t xml:space="preserve"> </w:t>
            </w:r>
          </w:p>
          <w:p w14:paraId="3D11D40C">
            <w:pPr>
              <w:widowControl/>
              <w:spacing w:line="440" w:lineRule="exact"/>
              <w:ind w:firstLine="480" w:firstLineChars="200"/>
              <w:rPr>
                <w:sz w:val="24"/>
              </w:rPr>
            </w:pPr>
            <w:r>
              <w:rPr>
                <w:sz w:val="24"/>
              </w:rPr>
              <w:t>结合项目特点，确定本项目不涉及污染物总量控制指标。</w:t>
            </w:r>
          </w:p>
          <w:p w14:paraId="139F5090">
            <w:pPr>
              <w:widowControl/>
              <w:spacing w:line="440" w:lineRule="exact"/>
              <w:ind w:firstLine="480" w:firstLineChars="200"/>
              <w:rPr>
                <w:sz w:val="24"/>
              </w:rPr>
            </w:pPr>
          </w:p>
          <w:p w14:paraId="4DE5B1A3">
            <w:pPr>
              <w:widowControl/>
              <w:spacing w:line="440" w:lineRule="exact"/>
              <w:ind w:firstLine="480" w:firstLineChars="200"/>
              <w:rPr>
                <w:sz w:val="24"/>
              </w:rPr>
            </w:pPr>
          </w:p>
          <w:p w14:paraId="4B0B4D5F">
            <w:pPr>
              <w:widowControl/>
              <w:spacing w:line="440" w:lineRule="exact"/>
              <w:ind w:firstLine="480" w:firstLineChars="200"/>
              <w:rPr>
                <w:sz w:val="24"/>
              </w:rPr>
            </w:pPr>
          </w:p>
          <w:p w14:paraId="553B580D">
            <w:pPr>
              <w:widowControl/>
              <w:spacing w:line="440" w:lineRule="exact"/>
              <w:ind w:firstLine="480" w:firstLineChars="200"/>
              <w:rPr>
                <w:sz w:val="24"/>
              </w:rPr>
            </w:pPr>
          </w:p>
          <w:p w14:paraId="1158A851">
            <w:pPr>
              <w:widowControl/>
              <w:spacing w:line="440" w:lineRule="exact"/>
              <w:ind w:firstLine="480" w:firstLineChars="200"/>
              <w:rPr>
                <w:sz w:val="24"/>
              </w:rPr>
            </w:pPr>
          </w:p>
          <w:p w14:paraId="7FD4EF0F">
            <w:pPr>
              <w:widowControl/>
              <w:spacing w:line="440" w:lineRule="exact"/>
              <w:ind w:firstLine="480" w:firstLineChars="200"/>
              <w:rPr>
                <w:sz w:val="24"/>
              </w:rPr>
            </w:pPr>
          </w:p>
          <w:p w14:paraId="59BAFF02">
            <w:pPr>
              <w:widowControl/>
              <w:spacing w:line="440" w:lineRule="exact"/>
              <w:ind w:firstLine="480" w:firstLineChars="200"/>
              <w:rPr>
                <w:sz w:val="24"/>
              </w:rPr>
            </w:pPr>
          </w:p>
          <w:p w14:paraId="2886486F">
            <w:pPr>
              <w:widowControl/>
              <w:spacing w:line="440" w:lineRule="exact"/>
              <w:ind w:firstLine="480" w:firstLineChars="200"/>
              <w:rPr>
                <w:sz w:val="24"/>
              </w:rPr>
            </w:pPr>
          </w:p>
          <w:p w14:paraId="19F0489E">
            <w:pPr>
              <w:widowControl/>
              <w:spacing w:line="440" w:lineRule="exact"/>
              <w:ind w:firstLine="480" w:firstLineChars="200"/>
              <w:rPr>
                <w:sz w:val="24"/>
              </w:rPr>
            </w:pPr>
          </w:p>
          <w:p w14:paraId="0B61C5DA">
            <w:pPr>
              <w:widowControl/>
              <w:spacing w:line="440" w:lineRule="exact"/>
            </w:pPr>
          </w:p>
        </w:tc>
      </w:tr>
    </w:tbl>
    <w:p w14:paraId="3C7EA9DD">
      <w:pPr>
        <w:pStyle w:val="27"/>
        <w:adjustRightInd w:val="0"/>
        <w:snapToGrid w:val="0"/>
        <w:spacing w:before="0" w:beforeAutospacing="0" w:after="0" w:afterAutospacing="0" w:line="14" w:lineRule="auto"/>
        <w:jc w:val="center"/>
        <w:rPr>
          <w:rFonts w:ascii="Times New Roman" w:hAnsi="Times New Roman"/>
          <w:snapToGrid w:val="0"/>
          <w:kern w:val="2"/>
          <w:sz w:val="36"/>
          <w:szCs w:val="36"/>
        </w:rPr>
      </w:pPr>
    </w:p>
    <w:p w14:paraId="1CEBD839">
      <w:pPr>
        <w:tabs>
          <w:tab w:val="center" w:pos="4153"/>
        </w:tabs>
        <w:jc w:val="left"/>
        <w:sectPr>
          <w:footerReference r:id="rId5" w:type="default"/>
          <w:pgSz w:w="11906" w:h="16838"/>
          <w:pgMar w:top="1440" w:right="1800" w:bottom="1440" w:left="1800" w:header="851" w:footer="1077" w:gutter="0"/>
          <w:pgNumType w:fmt="numberInDash" w:start="1"/>
          <w:cols w:space="720" w:num="1"/>
          <w:docGrid w:linePitch="312" w:charSpace="0"/>
        </w:sectPr>
      </w:pPr>
    </w:p>
    <w:p w14:paraId="4E9BB80C">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四、生态环境影响分析</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7988"/>
      </w:tblGrid>
      <w:tr w14:paraId="626AC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215" w:type="pct"/>
            <w:tcMar>
              <w:left w:w="28" w:type="dxa"/>
              <w:right w:w="28" w:type="dxa"/>
            </w:tcMar>
            <w:vAlign w:val="center"/>
          </w:tcPr>
          <w:p w14:paraId="117BD132">
            <w:pPr>
              <w:pStyle w:val="27"/>
              <w:adjustRightInd w:val="0"/>
              <w:snapToGrid w:val="0"/>
              <w:spacing w:before="0" w:beforeAutospacing="0" w:after="0" w:afterAutospacing="0"/>
              <w:jc w:val="center"/>
              <w:rPr>
                <w:rFonts w:ascii="Times New Roman" w:hAnsi="Times New Roman"/>
                <w:bCs/>
                <w:kern w:val="2"/>
                <w:sz w:val="21"/>
                <w:szCs w:val="21"/>
              </w:rPr>
            </w:pPr>
            <w:bookmarkStart w:id="20" w:name="_Hlk49796138"/>
            <w:r>
              <w:rPr>
                <w:rFonts w:ascii="Times New Roman" w:hAnsi="Times New Roman"/>
                <w:bCs/>
                <w:kern w:val="2"/>
                <w:sz w:val="21"/>
                <w:szCs w:val="21"/>
              </w:rPr>
              <w:t>施工期生态环境影响分析</w:t>
            </w:r>
            <w:bookmarkEnd w:id="20"/>
          </w:p>
        </w:tc>
        <w:tc>
          <w:tcPr>
            <w:tcW w:w="4784" w:type="pct"/>
          </w:tcPr>
          <w:p w14:paraId="707CA7D1">
            <w:pPr>
              <w:pStyle w:val="75"/>
              <w:adjustRightInd w:val="0"/>
              <w:snapToGrid w:val="0"/>
              <w:spacing w:line="480" w:lineRule="exact"/>
              <w:ind w:firstLine="0"/>
              <w:rPr>
                <w:b/>
                <w:bCs/>
                <w:sz w:val="24"/>
                <w:szCs w:val="24"/>
              </w:rPr>
            </w:pPr>
            <w:r>
              <w:rPr>
                <w:b/>
                <w:bCs/>
                <w:sz w:val="24"/>
                <w:szCs w:val="24"/>
              </w:rPr>
              <w:t>1、施工期生态影响分析</w:t>
            </w:r>
          </w:p>
          <w:p w14:paraId="3676707E">
            <w:pPr>
              <w:pStyle w:val="75"/>
              <w:adjustRightInd w:val="0"/>
              <w:snapToGrid w:val="0"/>
              <w:spacing w:line="480" w:lineRule="exact"/>
              <w:ind w:firstLine="482" w:firstLineChars="200"/>
              <w:rPr>
                <w:b/>
                <w:bCs/>
                <w:sz w:val="24"/>
                <w:szCs w:val="24"/>
              </w:rPr>
            </w:pPr>
            <w:r>
              <w:rPr>
                <w:b/>
                <w:bCs/>
                <w:sz w:val="24"/>
                <w:szCs w:val="24"/>
              </w:rPr>
              <w:t>1.1工程占地的影响</w:t>
            </w:r>
          </w:p>
          <w:p w14:paraId="50EE7103">
            <w:pPr>
              <w:widowControl/>
              <w:adjustRightInd w:val="0"/>
              <w:snapToGrid w:val="0"/>
              <w:spacing w:line="480" w:lineRule="exact"/>
              <w:ind w:firstLine="480" w:firstLineChars="200"/>
              <w:rPr>
                <w:sz w:val="24"/>
              </w:rPr>
            </w:pPr>
            <w:r>
              <w:rPr>
                <w:sz w:val="24"/>
              </w:rPr>
              <w:t>本项目占地包括永久占地和临时占地。永久占地包括风机及箱变基础、升压站、进站道路占地，占地面积4.4918hm</w:t>
            </w:r>
            <w:r>
              <w:rPr>
                <w:sz w:val="24"/>
                <w:vertAlign w:val="superscript"/>
              </w:rPr>
              <w:t>2</w:t>
            </w:r>
            <w:r>
              <w:rPr>
                <w:sz w:val="24"/>
              </w:rPr>
              <w:t>。工程临时占地包括集电线路塔基占地、施工临建区、风电机组吊装场地、施工道路、集电线路施工占地等，临时占地面积</w:t>
            </w:r>
            <w:r>
              <w:rPr>
                <w:kern w:val="0"/>
                <w:sz w:val="24"/>
              </w:rPr>
              <w:t>60.722h</w:t>
            </w:r>
            <w:r>
              <w:rPr>
                <w:sz w:val="24"/>
              </w:rPr>
              <w:t>m</w:t>
            </w:r>
            <w:r>
              <w:rPr>
                <w:sz w:val="24"/>
                <w:vertAlign w:val="superscript"/>
              </w:rPr>
              <w:t>2</w:t>
            </w:r>
            <w:r>
              <w:rPr>
                <w:sz w:val="24"/>
              </w:rPr>
              <w:t>。</w:t>
            </w:r>
          </w:p>
          <w:p w14:paraId="76D7E969">
            <w:pPr>
              <w:widowControl/>
              <w:adjustRightInd w:val="0"/>
              <w:snapToGrid w:val="0"/>
              <w:spacing w:line="480" w:lineRule="exact"/>
              <w:ind w:firstLine="480" w:firstLineChars="200"/>
              <w:rPr>
                <w:sz w:val="24"/>
              </w:rPr>
            </w:pPr>
            <w:r>
              <w:rPr>
                <w:sz w:val="24"/>
              </w:rPr>
              <w:t>工程占地包括坑塘水面、沟渠、水田、果园、旱地、设施农用地、农村道路等。施工占地在一定程度上将减少该地区的生物量，降低其生产力，对周围生态环境造成一定不利影响。</w:t>
            </w:r>
          </w:p>
          <w:p w14:paraId="5C9DA5D5">
            <w:pPr>
              <w:widowControl/>
              <w:adjustRightInd w:val="0"/>
              <w:snapToGrid w:val="0"/>
              <w:spacing w:line="480" w:lineRule="exact"/>
              <w:ind w:firstLine="480" w:firstLineChars="200"/>
              <w:rPr>
                <w:sz w:val="24"/>
              </w:rPr>
            </w:pPr>
            <w:r>
              <w:rPr>
                <w:sz w:val="24"/>
              </w:rPr>
              <w:t>（1）对水田、果园、旱地的影响</w:t>
            </w:r>
          </w:p>
          <w:p w14:paraId="7F13DAD7">
            <w:pPr>
              <w:widowControl/>
              <w:adjustRightInd w:val="0"/>
              <w:snapToGrid w:val="0"/>
              <w:spacing w:line="480" w:lineRule="exact"/>
              <w:ind w:firstLine="480" w:firstLineChars="200"/>
              <w:rPr>
                <w:sz w:val="24"/>
              </w:rPr>
            </w:pPr>
            <w:r>
              <w:rPr>
                <w:sz w:val="24"/>
              </w:rPr>
              <w:t>本项目所占水田涉及的植被主要为水稻，果园涉及的植被主要为桃树，旱地涉及的植被主要为小麦、玉米等农作物，施工期不会造成该区域物种数量的明显减少和种群结构的变化，对生态系统的完整性影响较小。施工结束后可通过复耕、补种等措施对损失的生物量进行恢复，对周围自然生态环境的影响程度相对较为轻微。</w:t>
            </w:r>
          </w:p>
          <w:p w14:paraId="2ED34A61">
            <w:pPr>
              <w:widowControl/>
              <w:adjustRightInd w:val="0"/>
              <w:snapToGrid w:val="0"/>
              <w:spacing w:line="480" w:lineRule="exact"/>
              <w:ind w:firstLine="480" w:firstLineChars="200"/>
              <w:rPr>
                <w:sz w:val="24"/>
              </w:rPr>
            </w:pPr>
            <w:r>
              <w:rPr>
                <w:sz w:val="24"/>
              </w:rPr>
              <w:t>（2）对坑塘水面的影响</w:t>
            </w:r>
          </w:p>
          <w:p w14:paraId="0AAC2CE4">
            <w:pPr>
              <w:widowControl/>
              <w:adjustRightInd w:val="0"/>
              <w:snapToGrid w:val="0"/>
              <w:spacing w:line="480" w:lineRule="exact"/>
              <w:ind w:firstLine="480" w:firstLineChars="200"/>
              <w:rPr>
                <w:sz w:val="24"/>
              </w:rPr>
            </w:pPr>
            <w:r>
              <w:rPr>
                <w:sz w:val="24"/>
              </w:rPr>
              <w:t>本项目升压站、部分风电机组选址位于坑塘水面，</w:t>
            </w:r>
            <w:r>
              <w:rPr>
                <w:rFonts w:hint="eastAsia"/>
                <w:spacing w:val="1"/>
                <w:sz w:val="24"/>
              </w:rPr>
              <w:t>本项目所占坑塘水面均为人工坑塘。</w:t>
            </w:r>
            <w:r>
              <w:rPr>
                <w:sz w:val="24"/>
              </w:rPr>
              <w:t>施工期部分风电机组吊装平台临时占地占用坑塘水面。坑塘水面主要用于经济鱼类、虾类等水产品养殖。本项目风电机组、升压站等在坑塘施工前应先将塘内水排至周边坑塘或沟渠，施工区设临时沉淀池，沉淀池出口铺设土工布，排水时先将水排至沉淀池，并经土工布过滤后再排放，避免影响周边水体水质。坑塘施工清理出的淤泥交由有资质单位采用罐车运送至相关管理部门指定地点处理。</w:t>
            </w:r>
          </w:p>
          <w:p w14:paraId="3BE2D8AA">
            <w:pPr>
              <w:widowControl/>
              <w:adjustRightInd w:val="0"/>
              <w:snapToGrid w:val="0"/>
              <w:spacing w:line="480" w:lineRule="exact"/>
              <w:ind w:firstLine="480" w:firstLineChars="200"/>
              <w:rPr>
                <w:sz w:val="24"/>
              </w:rPr>
            </w:pPr>
            <w:r>
              <w:rPr>
                <w:sz w:val="24"/>
              </w:rPr>
              <w:t>工程施工前，将坑塘内养殖的鱼虾等水产品全部清理干净，施工期间，建设单位将涉及的坑塘全部整体承包。</w:t>
            </w:r>
          </w:p>
          <w:p w14:paraId="586D15B1">
            <w:pPr>
              <w:widowControl/>
              <w:adjustRightInd w:val="0"/>
              <w:snapToGrid w:val="0"/>
              <w:spacing w:line="480" w:lineRule="exact"/>
              <w:ind w:firstLine="480" w:firstLineChars="200"/>
              <w:rPr>
                <w:sz w:val="24"/>
              </w:rPr>
            </w:pPr>
            <w:r>
              <w:rPr>
                <w:sz w:val="24"/>
              </w:rPr>
              <w:t>风电机组及箱变基础、升压站等在坑塘处施工时，应控制施工区，减少对坑塘其他区域底泥的挖损。风电机组及箱变基础、升压站永久占地边坡采取浆砌石护坡措施，施工结束后，风电机组及箱变基础、升压站永久占地外的坑塘可恢复养殖，预计不会对选址处生态环境、坑塘内环境造成明显的不利影响。</w:t>
            </w:r>
          </w:p>
          <w:p w14:paraId="1CB5CC7E">
            <w:pPr>
              <w:widowControl/>
              <w:adjustRightInd w:val="0"/>
              <w:snapToGrid w:val="0"/>
              <w:spacing w:line="480" w:lineRule="exact"/>
              <w:ind w:firstLine="480" w:firstLineChars="200"/>
              <w:rPr>
                <w:sz w:val="24"/>
              </w:rPr>
            </w:pPr>
            <w:r>
              <w:rPr>
                <w:sz w:val="24"/>
              </w:rPr>
              <w:t>吊装平台临时占地占用坑塘，需将坑塘垫高填平，施工前可将坑塘底泥挖出，交由有资质单位采用罐车运送至相关管理部门指定地点处理。待施工期结束后，恢复坑塘地貌，恢复养殖。</w:t>
            </w:r>
          </w:p>
          <w:p w14:paraId="77BFDA35">
            <w:pPr>
              <w:widowControl/>
              <w:adjustRightInd w:val="0"/>
              <w:snapToGrid w:val="0"/>
              <w:spacing w:line="480" w:lineRule="exact"/>
              <w:ind w:firstLine="480" w:firstLineChars="200"/>
              <w:rPr>
                <w:sz w:val="24"/>
              </w:rPr>
            </w:pPr>
            <w:r>
              <w:rPr>
                <w:sz w:val="24"/>
              </w:rPr>
              <w:t>（3）对沟渠的影响</w:t>
            </w:r>
          </w:p>
          <w:p w14:paraId="355F493E">
            <w:pPr>
              <w:widowControl/>
              <w:adjustRightInd w:val="0"/>
              <w:snapToGrid w:val="0"/>
              <w:spacing w:line="480" w:lineRule="exact"/>
              <w:ind w:firstLine="480" w:firstLineChars="200"/>
              <w:rPr>
                <w:sz w:val="24"/>
              </w:rPr>
            </w:pPr>
            <w:r>
              <w:rPr>
                <w:sz w:val="24"/>
              </w:rPr>
              <w:t>本项目风力发电机组所涉沟渠均为农业灌溉沟渠。基础施工前，首先使用沙袋、碎砖石及土方等沿沟渠边坡构筑作业面，放线后使用钢板桩进行基坑支护。由于基础施工作业临时占压沟渠及边坡，施工期将对沟渠过流能力造成一定影响。本项目采用钢板桩进行基坑支护，最大限度减少对沟渠的占压；施工结束后及时清理作业平台，并对边坡采取浆砌石护坡措施。本项目所在区域沟渠通过水闸、扬水泵站等农田灌溉水利设施互相连通，构成灌溉水网。本项目风电机组施工期较短，通过灵活有效调配水利设施运行、严格控制施工占地，合理安排施工时间，预计施工期不对沟渠整体过流能力造成明显影响。</w:t>
            </w:r>
          </w:p>
          <w:p w14:paraId="53E17F15">
            <w:pPr>
              <w:pStyle w:val="75"/>
              <w:adjustRightInd w:val="0"/>
              <w:snapToGrid w:val="0"/>
              <w:spacing w:line="480" w:lineRule="exact"/>
              <w:ind w:firstLine="482" w:firstLineChars="200"/>
              <w:rPr>
                <w:b/>
                <w:bCs/>
                <w:sz w:val="24"/>
                <w:szCs w:val="24"/>
              </w:rPr>
            </w:pPr>
            <w:r>
              <w:rPr>
                <w:b/>
                <w:bCs/>
                <w:sz w:val="24"/>
                <w:szCs w:val="24"/>
              </w:rPr>
              <w:t>1.2、对生态系统的影响</w:t>
            </w:r>
          </w:p>
          <w:p w14:paraId="001FFB97">
            <w:pPr>
              <w:widowControl/>
              <w:adjustRightInd w:val="0"/>
              <w:snapToGrid w:val="0"/>
              <w:spacing w:line="480" w:lineRule="exact"/>
              <w:ind w:firstLine="480" w:firstLineChars="200"/>
              <w:rPr>
                <w:sz w:val="24"/>
              </w:rPr>
            </w:pPr>
            <w:r>
              <w:rPr>
                <w:sz w:val="24"/>
              </w:rPr>
              <w:t>建设项目施工期风机、升压站主要占用的是农田生态系统和湿地生态系统，物种较为单一，由于场地平整、土方开挖破坏了原有的生态系统，使短期内局部生物量及生产力下降，施工结束后风机及升压站处原有湿地生态系统变化为城镇生态系统，其他区域采取生态恢复措施，恢复原有生态系统，风机及升压站占地面积较小，生态系统变化较小，从整体上来看不会使生态系统退化或生物多样性下降。</w:t>
            </w:r>
          </w:p>
          <w:p w14:paraId="1600C931">
            <w:pPr>
              <w:widowControl/>
              <w:adjustRightInd w:val="0"/>
              <w:snapToGrid w:val="0"/>
              <w:spacing w:line="480" w:lineRule="exact"/>
              <w:ind w:firstLine="480" w:firstLineChars="200"/>
              <w:rPr>
                <w:sz w:val="24"/>
              </w:rPr>
            </w:pPr>
            <w:r>
              <w:rPr>
                <w:sz w:val="24"/>
              </w:rPr>
              <w:t>道路施工占用农田生态系统，对农田生态系统有一定的影响，施工结束后新建道路保留5m宽作为检修道路，兼作田间机耕路，原机耕路及原田间土路处道路保留，农田生态系统可恢复至施工前水平，农田生态系统没有明显变化。</w:t>
            </w:r>
          </w:p>
          <w:p w14:paraId="16E02FB8">
            <w:pPr>
              <w:widowControl/>
              <w:adjustRightInd w:val="0"/>
              <w:snapToGrid w:val="0"/>
              <w:spacing w:line="480" w:lineRule="exact"/>
              <w:ind w:firstLine="480" w:firstLineChars="200"/>
              <w:rPr>
                <w:sz w:val="24"/>
              </w:rPr>
            </w:pPr>
            <w:r>
              <w:rPr>
                <w:sz w:val="24"/>
              </w:rPr>
              <w:t>施工期集电线路施工由于地表碾压破坏地表植被，对草地生态系统、农田生态系统有一定的影响，集电线路施工为临时占地，施工结束后对临时占地进行恢复，草地生态系统、农田生态系统均可恢复至施工前水平，不会导致生态系统退化或生物多样性下降。</w:t>
            </w:r>
          </w:p>
          <w:p w14:paraId="4CB758D6">
            <w:pPr>
              <w:pStyle w:val="75"/>
              <w:adjustRightInd w:val="0"/>
              <w:snapToGrid w:val="0"/>
              <w:spacing w:line="480" w:lineRule="exact"/>
              <w:ind w:firstLine="482" w:firstLineChars="200"/>
              <w:rPr>
                <w:b/>
                <w:bCs/>
                <w:sz w:val="24"/>
                <w:szCs w:val="24"/>
              </w:rPr>
            </w:pPr>
            <w:r>
              <w:rPr>
                <w:b/>
                <w:bCs/>
                <w:sz w:val="24"/>
                <w:szCs w:val="24"/>
              </w:rPr>
              <w:t>1.3、对植被的影响分析</w:t>
            </w:r>
          </w:p>
          <w:p w14:paraId="2CCDFCCE">
            <w:pPr>
              <w:widowControl/>
              <w:adjustRightInd w:val="0"/>
              <w:snapToGrid w:val="0"/>
              <w:spacing w:line="480" w:lineRule="exact"/>
              <w:ind w:firstLine="480" w:firstLineChars="200"/>
              <w:rPr>
                <w:sz w:val="24"/>
              </w:rPr>
            </w:pPr>
            <w:r>
              <w:rPr>
                <w:sz w:val="24"/>
              </w:rPr>
              <w:t>施工过程中场地平整、基础开挖、土方堆放、人员踩踏、施工车辆和机具的碾压等施工活动均可造成施工现场地表植被的破坏</w:t>
            </w:r>
            <w:r>
              <w:rPr>
                <w:rFonts w:hint="eastAsia"/>
                <w:sz w:val="24"/>
              </w:rPr>
              <w:t>，在一定程度上将减少该地区的生物量，降低其生产力</w:t>
            </w:r>
            <w:r>
              <w:rPr>
                <w:sz w:val="24"/>
              </w:rPr>
              <w:t>。本项目选址地区植被类型以农田植被为主，主要为水稻、小麦及玉米等农作物，果园涉及的植被主要为桃树。</w:t>
            </w:r>
          </w:p>
          <w:p w14:paraId="4E4EB308">
            <w:pPr>
              <w:widowControl/>
              <w:adjustRightInd w:val="0"/>
              <w:snapToGrid w:val="0"/>
              <w:spacing w:line="480" w:lineRule="exact"/>
              <w:ind w:firstLine="480" w:firstLineChars="200"/>
              <w:rPr>
                <w:sz w:val="24"/>
              </w:rPr>
            </w:pPr>
            <w:r>
              <w:rPr>
                <w:sz w:val="24"/>
              </w:rPr>
              <w:t>通过控制减少施工临时占地面积，加强施工机械和人员管理，可有效减少施工过程对周边植被的破坏。根据工程建设的特点，植被破坏具有暂时性，一般将在施工后期及完成后，随着植被人工恢复与自然恢复，影响将逐渐消失。</w:t>
            </w:r>
          </w:p>
          <w:p w14:paraId="67BDEED4">
            <w:pPr>
              <w:spacing w:line="480" w:lineRule="exact"/>
              <w:ind w:firstLine="482" w:firstLineChars="200"/>
              <w:rPr>
                <w:b/>
                <w:bCs/>
                <w:sz w:val="24"/>
              </w:rPr>
            </w:pPr>
            <w:r>
              <w:rPr>
                <w:b/>
                <w:bCs/>
                <w:sz w:val="24"/>
              </w:rPr>
              <w:t>1.4、对野生动物影响分析</w:t>
            </w:r>
          </w:p>
          <w:p w14:paraId="6C139DF2">
            <w:pPr>
              <w:spacing w:line="480" w:lineRule="exact"/>
              <w:ind w:firstLine="480" w:firstLineChars="200"/>
              <w:rPr>
                <w:sz w:val="24"/>
              </w:rPr>
            </w:pPr>
            <w:r>
              <w:rPr>
                <w:sz w:val="24"/>
              </w:rPr>
              <w:t>施工期间，新建施工道路开挖、运输等工程活动将干扰施工区原有的生态环境，部分植被的破坏将使区间小型动物减少生存空间，使该区域内的动物迁往他处。</w:t>
            </w:r>
          </w:p>
          <w:p w14:paraId="5ADD97CC">
            <w:pPr>
              <w:spacing w:line="480" w:lineRule="exact"/>
              <w:ind w:firstLine="480" w:firstLineChars="200"/>
              <w:rPr>
                <w:sz w:val="24"/>
              </w:rPr>
            </w:pPr>
            <w:r>
              <w:rPr>
                <w:sz w:val="24"/>
              </w:rPr>
              <w:t>（1）对野生动物的影响分析</w:t>
            </w:r>
          </w:p>
          <w:p w14:paraId="5AB50AD6">
            <w:pPr>
              <w:pStyle w:val="75"/>
              <w:adjustRightInd w:val="0"/>
              <w:snapToGrid w:val="0"/>
              <w:spacing w:line="480" w:lineRule="exact"/>
              <w:ind w:firstLine="480" w:firstLineChars="200"/>
              <w:rPr>
                <w:b/>
                <w:bCs/>
                <w:sz w:val="24"/>
                <w:szCs w:val="24"/>
              </w:rPr>
            </w:pPr>
            <w:r>
              <w:rPr>
                <w:sz w:val="24"/>
                <w:szCs w:val="24"/>
              </w:rPr>
              <w:t>工程施工过程中(包括施工道路建设、施工临建区建设等)，由于人为活动增加，可能会对适宜于原有生存环境条件的陆生动物产生一定影响。在工程建设过程中，工程区域范围内的野生动物将产生规避反应，远离建设范围，迁徙到其它同类生境中。区域内无大型野生动物，主要有野兔、鼠类等小型动物，无单一固定的生境，在耕地、草地等多种生境下均可栖息生存，同类生境易于寻找，受施工影响会迁徙至工程区附近同类生境中。且施工场地相对占地面积小且工期较短，工程施工对区域内物种多样性影响较少。</w:t>
            </w:r>
          </w:p>
          <w:p w14:paraId="7A56BC02">
            <w:pPr>
              <w:pStyle w:val="75"/>
              <w:adjustRightInd w:val="0"/>
              <w:snapToGrid w:val="0"/>
              <w:spacing w:line="480" w:lineRule="exact"/>
              <w:ind w:firstLine="480" w:firstLineChars="200"/>
              <w:rPr>
                <w:sz w:val="24"/>
                <w:szCs w:val="24"/>
              </w:rPr>
            </w:pPr>
            <w:r>
              <w:rPr>
                <w:sz w:val="24"/>
                <w:szCs w:val="24"/>
              </w:rPr>
              <w:t>（2）对鸟类的影响分析</w:t>
            </w:r>
          </w:p>
          <w:p w14:paraId="3D382DAA">
            <w:pPr>
              <w:widowControl/>
              <w:adjustRightInd w:val="0"/>
              <w:snapToGrid w:val="0"/>
              <w:spacing w:line="480" w:lineRule="exact"/>
              <w:ind w:firstLine="480" w:firstLineChars="200"/>
              <w:rPr>
                <w:sz w:val="24"/>
              </w:rPr>
            </w:pPr>
            <w:r>
              <w:rPr>
                <w:sz w:val="24"/>
              </w:rPr>
              <w:t>本项目施工期对鸟类等野生动物的影响主要表现在：</w:t>
            </w:r>
          </w:p>
          <w:p w14:paraId="18CB7BB6">
            <w:pPr>
              <w:widowControl/>
              <w:adjustRightInd w:val="0"/>
              <w:snapToGrid w:val="0"/>
              <w:spacing w:line="480" w:lineRule="exact"/>
              <w:ind w:firstLine="480" w:firstLineChars="200"/>
              <w:rPr>
                <w:sz w:val="24"/>
              </w:rPr>
            </w:pPr>
            <w:r>
              <w:rPr>
                <w:sz w:val="24"/>
              </w:rPr>
              <w:t>（1）施工噪声、施工扬尘等污染会对鸟类的休憩和觅食产生一定的影响。由于大多数鸟类对噪声具有较高的敏感性，在噪声环境下，大多数鸟类会选择回避和减少活动范围。本项目应严格控制施工范围，选择低噪声施工机械和运输车辆，禁止运输车辆鸣放高音喇叭，利用多孔性吸声材料等措施降低施工噪声。</w:t>
            </w:r>
          </w:p>
          <w:p w14:paraId="47652D7F">
            <w:pPr>
              <w:widowControl/>
              <w:adjustRightInd w:val="0"/>
              <w:snapToGrid w:val="0"/>
              <w:spacing w:line="480" w:lineRule="exact"/>
              <w:ind w:firstLine="480" w:firstLineChars="200"/>
              <w:rPr>
                <w:sz w:val="24"/>
              </w:rPr>
            </w:pPr>
            <w:r>
              <w:rPr>
                <w:sz w:val="24"/>
              </w:rPr>
              <w:t>（2）工程材料堆放、机械碾压、人员践踏等工程行为导致选址区域地表植被破坏，土壤板结等物理性能恶化，造成一定程度的生态破坏，进而影响鸟类以及其他野生动物的栖息环境。本项目对鸟类以及其他野生动物的影响主要局限在吊装平台及周边区域内，风电机组的施工为滚动式，逐个进行，无大面积施工，影响范围较小，因此对鸟类等野生动物觅食产生的影响较小，且不会明显割裂原有生境。施工期结束后通过场地清理、植被恢复等措施，将逐步恢复该区域生境功能。</w:t>
            </w:r>
          </w:p>
          <w:p w14:paraId="5FA91434">
            <w:pPr>
              <w:widowControl/>
              <w:adjustRightInd w:val="0"/>
              <w:snapToGrid w:val="0"/>
              <w:spacing w:line="480" w:lineRule="exact"/>
              <w:ind w:firstLine="480" w:firstLineChars="200"/>
              <w:rPr>
                <w:sz w:val="24"/>
              </w:rPr>
            </w:pPr>
            <w:r>
              <w:rPr>
                <w:sz w:val="24"/>
              </w:rPr>
              <w:t>（3）施工现场的强光照射会形成光污染，影响鸟类正常飞行。施工期应严格管理光源，禁止夜间施工，减少人工照明的使用或者使用功率较小的光源。</w:t>
            </w:r>
          </w:p>
          <w:p w14:paraId="2E2463AB">
            <w:pPr>
              <w:widowControl/>
              <w:adjustRightInd w:val="0"/>
              <w:snapToGrid w:val="0"/>
              <w:spacing w:line="480" w:lineRule="exact"/>
              <w:ind w:firstLine="480" w:firstLineChars="200"/>
              <w:rPr>
                <w:sz w:val="24"/>
              </w:rPr>
            </w:pPr>
            <w:r>
              <w:rPr>
                <w:sz w:val="24"/>
              </w:rPr>
              <w:t>（4）施工期计划在2025年7月~2026年5月，其中噪声源强较大的施工集中在2025年11月至2026年1月，主要为基础施工。鸟类迁徙、繁殖期集中在3~5月、9~11月，因此本项目施工阶段对鸟类产生的影响相对较小。</w:t>
            </w:r>
          </w:p>
          <w:p w14:paraId="3667874A">
            <w:pPr>
              <w:widowControl/>
              <w:adjustRightInd w:val="0"/>
              <w:snapToGrid w:val="0"/>
              <w:spacing w:line="480" w:lineRule="exact"/>
              <w:ind w:firstLine="480" w:firstLineChars="200"/>
              <w:rPr>
                <w:sz w:val="24"/>
              </w:rPr>
            </w:pPr>
            <w:r>
              <w:rPr>
                <w:sz w:val="24"/>
              </w:rPr>
              <w:t>（5）施工期人类活动频率明显增多，对周围的鸟类造成一定威胁。建设单位应制定鸟类保护制度，制作鸟类保护标识牌并设置在明显位置，禁止员工猎杀、捕捉、伤害、惊吓鸟类。</w:t>
            </w:r>
          </w:p>
          <w:p w14:paraId="575DA1D5">
            <w:pPr>
              <w:widowControl/>
              <w:adjustRightInd w:val="0"/>
              <w:snapToGrid w:val="0"/>
              <w:spacing w:line="480" w:lineRule="exact"/>
              <w:ind w:firstLine="480" w:firstLineChars="200"/>
              <w:rPr>
                <w:sz w:val="24"/>
              </w:rPr>
            </w:pPr>
            <w:r>
              <w:rPr>
                <w:sz w:val="24"/>
              </w:rPr>
              <w:t>上述影响主要局限在风机安装场地周边区域内，本项目风机平台的施工为滚动式，逐个进行，无大面积施工，影响范围较小，鸟类属于飞行动物，在寻找栖息地时，不会选择施工现场受人类活动干扰较大的区域，而是选择适合栖息的区域，因此施工对鸟类等野生动物觅食产生的影响较小，且不会明显割裂原有生境；施工噪声和强光源会对鸟类产生一定影响，因此建设单位及施工单位应选用低噪声的施工设备并尽量降低施工噪声影响，并严格管理，禁止夜间施工，且严禁捕杀鸟类等野生动物。在采取上述措施的情况下，可将施工期对鸟类的影响降至最低。</w:t>
            </w:r>
          </w:p>
          <w:p w14:paraId="523DE8E4">
            <w:pPr>
              <w:pStyle w:val="75"/>
              <w:adjustRightInd w:val="0"/>
              <w:snapToGrid w:val="0"/>
              <w:spacing w:line="480" w:lineRule="exact"/>
              <w:ind w:firstLine="482" w:firstLineChars="200"/>
              <w:rPr>
                <w:b/>
                <w:bCs/>
                <w:sz w:val="24"/>
                <w:szCs w:val="24"/>
              </w:rPr>
            </w:pPr>
            <w:r>
              <w:rPr>
                <w:b/>
                <w:bCs/>
                <w:sz w:val="24"/>
                <w:szCs w:val="24"/>
              </w:rPr>
              <w:t>1.5、施工期对土壤的影响分析</w:t>
            </w:r>
          </w:p>
          <w:p w14:paraId="4D74CF91">
            <w:pPr>
              <w:widowControl/>
              <w:adjustRightInd w:val="0"/>
              <w:snapToGrid w:val="0"/>
              <w:spacing w:line="480" w:lineRule="exact"/>
              <w:ind w:firstLine="480" w:firstLineChars="200"/>
              <w:rPr>
                <w:sz w:val="24"/>
              </w:rPr>
            </w:pPr>
            <w:r>
              <w:rPr>
                <w:sz w:val="24"/>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w:t>
            </w:r>
          </w:p>
          <w:p w14:paraId="333D056B">
            <w:pPr>
              <w:widowControl/>
              <w:adjustRightInd w:val="0"/>
              <w:snapToGrid w:val="0"/>
              <w:spacing w:line="480" w:lineRule="exact"/>
              <w:ind w:firstLine="480" w:firstLineChars="200"/>
              <w:rPr>
                <w:sz w:val="24"/>
              </w:rPr>
            </w:pPr>
            <w:r>
              <w:rPr>
                <w:sz w:val="24"/>
              </w:rPr>
              <w:t>不同土层的特征及理化性质差异较大。就养分状况分布而言，表土层远较心土层好，其有机质、全氮、速效磷和速效钾等含量高，紧密度与空隙状况适中，适耕性强。施工对原有土地构型势必扰动，使土壤养分分布状况受到影响，严重者会造成土壤性质的恶化，甚至难于恢复。根据国外有关资料统计，在实行分层堆放和分层覆盖的措施下，土壤的有机质将会下降30~40%，土壤养分将下降30~50%，其中全氮下降43%左右，磷素下降43%左右，钾素下降43%左右。这表明，即使是施工过程对表土实行分层堆放和分层覆土措施的情况下，施工过程对土壤养分仍具有一定的影响。</w:t>
            </w:r>
          </w:p>
          <w:p w14:paraId="776DE53B">
            <w:pPr>
              <w:adjustRightInd w:val="0"/>
              <w:snapToGrid w:val="0"/>
              <w:spacing w:line="480" w:lineRule="exact"/>
              <w:ind w:firstLine="480" w:firstLineChars="200"/>
              <w:rPr>
                <w:sz w:val="24"/>
              </w:rPr>
            </w:pPr>
            <w:r>
              <w:rPr>
                <w:sz w:val="24"/>
              </w:rPr>
              <w:t>建设单位在施工过程中应严格控制施工作业带宽度，不得超过规定的标准限值，以减少土壤扰动，减少裸地和土方暴露面积；施工人员不得将生活垃圾及生活污水留存或倾倒于施工场地内，避免对土壤造成污染；施工结束后，及时对施工废料进行清理。定期对施工机械进行检修、维护和保养，避免跑、冒、滴、漏的发生。</w:t>
            </w:r>
          </w:p>
          <w:p w14:paraId="01C4C3B4">
            <w:pPr>
              <w:pStyle w:val="75"/>
              <w:adjustRightInd w:val="0"/>
              <w:snapToGrid w:val="0"/>
              <w:spacing w:line="480" w:lineRule="exact"/>
              <w:ind w:firstLine="482" w:firstLineChars="200"/>
              <w:rPr>
                <w:b/>
                <w:bCs/>
                <w:sz w:val="24"/>
                <w:szCs w:val="24"/>
              </w:rPr>
            </w:pPr>
            <w:r>
              <w:rPr>
                <w:b/>
                <w:bCs/>
                <w:sz w:val="24"/>
                <w:szCs w:val="24"/>
              </w:rPr>
              <w:t>1.6、施工期对水土流失的影响分析</w:t>
            </w:r>
          </w:p>
          <w:p w14:paraId="6706D69E">
            <w:pPr>
              <w:widowControl/>
              <w:adjustRightInd w:val="0"/>
              <w:snapToGrid w:val="0"/>
              <w:spacing w:line="480" w:lineRule="exact"/>
              <w:ind w:firstLine="480" w:firstLineChars="200"/>
              <w:rPr>
                <w:sz w:val="24"/>
              </w:rPr>
            </w:pPr>
            <w:r>
              <w:rPr>
                <w:sz w:val="24"/>
              </w:rPr>
              <w:t>本项目施工期共计11个月，在项目建设过程中，由于扰动了原地貌，破坏了原水土保持设施，加剧了水土流失，如不采取有效的水土保持措施，将对当地的水土资源及生态环境带来不利的影响，主要表现在：</w:t>
            </w:r>
          </w:p>
          <w:p w14:paraId="1ECF85DE">
            <w:pPr>
              <w:widowControl/>
              <w:adjustRightInd w:val="0"/>
              <w:snapToGrid w:val="0"/>
              <w:spacing w:line="480" w:lineRule="exact"/>
              <w:ind w:firstLine="480" w:firstLineChars="200"/>
              <w:rPr>
                <w:sz w:val="24"/>
              </w:rPr>
            </w:pPr>
            <w:r>
              <w:rPr>
                <w:sz w:val="24"/>
              </w:rPr>
              <w:t>（1）施工期导致工程区土地利用类型发生变化，改变工程区原地形和土地利用方式，扰动地表，原有植被遭到破坏，区域植被覆盖率下降，土壤裸露为水土流失提供了条件。</w:t>
            </w:r>
          </w:p>
          <w:p w14:paraId="1274DBD3">
            <w:pPr>
              <w:widowControl/>
              <w:adjustRightInd w:val="0"/>
              <w:snapToGrid w:val="0"/>
              <w:spacing w:line="480" w:lineRule="exact"/>
              <w:ind w:firstLine="480" w:firstLineChars="200"/>
              <w:rPr>
                <w:sz w:val="24"/>
              </w:rPr>
            </w:pPr>
            <w:r>
              <w:rPr>
                <w:sz w:val="24"/>
              </w:rPr>
              <w:t>（2）在挖填方过程中，会产生大量剥离的表层土和松散堆积物，当区域内有降雨或是暴雨时，有可能形成泥沙在雨水的冲刷和带动下向低洼地带迁移，加剧水土流失发生和发展。</w:t>
            </w:r>
          </w:p>
          <w:p w14:paraId="67B1C4E7">
            <w:pPr>
              <w:widowControl/>
              <w:adjustRightInd w:val="0"/>
              <w:snapToGrid w:val="0"/>
              <w:spacing w:line="480" w:lineRule="exact"/>
              <w:ind w:firstLine="480" w:firstLineChars="200"/>
              <w:rPr>
                <w:sz w:val="24"/>
              </w:rPr>
            </w:pPr>
            <w:r>
              <w:rPr>
                <w:sz w:val="24"/>
              </w:rPr>
              <w:t>（3）防护措施未完善的边坡由于受雨水侵蚀引起水土流失。</w:t>
            </w:r>
          </w:p>
          <w:p w14:paraId="3E58A801">
            <w:pPr>
              <w:widowControl/>
              <w:adjustRightInd w:val="0"/>
              <w:snapToGrid w:val="0"/>
              <w:spacing w:line="480" w:lineRule="exact"/>
              <w:ind w:firstLine="480" w:firstLineChars="200"/>
              <w:rPr>
                <w:sz w:val="24"/>
              </w:rPr>
            </w:pPr>
            <w:r>
              <w:rPr>
                <w:sz w:val="24"/>
              </w:rPr>
              <w:t>（4）施工期间遇到大风天气时，堆积的土方若无有效的预防扬尘措施，土方会在风力作用下向周边区域迁移，造成一定程度上的水土流失。</w:t>
            </w:r>
          </w:p>
          <w:p w14:paraId="409A8AC0">
            <w:pPr>
              <w:widowControl/>
              <w:adjustRightInd w:val="0"/>
              <w:snapToGrid w:val="0"/>
              <w:spacing w:line="480" w:lineRule="exact"/>
              <w:ind w:firstLine="480" w:firstLineChars="200"/>
              <w:rPr>
                <w:sz w:val="24"/>
              </w:rPr>
            </w:pPr>
            <w:r>
              <w:rPr>
                <w:sz w:val="24"/>
              </w:rPr>
              <w:t>因此，必须针对生产建设项目水土流失的特点，采取相应的工程措施和植物措施，进行综合治理，保障主体工程建设和运行的安全，保护生态环境。</w:t>
            </w:r>
          </w:p>
          <w:p w14:paraId="131908E6">
            <w:pPr>
              <w:pStyle w:val="75"/>
              <w:adjustRightInd w:val="0"/>
              <w:snapToGrid w:val="0"/>
              <w:spacing w:line="480" w:lineRule="exact"/>
              <w:ind w:firstLine="0"/>
              <w:rPr>
                <w:b/>
                <w:bCs/>
                <w:sz w:val="24"/>
                <w:szCs w:val="24"/>
              </w:rPr>
            </w:pPr>
            <w:r>
              <w:rPr>
                <w:b/>
                <w:bCs/>
                <w:sz w:val="24"/>
                <w:szCs w:val="24"/>
              </w:rPr>
              <w:t>2、施工期废气影响分析</w:t>
            </w:r>
          </w:p>
          <w:p w14:paraId="478B03D1">
            <w:pPr>
              <w:pStyle w:val="75"/>
              <w:adjustRightInd w:val="0"/>
              <w:snapToGrid w:val="0"/>
              <w:spacing w:line="480" w:lineRule="exact"/>
              <w:ind w:firstLine="482" w:firstLineChars="200"/>
              <w:rPr>
                <w:b/>
                <w:bCs/>
                <w:sz w:val="24"/>
                <w:szCs w:val="24"/>
              </w:rPr>
            </w:pPr>
            <w:r>
              <w:rPr>
                <w:b/>
                <w:bCs/>
                <w:sz w:val="24"/>
                <w:szCs w:val="24"/>
              </w:rPr>
              <w:t>2.1、扬尘影响分析</w:t>
            </w:r>
          </w:p>
          <w:p w14:paraId="66DAFD30">
            <w:pPr>
              <w:adjustRightInd w:val="0"/>
              <w:snapToGrid w:val="0"/>
              <w:spacing w:line="480" w:lineRule="exact"/>
              <w:ind w:firstLine="482" w:firstLineChars="200"/>
              <w:rPr>
                <w:b/>
                <w:kern w:val="0"/>
                <w:sz w:val="24"/>
              </w:rPr>
            </w:pPr>
            <w:r>
              <w:rPr>
                <w:b/>
                <w:kern w:val="0"/>
                <w:sz w:val="24"/>
              </w:rPr>
              <w:t>（1）施工扬尘</w:t>
            </w:r>
          </w:p>
          <w:p w14:paraId="0841C620">
            <w:pPr>
              <w:adjustRightInd w:val="0"/>
              <w:snapToGrid w:val="0"/>
              <w:spacing w:line="480" w:lineRule="exact"/>
              <w:ind w:firstLine="480" w:firstLineChars="200"/>
              <w:rPr>
                <w:sz w:val="24"/>
              </w:rPr>
            </w:pPr>
            <w:r>
              <w:rPr>
                <w:sz w:val="24"/>
              </w:rPr>
              <w:t>项目在建设期产生的扬尘按起尘的原因可分为风力起尘和动力起尘。其中风力起尘主要是由于露天堆放的建材（如黄沙、水泥等）及裸露的施工区表层浮尘因天气干燥及大风，产生风力扬尘。而动力起尘，主要发生在土方开挖、回填过程中，由于外力而产生的尘粒再悬浮而造成。其中土方施工作业造成的扬尘影响最为严重，因此本项目在开挖基坑、装卸土方、平整场地时，如遇不利天气，将对周围大气环境产生不利影响。</w:t>
            </w:r>
          </w:p>
          <w:p w14:paraId="5D133D84">
            <w:pPr>
              <w:adjustRightInd w:val="0"/>
              <w:snapToGrid w:val="0"/>
              <w:spacing w:line="480" w:lineRule="exact"/>
              <w:ind w:firstLine="480" w:firstLineChars="200"/>
              <w:rPr>
                <w:sz w:val="24"/>
              </w:rPr>
            </w:pPr>
            <w:r>
              <w:rPr>
                <w:sz w:val="24"/>
              </w:rPr>
              <w:t>尘粒在空气中的传播扩散情况与风速等气象条件有关，也与尘粒本身的沉降速度有关。以沙尘为例，不同粒径的尘粒的沉降速度见下表所示。由下表可知，尘粒的沉降速度随粒径的增大而迅速增大。当粒径为250um时，沉降速度为1.005m/s，因此可以认为当尘粒大于250um 时，主要影响范围在扬尘点下风向近距离范围内，而真正对外环境产生影响的是一些微小尘粒。根据现场的气候情况不同，其影响范围也有所不同。</w:t>
            </w:r>
          </w:p>
          <w:p w14:paraId="397EBB2F">
            <w:pPr>
              <w:spacing w:line="480" w:lineRule="exact"/>
              <w:jc w:val="center"/>
              <w:rPr>
                <w:b/>
                <w:bCs/>
                <w:sz w:val="24"/>
              </w:rPr>
            </w:pPr>
            <w:r>
              <w:rPr>
                <w:b/>
                <w:bCs/>
                <w:spacing w:val="-1"/>
                <w:szCs w:val="21"/>
              </w:rPr>
              <w:t xml:space="preserve">表4-1    </w:t>
            </w:r>
            <w:r>
              <w:rPr>
                <w:b/>
                <w:bCs/>
                <w:spacing w:val="5"/>
                <w:w w:val="101"/>
                <w:szCs w:val="21"/>
              </w:rPr>
              <w:t xml:space="preserve"> </w:t>
            </w:r>
            <w:r>
              <w:rPr>
                <w:b/>
                <w:bCs/>
                <w:spacing w:val="-1"/>
                <w:szCs w:val="21"/>
              </w:rPr>
              <w:t>不同粒径尘粒的沉降速度</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02"/>
              <w:gridCol w:w="721"/>
              <w:gridCol w:w="821"/>
              <w:gridCol w:w="898"/>
              <w:gridCol w:w="876"/>
              <w:gridCol w:w="876"/>
              <w:gridCol w:w="842"/>
              <w:gridCol w:w="834"/>
            </w:tblGrid>
            <w:tr w14:paraId="7C870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18" w:type="pct"/>
                  <w:vAlign w:val="center"/>
                </w:tcPr>
                <w:p w14:paraId="28C06FFB">
                  <w:pPr>
                    <w:adjustRightInd w:val="0"/>
                    <w:snapToGrid w:val="0"/>
                    <w:jc w:val="center"/>
                    <w:rPr>
                      <w:spacing w:val="-7"/>
                      <w:szCs w:val="21"/>
                    </w:rPr>
                  </w:pPr>
                  <w:r>
                    <w:rPr>
                      <w:spacing w:val="-7"/>
                      <w:szCs w:val="21"/>
                    </w:rPr>
                    <w:t>粒径，μm</w:t>
                  </w:r>
                </w:p>
              </w:tc>
              <w:tc>
                <w:tcPr>
                  <w:tcW w:w="489" w:type="pct"/>
                  <w:vAlign w:val="center"/>
                </w:tcPr>
                <w:p w14:paraId="39B7BD7F">
                  <w:pPr>
                    <w:adjustRightInd w:val="0"/>
                    <w:snapToGrid w:val="0"/>
                    <w:jc w:val="center"/>
                    <w:rPr>
                      <w:spacing w:val="-7"/>
                      <w:szCs w:val="21"/>
                    </w:rPr>
                  </w:pPr>
                  <w:r>
                    <w:rPr>
                      <w:spacing w:val="-7"/>
                      <w:szCs w:val="21"/>
                    </w:rPr>
                    <w:t>10</w:t>
                  </w:r>
                </w:p>
              </w:tc>
              <w:tc>
                <w:tcPr>
                  <w:tcW w:w="557" w:type="pct"/>
                  <w:vAlign w:val="center"/>
                </w:tcPr>
                <w:p w14:paraId="13B5A703">
                  <w:pPr>
                    <w:adjustRightInd w:val="0"/>
                    <w:snapToGrid w:val="0"/>
                    <w:jc w:val="center"/>
                    <w:rPr>
                      <w:spacing w:val="-7"/>
                      <w:szCs w:val="21"/>
                    </w:rPr>
                  </w:pPr>
                  <w:r>
                    <w:rPr>
                      <w:spacing w:val="-7"/>
                      <w:szCs w:val="21"/>
                    </w:rPr>
                    <w:t>20</w:t>
                  </w:r>
                </w:p>
              </w:tc>
              <w:tc>
                <w:tcPr>
                  <w:tcW w:w="609" w:type="pct"/>
                  <w:vAlign w:val="center"/>
                </w:tcPr>
                <w:p w14:paraId="485D48DF">
                  <w:pPr>
                    <w:adjustRightInd w:val="0"/>
                    <w:snapToGrid w:val="0"/>
                    <w:jc w:val="center"/>
                    <w:rPr>
                      <w:spacing w:val="-7"/>
                      <w:szCs w:val="21"/>
                    </w:rPr>
                  </w:pPr>
                  <w:r>
                    <w:rPr>
                      <w:spacing w:val="-7"/>
                      <w:szCs w:val="21"/>
                    </w:rPr>
                    <w:t>30</w:t>
                  </w:r>
                </w:p>
              </w:tc>
              <w:tc>
                <w:tcPr>
                  <w:tcW w:w="594" w:type="pct"/>
                  <w:vAlign w:val="center"/>
                </w:tcPr>
                <w:p w14:paraId="1F17542C">
                  <w:pPr>
                    <w:adjustRightInd w:val="0"/>
                    <w:snapToGrid w:val="0"/>
                    <w:jc w:val="center"/>
                    <w:rPr>
                      <w:spacing w:val="-7"/>
                      <w:szCs w:val="21"/>
                    </w:rPr>
                  </w:pPr>
                  <w:r>
                    <w:rPr>
                      <w:spacing w:val="-7"/>
                      <w:szCs w:val="21"/>
                    </w:rPr>
                    <w:t>40</w:t>
                  </w:r>
                </w:p>
              </w:tc>
              <w:tc>
                <w:tcPr>
                  <w:tcW w:w="594" w:type="pct"/>
                  <w:vAlign w:val="center"/>
                </w:tcPr>
                <w:p w14:paraId="3FD57FC3">
                  <w:pPr>
                    <w:adjustRightInd w:val="0"/>
                    <w:snapToGrid w:val="0"/>
                    <w:jc w:val="center"/>
                    <w:rPr>
                      <w:spacing w:val="-7"/>
                      <w:szCs w:val="21"/>
                    </w:rPr>
                  </w:pPr>
                  <w:r>
                    <w:rPr>
                      <w:spacing w:val="-7"/>
                      <w:szCs w:val="21"/>
                    </w:rPr>
                    <w:t>50</w:t>
                  </w:r>
                </w:p>
              </w:tc>
              <w:tc>
                <w:tcPr>
                  <w:tcW w:w="571" w:type="pct"/>
                  <w:vAlign w:val="center"/>
                </w:tcPr>
                <w:p w14:paraId="3D7E94CC">
                  <w:pPr>
                    <w:adjustRightInd w:val="0"/>
                    <w:snapToGrid w:val="0"/>
                    <w:jc w:val="center"/>
                    <w:rPr>
                      <w:spacing w:val="-7"/>
                      <w:szCs w:val="21"/>
                    </w:rPr>
                  </w:pPr>
                  <w:r>
                    <w:rPr>
                      <w:spacing w:val="-7"/>
                      <w:szCs w:val="21"/>
                    </w:rPr>
                    <w:t>60</w:t>
                  </w:r>
                </w:p>
              </w:tc>
              <w:tc>
                <w:tcPr>
                  <w:tcW w:w="566" w:type="pct"/>
                  <w:vAlign w:val="center"/>
                </w:tcPr>
                <w:p w14:paraId="1106A8D8">
                  <w:pPr>
                    <w:adjustRightInd w:val="0"/>
                    <w:snapToGrid w:val="0"/>
                    <w:jc w:val="center"/>
                    <w:rPr>
                      <w:spacing w:val="-7"/>
                      <w:szCs w:val="21"/>
                    </w:rPr>
                  </w:pPr>
                  <w:r>
                    <w:rPr>
                      <w:spacing w:val="-7"/>
                      <w:szCs w:val="21"/>
                    </w:rPr>
                    <w:t>70</w:t>
                  </w:r>
                </w:p>
              </w:tc>
            </w:tr>
            <w:tr w14:paraId="62B53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18" w:type="pct"/>
                  <w:vAlign w:val="center"/>
                </w:tcPr>
                <w:p w14:paraId="682F973C">
                  <w:pPr>
                    <w:adjustRightInd w:val="0"/>
                    <w:snapToGrid w:val="0"/>
                    <w:jc w:val="center"/>
                    <w:rPr>
                      <w:spacing w:val="-7"/>
                      <w:szCs w:val="21"/>
                    </w:rPr>
                  </w:pPr>
                  <w:r>
                    <w:rPr>
                      <w:spacing w:val="-7"/>
                      <w:szCs w:val="21"/>
                    </w:rPr>
                    <w:t>沉降速度，m/s</w:t>
                  </w:r>
                </w:p>
              </w:tc>
              <w:tc>
                <w:tcPr>
                  <w:tcW w:w="489" w:type="pct"/>
                  <w:vAlign w:val="center"/>
                </w:tcPr>
                <w:p w14:paraId="14C73E7E">
                  <w:pPr>
                    <w:adjustRightInd w:val="0"/>
                    <w:snapToGrid w:val="0"/>
                    <w:jc w:val="center"/>
                    <w:rPr>
                      <w:spacing w:val="-7"/>
                      <w:szCs w:val="21"/>
                    </w:rPr>
                  </w:pPr>
                  <w:r>
                    <w:rPr>
                      <w:spacing w:val="-7"/>
                      <w:szCs w:val="21"/>
                    </w:rPr>
                    <w:t>0.003</w:t>
                  </w:r>
                </w:p>
              </w:tc>
              <w:tc>
                <w:tcPr>
                  <w:tcW w:w="557" w:type="pct"/>
                  <w:vAlign w:val="center"/>
                </w:tcPr>
                <w:p w14:paraId="5D08B698">
                  <w:pPr>
                    <w:adjustRightInd w:val="0"/>
                    <w:snapToGrid w:val="0"/>
                    <w:jc w:val="center"/>
                    <w:rPr>
                      <w:spacing w:val="-7"/>
                      <w:szCs w:val="21"/>
                    </w:rPr>
                  </w:pPr>
                  <w:r>
                    <w:rPr>
                      <w:spacing w:val="-7"/>
                      <w:szCs w:val="21"/>
                    </w:rPr>
                    <w:t>0.012</w:t>
                  </w:r>
                </w:p>
              </w:tc>
              <w:tc>
                <w:tcPr>
                  <w:tcW w:w="609" w:type="pct"/>
                  <w:vAlign w:val="center"/>
                </w:tcPr>
                <w:p w14:paraId="124FE102">
                  <w:pPr>
                    <w:adjustRightInd w:val="0"/>
                    <w:snapToGrid w:val="0"/>
                    <w:jc w:val="center"/>
                    <w:rPr>
                      <w:spacing w:val="-7"/>
                      <w:szCs w:val="21"/>
                    </w:rPr>
                  </w:pPr>
                  <w:r>
                    <w:rPr>
                      <w:spacing w:val="-7"/>
                      <w:szCs w:val="21"/>
                    </w:rPr>
                    <w:t>0.027</w:t>
                  </w:r>
                </w:p>
              </w:tc>
              <w:tc>
                <w:tcPr>
                  <w:tcW w:w="594" w:type="pct"/>
                  <w:vAlign w:val="center"/>
                </w:tcPr>
                <w:p w14:paraId="44DEAD6E">
                  <w:pPr>
                    <w:adjustRightInd w:val="0"/>
                    <w:snapToGrid w:val="0"/>
                    <w:jc w:val="center"/>
                    <w:rPr>
                      <w:spacing w:val="-7"/>
                      <w:szCs w:val="21"/>
                    </w:rPr>
                  </w:pPr>
                  <w:r>
                    <w:rPr>
                      <w:spacing w:val="-7"/>
                      <w:szCs w:val="21"/>
                    </w:rPr>
                    <w:t>0.048</w:t>
                  </w:r>
                </w:p>
              </w:tc>
              <w:tc>
                <w:tcPr>
                  <w:tcW w:w="594" w:type="pct"/>
                  <w:vAlign w:val="center"/>
                </w:tcPr>
                <w:p w14:paraId="438DAB0B">
                  <w:pPr>
                    <w:adjustRightInd w:val="0"/>
                    <w:snapToGrid w:val="0"/>
                    <w:jc w:val="center"/>
                    <w:rPr>
                      <w:spacing w:val="-7"/>
                      <w:szCs w:val="21"/>
                    </w:rPr>
                  </w:pPr>
                  <w:r>
                    <w:rPr>
                      <w:spacing w:val="-7"/>
                      <w:szCs w:val="21"/>
                    </w:rPr>
                    <w:t>0.075</w:t>
                  </w:r>
                </w:p>
              </w:tc>
              <w:tc>
                <w:tcPr>
                  <w:tcW w:w="571" w:type="pct"/>
                  <w:vAlign w:val="center"/>
                </w:tcPr>
                <w:p w14:paraId="395FD50C">
                  <w:pPr>
                    <w:adjustRightInd w:val="0"/>
                    <w:snapToGrid w:val="0"/>
                    <w:jc w:val="center"/>
                    <w:rPr>
                      <w:spacing w:val="-7"/>
                      <w:szCs w:val="21"/>
                    </w:rPr>
                  </w:pPr>
                  <w:r>
                    <w:rPr>
                      <w:spacing w:val="-7"/>
                      <w:szCs w:val="21"/>
                    </w:rPr>
                    <w:t>0.108</w:t>
                  </w:r>
                </w:p>
              </w:tc>
              <w:tc>
                <w:tcPr>
                  <w:tcW w:w="566" w:type="pct"/>
                  <w:vAlign w:val="center"/>
                </w:tcPr>
                <w:p w14:paraId="6C48C4EB">
                  <w:pPr>
                    <w:adjustRightInd w:val="0"/>
                    <w:snapToGrid w:val="0"/>
                    <w:jc w:val="center"/>
                    <w:rPr>
                      <w:spacing w:val="-7"/>
                      <w:szCs w:val="21"/>
                    </w:rPr>
                  </w:pPr>
                  <w:r>
                    <w:rPr>
                      <w:spacing w:val="-7"/>
                      <w:szCs w:val="21"/>
                    </w:rPr>
                    <w:t>0.147</w:t>
                  </w:r>
                </w:p>
              </w:tc>
            </w:tr>
            <w:tr w14:paraId="60850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0D4769E0">
                  <w:pPr>
                    <w:adjustRightInd w:val="0"/>
                    <w:snapToGrid w:val="0"/>
                    <w:jc w:val="center"/>
                    <w:rPr>
                      <w:spacing w:val="-7"/>
                      <w:szCs w:val="21"/>
                    </w:rPr>
                  </w:pPr>
                  <w:r>
                    <w:rPr>
                      <w:spacing w:val="-7"/>
                      <w:szCs w:val="21"/>
                    </w:rPr>
                    <w:t>粒径，μm</w:t>
                  </w:r>
                </w:p>
              </w:tc>
              <w:tc>
                <w:tcPr>
                  <w:tcW w:w="489" w:type="pct"/>
                  <w:vAlign w:val="center"/>
                </w:tcPr>
                <w:p w14:paraId="42312334">
                  <w:pPr>
                    <w:adjustRightInd w:val="0"/>
                    <w:snapToGrid w:val="0"/>
                    <w:jc w:val="center"/>
                    <w:rPr>
                      <w:spacing w:val="-7"/>
                      <w:szCs w:val="21"/>
                    </w:rPr>
                  </w:pPr>
                  <w:r>
                    <w:rPr>
                      <w:spacing w:val="-7"/>
                      <w:szCs w:val="21"/>
                    </w:rPr>
                    <w:t>80</w:t>
                  </w:r>
                </w:p>
              </w:tc>
              <w:tc>
                <w:tcPr>
                  <w:tcW w:w="557" w:type="pct"/>
                  <w:vAlign w:val="center"/>
                </w:tcPr>
                <w:p w14:paraId="65FFABF5">
                  <w:pPr>
                    <w:adjustRightInd w:val="0"/>
                    <w:snapToGrid w:val="0"/>
                    <w:jc w:val="center"/>
                    <w:rPr>
                      <w:spacing w:val="-7"/>
                      <w:szCs w:val="21"/>
                    </w:rPr>
                  </w:pPr>
                  <w:r>
                    <w:rPr>
                      <w:spacing w:val="-7"/>
                      <w:szCs w:val="21"/>
                    </w:rPr>
                    <w:t>90</w:t>
                  </w:r>
                </w:p>
              </w:tc>
              <w:tc>
                <w:tcPr>
                  <w:tcW w:w="609" w:type="pct"/>
                  <w:vAlign w:val="center"/>
                </w:tcPr>
                <w:p w14:paraId="0A78B3C1">
                  <w:pPr>
                    <w:adjustRightInd w:val="0"/>
                    <w:snapToGrid w:val="0"/>
                    <w:jc w:val="center"/>
                    <w:rPr>
                      <w:spacing w:val="-7"/>
                      <w:szCs w:val="21"/>
                    </w:rPr>
                  </w:pPr>
                  <w:r>
                    <w:rPr>
                      <w:spacing w:val="-7"/>
                      <w:szCs w:val="21"/>
                    </w:rPr>
                    <w:t>100</w:t>
                  </w:r>
                </w:p>
              </w:tc>
              <w:tc>
                <w:tcPr>
                  <w:tcW w:w="594" w:type="pct"/>
                  <w:vAlign w:val="center"/>
                </w:tcPr>
                <w:p w14:paraId="3F9F5ABA">
                  <w:pPr>
                    <w:adjustRightInd w:val="0"/>
                    <w:snapToGrid w:val="0"/>
                    <w:jc w:val="center"/>
                    <w:rPr>
                      <w:spacing w:val="-7"/>
                      <w:szCs w:val="21"/>
                    </w:rPr>
                  </w:pPr>
                  <w:r>
                    <w:rPr>
                      <w:spacing w:val="-7"/>
                      <w:szCs w:val="21"/>
                    </w:rPr>
                    <w:t>150</w:t>
                  </w:r>
                </w:p>
              </w:tc>
              <w:tc>
                <w:tcPr>
                  <w:tcW w:w="594" w:type="pct"/>
                  <w:vAlign w:val="center"/>
                </w:tcPr>
                <w:p w14:paraId="4CFA102C">
                  <w:pPr>
                    <w:adjustRightInd w:val="0"/>
                    <w:snapToGrid w:val="0"/>
                    <w:jc w:val="center"/>
                    <w:rPr>
                      <w:spacing w:val="-7"/>
                      <w:szCs w:val="21"/>
                    </w:rPr>
                  </w:pPr>
                  <w:r>
                    <w:rPr>
                      <w:spacing w:val="-7"/>
                      <w:szCs w:val="21"/>
                    </w:rPr>
                    <w:t>200</w:t>
                  </w:r>
                </w:p>
              </w:tc>
              <w:tc>
                <w:tcPr>
                  <w:tcW w:w="571" w:type="pct"/>
                  <w:vAlign w:val="center"/>
                </w:tcPr>
                <w:p w14:paraId="6D139596">
                  <w:pPr>
                    <w:adjustRightInd w:val="0"/>
                    <w:snapToGrid w:val="0"/>
                    <w:jc w:val="center"/>
                    <w:rPr>
                      <w:spacing w:val="-7"/>
                      <w:szCs w:val="21"/>
                    </w:rPr>
                  </w:pPr>
                  <w:r>
                    <w:rPr>
                      <w:spacing w:val="-7"/>
                      <w:szCs w:val="21"/>
                    </w:rPr>
                    <w:t>250</w:t>
                  </w:r>
                </w:p>
              </w:tc>
              <w:tc>
                <w:tcPr>
                  <w:tcW w:w="566" w:type="pct"/>
                  <w:vAlign w:val="center"/>
                </w:tcPr>
                <w:p w14:paraId="05408ABF">
                  <w:pPr>
                    <w:adjustRightInd w:val="0"/>
                    <w:snapToGrid w:val="0"/>
                    <w:jc w:val="center"/>
                    <w:rPr>
                      <w:spacing w:val="-7"/>
                      <w:szCs w:val="21"/>
                    </w:rPr>
                  </w:pPr>
                  <w:r>
                    <w:rPr>
                      <w:spacing w:val="-7"/>
                      <w:szCs w:val="21"/>
                    </w:rPr>
                    <w:t>350</w:t>
                  </w:r>
                </w:p>
              </w:tc>
            </w:tr>
            <w:tr w14:paraId="1E1C9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520D178B">
                  <w:pPr>
                    <w:adjustRightInd w:val="0"/>
                    <w:snapToGrid w:val="0"/>
                    <w:jc w:val="center"/>
                    <w:rPr>
                      <w:spacing w:val="-7"/>
                      <w:szCs w:val="21"/>
                    </w:rPr>
                  </w:pPr>
                  <w:r>
                    <w:rPr>
                      <w:spacing w:val="-7"/>
                      <w:szCs w:val="21"/>
                    </w:rPr>
                    <w:t>沉降速度，m/s</w:t>
                  </w:r>
                </w:p>
              </w:tc>
              <w:tc>
                <w:tcPr>
                  <w:tcW w:w="489" w:type="pct"/>
                  <w:vAlign w:val="center"/>
                </w:tcPr>
                <w:p w14:paraId="16F1D502">
                  <w:pPr>
                    <w:adjustRightInd w:val="0"/>
                    <w:snapToGrid w:val="0"/>
                    <w:jc w:val="center"/>
                    <w:rPr>
                      <w:spacing w:val="-7"/>
                      <w:szCs w:val="21"/>
                    </w:rPr>
                  </w:pPr>
                  <w:r>
                    <w:rPr>
                      <w:spacing w:val="-7"/>
                      <w:szCs w:val="21"/>
                    </w:rPr>
                    <w:t>0.158</w:t>
                  </w:r>
                </w:p>
              </w:tc>
              <w:tc>
                <w:tcPr>
                  <w:tcW w:w="557" w:type="pct"/>
                  <w:vAlign w:val="center"/>
                </w:tcPr>
                <w:p w14:paraId="65C8C350">
                  <w:pPr>
                    <w:adjustRightInd w:val="0"/>
                    <w:snapToGrid w:val="0"/>
                    <w:jc w:val="center"/>
                    <w:rPr>
                      <w:spacing w:val="-7"/>
                      <w:szCs w:val="21"/>
                    </w:rPr>
                  </w:pPr>
                  <w:r>
                    <w:rPr>
                      <w:spacing w:val="-7"/>
                      <w:szCs w:val="21"/>
                    </w:rPr>
                    <w:t>0.170</w:t>
                  </w:r>
                </w:p>
              </w:tc>
              <w:tc>
                <w:tcPr>
                  <w:tcW w:w="609" w:type="pct"/>
                  <w:vAlign w:val="center"/>
                </w:tcPr>
                <w:p w14:paraId="7263B4C5">
                  <w:pPr>
                    <w:adjustRightInd w:val="0"/>
                    <w:snapToGrid w:val="0"/>
                    <w:jc w:val="center"/>
                    <w:rPr>
                      <w:spacing w:val="-7"/>
                      <w:szCs w:val="21"/>
                    </w:rPr>
                  </w:pPr>
                  <w:r>
                    <w:rPr>
                      <w:spacing w:val="-7"/>
                      <w:szCs w:val="21"/>
                    </w:rPr>
                    <w:t>0.182</w:t>
                  </w:r>
                </w:p>
              </w:tc>
              <w:tc>
                <w:tcPr>
                  <w:tcW w:w="594" w:type="pct"/>
                  <w:vAlign w:val="center"/>
                </w:tcPr>
                <w:p w14:paraId="5AD46C07">
                  <w:pPr>
                    <w:adjustRightInd w:val="0"/>
                    <w:snapToGrid w:val="0"/>
                    <w:jc w:val="center"/>
                    <w:rPr>
                      <w:spacing w:val="-7"/>
                      <w:szCs w:val="21"/>
                    </w:rPr>
                  </w:pPr>
                  <w:r>
                    <w:rPr>
                      <w:spacing w:val="-7"/>
                      <w:szCs w:val="21"/>
                    </w:rPr>
                    <w:t>0.239</w:t>
                  </w:r>
                </w:p>
              </w:tc>
              <w:tc>
                <w:tcPr>
                  <w:tcW w:w="594" w:type="pct"/>
                  <w:vAlign w:val="center"/>
                </w:tcPr>
                <w:p w14:paraId="1464CEF6">
                  <w:pPr>
                    <w:adjustRightInd w:val="0"/>
                    <w:snapToGrid w:val="0"/>
                    <w:jc w:val="center"/>
                    <w:rPr>
                      <w:spacing w:val="-7"/>
                      <w:szCs w:val="21"/>
                    </w:rPr>
                  </w:pPr>
                  <w:r>
                    <w:rPr>
                      <w:spacing w:val="-7"/>
                      <w:szCs w:val="21"/>
                    </w:rPr>
                    <w:t>0.804</w:t>
                  </w:r>
                </w:p>
              </w:tc>
              <w:tc>
                <w:tcPr>
                  <w:tcW w:w="571" w:type="pct"/>
                  <w:vAlign w:val="center"/>
                </w:tcPr>
                <w:p w14:paraId="153FCCA5">
                  <w:pPr>
                    <w:adjustRightInd w:val="0"/>
                    <w:snapToGrid w:val="0"/>
                    <w:jc w:val="center"/>
                    <w:rPr>
                      <w:spacing w:val="-7"/>
                      <w:szCs w:val="21"/>
                    </w:rPr>
                  </w:pPr>
                  <w:r>
                    <w:rPr>
                      <w:spacing w:val="-7"/>
                      <w:szCs w:val="21"/>
                    </w:rPr>
                    <w:t>1.005</w:t>
                  </w:r>
                </w:p>
              </w:tc>
              <w:tc>
                <w:tcPr>
                  <w:tcW w:w="566" w:type="pct"/>
                  <w:vAlign w:val="center"/>
                </w:tcPr>
                <w:p w14:paraId="7E940282">
                  <w:pPr>
                    <w:adjustRightInd w:val="0"/>
                    <w:snapToGrid w:val="0"/>
                    <w:jc w:val="center"/>
                    <w:rPr>
                      <w:spacing w:val="-7"/>
                      <w:szCs w:val="21"/>
                    </w:rPr>
                  </w:pPr>
                  <w:r>
                    <w:rPr>
                      <w:spacing w:val="-7"/>
                      <w:szCs w:val="21"/>
                    </w:rPr>
                    <w:t>1.829</w:t>
                  </w:r>
                </w:p>
              </w:tc>
            </w:tr>
            <w:tr w14:paraId="5108B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018" w:type="pct"/>
                  <w:vAlign w:val="center"/>
                </w:tcPr>
                <w:p w14:paraId="015B9E84">
                  <w:pPr>
                    <w:adjustRightInd w:val="0"/>
                    <w:snapToGrid w:val="0"/>
                    <w:jc w:val="center"/>
                    <w:rPr>
                      <w:spacing w:val="-7"/>
                      <w:szCs w:val="21"/>
                    </w:rPr>
                  </w:pPr>
                  <w:r>
                    <w:rPr>
                      <w:spacing w:val="-7"/>
                      <w:szCs w:val="21"/>
                    </w:rPr>
                    <w:t>粒径，μm</w:t>
                  </w:r>
                </w:p>
              </w:tc>
              <w:tc>
                <w:tcPr>
                  <w:tcW w:w="489" w:type="pct"/>
                  <w:vAlign w:val="center"/>
                </w:tcPr>
                <w:p w14:paraId="7FFF749F">
                  <w:pPr>
                    <w:adjustRightInd w:val="0"/>
                    <w:snapToGrid w:val="0"/>
                    <w:jc w:val="center"/>
                    <w:rPr>
                      <w:spacing w:val="-7"/>
                      <w:szCs w:val="21"/>
                    </w:rPr>
                  </w:pPr>
                  <w:r>
                    <w:rPr>
                      <w:spacing w:val="-7"/>
                      <w:szCs w:val="21"/>
                    </w:rPr>
                    <w:t>450</w:t>
                  </w:r>
                </w:p>
              </w:tc>
              <w:tc>
                <w:tcPr>
                  <w:tcW w:w="557" w:type="pct"/>
                  <w:vAlign w:val="center"/>
                </w:tcPr>
                <w:p w14:paraId="631596DE">
                  <w:pPr>
                    <w:adjustRightInd w:val="0"/>
                    <w:snapToGrid w:val="0"/>
                    <w:jc w:val="center"/>
                    <w:rPr>
                      <w:spacing w:val="-7"/>
                      <w:szCs w:val="21"/>
                    </w:rPr>
                  </w:pPr>
                  <w:r>
                    <w:rPr>
                      <w:spacing w:val="-7"/>
                      <w:szCs w:val="21"/>
                    </w:rPr>
                    <w:t>550</w:t>
                  </w:r>
                </w:p>
              </w:tc>
              <w:tc>
                <w:tcPr>
                  <w:tcW w:w="609" w:type="pct"/>
                  <w:vAlign w:val="center"/>
                </w:tcPr>
                <w:p w14:paraId="6B8DB08D">
                  <w:pPr>
                    <w:adjustRightInd w:val="0"/>
                    <w:snapToGrid w:val="0"/>
                    <w:jc w:val="center"/>
                    <w:rPr>
                      <w:spacing w:val="-7"/>
                      <w:szCs w:val="21"/>
                    </w:rPr>
                  </w:pPr>
                  <w:r>
                    <w:rPr>
                      <w:spacing w:val="-7"/>
                      <w:szCs w:val="21"/>
                    </w:rPr>
                    <w:t>650</w:t>
                  </w:r>
                </w:p>
              </w:tc>
              <w:tc>
                <w:tcPr>
                  <w:tcW w:w="594" w:type="pct"/>
                  <w:vAlign w:val="center"/>
                </w:tcPr>
                <w:p w14:paraId="16E74C32">
                  <w:pPr>
                    <w:adjustRightInd w:val="0"/>
                    <w:snapToGrid w:val="0"/>
                    <w:jc w:val="center"/>
                    <w:rPr>
                      <w:spacing w:val="-7"/>
                      <w:szCs w:val="21"/>
                    </w:rPr>
                  </w:pPr>
                  <w:r>
                    <w:rPr>
                      <w:spacing w:val="-7"/>
                      <w:szCs w:val="21"/>
                    </w:rPr>
                    <w:t>750</w:t>
                  </w:r>
                </w:p>
              </w:tc>
              <w:tc>
                <w:tcPr>
                  <w:tcW w:w="594" w:type="pct"/>
                  <w:vAlign w:val="center"/>
                </w:tcPr>
                <w:p w14:paraId="2316114C">
                  <w:pPr>
                    <w:adjustRightInd w:val="0"/>
                    <w:snapToGrid w:val="0"/>
                    <w:jc w:val="center"/>
                    <w:rPr>
                      <w:spacing w:val="-7"/>
                      <w:szCs w:val="21"/>
                    </w:rPr>
                  </w:pPr>
                  <w:r>
                    <w:rPr>
                      <w:spacing w:val="-7"/>
                      <w:szCs w:val="21"/>
                    </w:rPr>
                    <w:t>850</w:t>
                  </w:r>
                </w:p>
              </w:tc>
              <w:tc>
                <w:tcPr>
                  <w:tcW w:w="571" w:type="pct"/>
                  <w:vAlign w:val="center"/>
                </w:tcPr>
                <w:p w14:paraId="24569502">
                  <w:pPr>
                    <w:adjustRightInd w:val="0"/>
                    <w:snapToGrid w:val="0"/>
                    <w:jc w:val="center"/>
                    <w:rPr>
                      <w:spacing w:val="-7"/>
                      <w:szCs w:val="21"/>
                    </w:rPr>
                  </w:pPr>
                  <w:r>
                    <w:rPr>
                      <w:spacing w:val="-7"/>
                      <w:szCs w:val="21"/>
                    </w:rPr>
                    <w:t>950</w:t>
                  </w:r>
                </w:p>
              </w:tc>
              <w:tc>
                <w:tcPr>
                  <w:tcW w:w="566" w:type="pct"/>
                  <w:vAlign w:val="center"/>
                </w:tcPr>
                <w:p w14:paraId="47242F27">
                  <w:pPr>
                    <w:adjustRightInd w:val="0"/>
                    <w:snapToGrid w:val="0"/>
                    <w:jc w:val="center"/>
                    <w:rPr>
                      <w:spacing w:val="-7"/>
                      <w:szCs w:val="21"/>
                    </w:rPr>
                  </w:pPr>
                  <w:r>
                    <w:rPr>
                      <w:spacing w:val="-7"/>
                      <w:szCs w:val="21"/>
                    </w:rPr>
                    <w:t>1050</w:t>
                  </w:r>
                </w:p>
              </w:tc>
            </w:tr>
            <w:tr w14:paraId="5F4A5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018" w:type="pct"/>
                  <w:vAlign w:val="center"/>
                </w:tcPr>
                <w:p w14:paraId="3354A3E2">
                  <w:pPr>
                    <w:adjustRightInd w:val="0"/>
                    <w:snapToGrid w:val="0"/>
                    <w:jc w:val="center"/>
                    <w:rPr>
                      <w:spacing w:val="-7"/>
                      <w:szCs w:val="21"/>
                    </w:rPr>
                  </w:pPr>
                  <w:r>
                    <w:rPr>
                      <w:spacing w:val="-7"/>
                      <w:szCs w:val="21"/>
                    </w:rPr>
                    <w:t>沉降速度，m/s</w:t>
                  </w:r>
                </w:p>
              </w:tc>
              <w:tc>
                <w:tcPr>
                  <w:tcW w:w="489" w:type="pct"/>
                  <w:vAlign w:val="center"/>
                </w:tcPr>
                <w:p w14:paraId="7664CD8E">
                  <w:pPr>
                    <w:adjustRightInd w:val="0"/>
                    <w:snapToGrid w:val="0"/>
                    <w:jc w:val="center"/>
                    <w:rPr>
                      <w:spacing w:val="-7"/>
                      <w:szCs w:val="21"/>
                    </w:rPr>
                  </w:pPr>
                  <w:r>
                    <w:rPr>
                      <w:spacing w:val="-7"/>
                      <w:szCs w:val="21"/>
                    </w:rPr>
                    <w:t>2.211</w:t>
                  </w:r>
                </w:p>
              </w:tc>
              <w:tc>
                <w:tcPr>
                  <w:tcW w:w="557" w:type="pct"/>
                  <w:vAlign w:val="center"/>
                </w:tcPr>
                <w:p w14:paraId="7F226B73">
                  <w:pPr>
                    <w:adjustRightInd w:val="0"/>
                    <w:snapToGrid w:val="0"/>
                    <w:jc w:val="center"/>
                    <w:rPr>
                      <w:spacing w:val="-7"/>
                      <w:szCs w:val="21"/>
                    </w:rPr>
                  </w:pPr>
                  <w:r>
                    <w:rPr>
                      <w:spacing w:val="-7"/>
                      <w:szCs w:val="21"/>
                    </w:rPr>
                    <w:t>2.614</w:t>
                  </w:r>
                </w:p>
              </w:tc>
              <w:tc>
                <w:tcPr>
                  <w:tcW w:w="609" w:type="pct"/>
                  <w:vAlign w:val="center"/>
                </w:tcPr>
                <w:p w14:paraId="75953C39">
                  <w:pPr>
                    <w:adjustRightInd w:val="0"/>
                    <w:snapToGrid w:val="0"/>
                    <w:jc w:val="center"/>
                    <w:rPr>
                      <w:spacing w:val="-7"/>
                      <w:szCs w:val="21"/>
                    </w:rPr>
                  </w:pPr>
                  <w:r>
                    <w:rPr>
                      <w:spacing w:val="-7"/>
                      <w:szCs w:val="21"/>
                    </w:rPr>
                    <w:t>3.016</w:t>
                  </w:r>
                </w:p>
              </w:tc>
              <w:tc>
                <w:tcPr>
                  <w:tcW w:w="594" w:type="pct"/>
                  <w:vAlign w:val="center"/>
                </w:tcPr>
                <w:p w14:paraId="54AADFD7">
                  <w:pPr>
                    <w:adjustRightInd w:val="0"/>
                    <w:snapToGrid w:val="0"/>
                    <w:jc w:val="center"/>
                    <w:rPr>
                      <w:spacing w:val="-7"/>
                      <w:szCs w:val="21"/>
                    </w:rPr>
                  </w:pPr>
                  <w:r>
                    <w:rPr>
                      <w:spacing w:val="-7"/>
                      <w:szCs w:val="21"/>
                    </w:rPr>
                    <w:t>3.418</w:t>
                  </w:r>
                </w:p>
              </w:tc>
              <w:tc>
                <w:tcPr>
                  <w:tcW w:w="594" w:type="pct"/>
                  <w:vAlign w:val="center"/>
                </w:tcPr>
                <w:p w14:paraId="1E235D74">
                  <w:pPr>
                    <w:adjustRightInd w:val="0"/>
                    <w:snapToGrid w:val="0"/>
                    <w:jc w:val="center"/>
                    <w:rPr>
                      <w:spacing w:val="-7"/>
                      <w:szCs w:val="21"/>
                    </w:rPr>
                  </w:pPr>
                  <w:r>
                    <w:rPr>
                      <w:spacing w:val="-7"/>
                      <w:szCs w:val="21"/>
                    </w:rPr>
                    <w:t>3.820</w:t>
                  </w:r>
                </w:p>
              </w:tc>
              <w:tc>
                <w:tcPr>
                  <w:tcW w:w="571" w:type="pct"/>
                  <w:vAlign w:val="center"/>
                </w:tcPr>
                <w:p w14:paraId="2AA413AE">
                  <w:pPr>
                    <w:adjustRightInd w:val="0"/>
                    <w:snapToGrid w:val="0"/>
                    <w:jc w:val="center"/>
                    <w:rPr>
                      <w:spacing w:val="-7"/>
                      <w:szCs w:val="21"/>
                    </w:rPr>
                  </w:pPr>
                  <w:r>
                    <w:rPr>
                      <w:spacing w:val="-7"/>
                      <w:szCs w:val="21"/>
                    </w:rPr>
                    <w:t>4.222</w:t>
                  </w:r>
                </w:p>
              </w:tc>
              <w:tc>
                <w:tcPr>
                  <w:tcW w:w="566" w:type="pct"/>
                  <w:vAlign w:val="center"/>
                </w:tcPr>
                <w:p w14:paraId="7E5F896F">
                  <w:pPr>
                    <w:adjustRightInd w:val="0"/>
                    <w:snapToGrid w:val="0"/>
                    <w:jc w:val="center"/>
                    <w:rPr>
                      <w:spacing w:val="-7"/>
                      <w:szCs w:val="21"/>
                    </w:rPr>
                  </w:pPr>
                  <w:r>
                    <w:rPr>
                      <w:spacing w:val="-7"/>
                      <w:szCs w:val="21"/>
                    </w:rPr>
                    <w:t>4.624</w:t>
                  </w:r>
                </w:p>
              </w:tc>
            </w:tr>
          </w:tbl>
          <w:p w14:paraId="58F31350">
            <w:pPr>
              <w:adjustRightInd w:val="0"/>
              <w:snapToGrid w:val="0"/>
              <w:spacing w:line="480" w:lineRule="exact"/>
              <w:ind w:firstLine="452" w:firstLineChars="200"/>
              <w:rPr>
                <w:bCs/>
                <w:kern w:val="0"/>
                <w:sz w:val="24"/>
              </w:rPr>
            </w:pPr>
            <w:r>
              <w:rPr>
                <w:spacing w:val="-7"/>
                <w:sz w:val="24"/>
              </w:rPr>
              <w:t>根据同类工程类比可知，在未采取任何环保措施的条件下，施工现场下风向1m处扬尘浓度可达到3mg/m</w:t>
            </w:r>
            <w:r>
              <w:rPr>
                <w:spacing w:val="-7"/>
                <w:sz w:val="24"/>
                <w:vertAlign w:val="superscript"/>
              </w:rPr>
              <w:t>3</w:t>
            </w:r>
            <w:r>
              <w:rPr>
                <w:spacing w:val="-7"/>
                <w:sz w:val="24"/>
              </w:rPr>
              <w:t>以上，25m处约为1.5mg/m</w:t>
            </w:r>
            <w:r>
              <w:rPr>
                <w:spacing w:val="-7"/>
                <w:sz w:val="24"/>
                <w:vertAlign w:val="superscript"/>
              </w:rPr>
              <w:t>3</w:t>
            </w:r>
            <w:r>
              <w:rPr>
                <w:spacing w:val="-7"/>
                <w:sz w:val="24"/>
              </w:rPr>
              <w:t>，100m处约为0.21~0.79mg/m</w:t>
            </w:r>
            <w:r>
              <w:rPr>
                <w:spacing w:val="-7"/>
                <w:sz w:val="24"/>
                <w:vertAlign w:val="superscript"/>
              </w:rPr>
              <w:t>3</w:t>
            </w:r>
            <w:r>
              <w:rPr>
                <w:spacing w:val="-7"/>
                <w:sz w:val="24"/>
              </w:rPr>
              <w:t>，故施工扬尘仅对施工区域100m范围以内的环境空气有影响，对100m以外的环境空气影响较小。</w:t>
            </w:r>
          </w:p>
          <w:p w14:paraId="27176987">
            <w:pPr>
              <w:widowControl/>
              <w:adjustRightInd w:val="0"/>
              <w:snapToGrid w:val="0"/>
              <w:spacing w:line="480" w:lineRule="exact"/>
              <w:ind w:firstLine="482" w:firstLineChars="200"/>
              <w:jc w:val="left"/>
              <w:rPr>
                <w:b/>
                <w:sz w:val="24"/>
              </w:rPr>
            </w:pPr>
            <w:r>
              <w:rPr>
                <w:b/>
                <w:kern w:val="0"/>
                <w:sz w:val="24"/>
              </w:rPr>
              <w:t>（2）车辆行驶扬尘</w:t>
            </w:r>
          </w:p>
          <w:p w14:paraId="7BA1D3B9">
            <w:pPr>
              <w:widowControl/>
              <w:adjustRightInd w:val="0"/>
              <w:snapToGrid w:val="0"/>
              <w:spacing w:line="480" w:lineRule="exact"/>
              <w:ind w:firstLine="480" w:firstLineChars="200"/>
              <w:jc w:val="left"/>
              <w:rPr>
                <w:bCs/>
                <w:kern w:val="0"/>
                <w:sz w:val="24"/>
              </w:rPr>
            </w:pPr>
            <w:r>
              <w:rPr>
                <w:kern w:val="0"/>
                <w:sz w:val="24"/>
              </w:rPr>
              <w:t>在施工过程中，车辆行驶产生的扬尘量占扬尘总量的60%以上。车辆在行驶过程中产生的扬尘，在完全干燥的情况下，可按下列经验公式计算：</w:t>
            </w:r>
          </w:p>
          <w:p w14:paraId="6E832455">
            <w:pPr>
              <w:widowControl/>
              <w:spacing w:line="480" w:lineRule="exact"/>
              <w:ind w:firstLine="480" w:firstLineChars="200"/>
              <w:jc w:val="left"/>
              <w:rPr>
                <w:sz w:val="24"/>
              </w:rPr>
            </w:pPr>
            <w:r>
              <w:rPr>
                <w:bCs/>
                <w:kern w:val="0"/>
                <w:sz w:val="24"/>
              </w:rPr>
              <w:drawing>
                <wp:anchor distT="0" distB="0" distL="114300" distR="114300" simplePos="0" relativeHeight="251661312" behindDoc="0" locked="0" layoutInCell="1" allowOverlap="1">
                  <wp:simplePos x="0" y="0"/>
                  <wp:positionH relativeFrom="column">
                    <wp:posOffset>1495425</wp:posOffset>
                  </wp:positionH>
                  <wp:positionV relativeFrom="paragraph">
                    <wp:posOffset>75565</wp:posOffset>
                  </wp:positionV>
                  <wp:extent cx="2219325" cy="400050"/>
                  <wp:effectExtent l="0" t="0" r="9525" b="0"/>
                  <wp:wrapTopAndBottom/>
                  <wp:docPr id="21" name="图片 616" descr="163417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6" descr="1634176797(1)"/>
                          <pic:cNvPicPr>
                            <a:picLocks noChangeAspect="1"/>
                          </pic:cNvPicPr>
                        </pic:nvPicPr>
                        <pic:blipFill>
                          <a:blip r:embed="rId45" cstate="print"/>
                          <a:stretch>
                            <a:fillRect/>
                          </a:stretch>
                        </pic:blipFill>
                        <pic:spPr>
                          <a:xfrm>
                            <a:off x="0" y="0"/>
                            <a:ext cx="2219325" cy="400050"/>
                          </a:xfrm>
                          <a:prstGeom prst="rect">
                            <a:avLst/>
                          </a:prstGeom>
                          <a:noFill/>
                          <a:ln>
                            <a:noFill/>
                          </a:ln>
                        </pic:spPr>
                      </pic:pic>
                    </a:graphicData>
                  </a:graphic>
                </wp:anchor>
              </w:drawing>
            </w:r>
            <w:r>
              <w:rPr>
                <w:kern w:val="0"/>
                <w:sz w:val="24"/>
              </w:rPr>
              <w:t>式中：Q—汽车行驶的扬尘，kg/km辆；</w:t>
            </w:r>
          </w:p>
          <w:p w14:paraId="29D34294">
            <w:pPr>
              <w:widowControl/>
              <w:spacing w:line="480" w:lineRule="exact"/>
              <w:ind w:firstLine="480" w:firstLineChars="200"/>
              <w:jc w:val="left"/>
              <w:rPr>
                <w:sz w:val="24"/>
              </w:rPr>
            </w:pPr>
            <w:r>
              <w:rPr>
                <w:kern w:val="0"/>
                <w:sz w:val="24"/>
              </w:rPr>
              <w:t>v—汽车速度，km/h；</w:t>
            </w:r>
          </w:p>
          <w:p w14:paraId="31E2BB83">
            <w:pPr>
              <w:widowControl/>
              <w:spacing w:line="480" w:lineRule="exact"/>
              <w:ind w:firstLine="480" w:firstLineChars="200"/>
              <w:jc w:val="left"/>
              <w:rPr>
                <w:sz w:val="24"/>
              </w:rPr>
            </w:pPr>
            <w:r>
              <w:rPr>
                <w:kern w:val="0"/>
                <w:sz w:val="24"/>
              </w:rPr>
              <w:t>w—汽车载重量，t；</w:t>
            </w:r>
          </w:p>
          <w:p w14:paraId="00B30DE4">
            <w:pPr>
              <w:widowControl/>
              <w:spacing w:line="480" w:lineRule="exact"/>
              <w:ind w:firstLine="480" w:firstLineChars="200"/>
              <w:jc w:val="left"/>
              <w:rPr>
                <w:sz w:val="24"/>
              </w:rPr>
            </w:pPr>
            <w:r>
              <w:rPr>
                <w:kern w:val="0"/>
                <w:sz w:val="24"/>
              </w:rPr>
              <w:t>P—道路表面粉尘量，kg/m</w:t>
            </w:r>
            <w:r>
              <w:rPr>
                <w:kern w:val="0"/>
                <w:sz w:val="24"/>
                <w:vertAlign w:val="superscript"/>
              </w:rPr>
              <w:t>2</w:t>
            </w:r>
            <w:r>
              <w:rPr>
                <w:kern w:val="0"/>
                <w:sz w:val="24"/>
              </w:rPr>
              <w:t>。</w:t>
            </w:r>
          </w:p>
          <w:p w14:paraId="2598883B">
            <w:pPr>
              <w:widowControl/>
              <w:spacing w:line="480" w:lineRule="exact"/>
              <w:ind w:firstLine="480" w:firstLineChars="200"/>
              <w:jc w:val="left"/>
              <w:rPr>
                <w:sz w:val="24"/>
              </w:rPr>
            </w:pPr>
            <w:r>
              <w:rPr>
                <w:kern w:val="0"/>
                <w:sz w:val="24"/>
              </w:rPr>
              <w:t>根据以上公式，在同样的路面条件下，车速越快，扬尘量越大；在同样的车速情况下，硬化程度越差、越干燥，扬尘量越大。因此，限制车辆行驶速度以及保持路面的硬化和湿度是减少汽车扬尘的有效手段。如果施工阶段对汽车行驶路面勤洒水（每天4~5次），可以使空气中粉尘量减少70%左右，可以收到很好的降尘效果，扬尘造成的粉尘污染距离可缩小到20~50m范围内，扬尘量可降低30%~80%。因此限制车辆行驶速度及保持路面清洁是减少汽车行驶道路扬尘的有效手段。</w:t>
            </w:r>
          </w:p>
          <w:p w14:paraId="1B5A35B8">
            <w:pPr>
              <w:adjustRightInd w:val="0"/>
              <w:snapToGrid w:val="0"/>
              <w:spacing w:line="480" w:lineRule="exact"/>
              <w:ind w:firstLine="402" w:firstLineChars="200"/>
              <w:jc w:val="center"/>
              <w:rPr>
                <w:b/>
                <w:bCs/>
                <w:kern w:val="0"/>
                <w:sz w:val="24"/>
              </w:rPr>
            </w:pPr>
            <w:r>
              <w:rPr>
                <w:b/>
                <w:bCs/>
                <w:spacing w:val="-5"/>
                <w:szCs w:val="21"/>
              </w:rPr>
              <w:t xml:space="preserve">表4-2   </w:t>
            </w:r>
            <w:r>
              <w:rPr>
                <w:b/>
                <w:bCs/>
                <w:spacing w:val="3"/>
                <w:szCs w:val="21"/>
              </w:rPr>
              <w:t xml:space="preserve"> </w:t>
            </w:r>
            <w:r>
              <w:rPr>
                <w:b/>
                <w:bCs/>
                <w:spacing w:val="-5"/>
                <w:szCs w:val="21"/>
              </w:rPr>
              <w:t>洒水抑尘效果一览表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87"/>
              <w:gridCol w:w="1566"/>
              <w:gridCol w:w="938"/>
              <w:gridCol w:w="1120"/>
              <w:gridCol w:w="1121"/>
              <w:gridCol w:w="1238"/>
            </w:tblGrid>
            <w:tr w14:paraId="34293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Align w:val="center"/>
                </w:tcPr>
                <w:p w14:paraId="3822AD7B">
                  <w:pPr>
                    <w:adjustRightInd w:val="0"/>
                    <w:snapToGrid w:val="0"/>
                    <w:jc w:val="center"/>
                    <w:rPr>
                      <w:szCs w:val="21"/>
                    </w:rPr>
                  </w:pPr>
                  <w:r>
                    <w:rPr>
                      <w:spacing w:val="-3"/>
                      <w:szCs w:val="21"/>
                    </w:rPr>
                    <w:t>污染因子</w:t>
                  </w:r>
                </w:p>
              </w:tc>
              <w:tc>
                <w:tcPr>
                  <w:tcW w:w="1803" w:type="dxa"/>
                  <w:vAlign w:val="center"/>
                </w:tcPr>
                <w:p w14:paraId="676EC522">
                  <w:pPr>
                    <w:adjustRightInd w:val="0"/>
                    <w:snapToGrid w:val="0"/>
                    <w:jc w:val="center"/>
                    <w:rPr>
                      <w:szCs w:val="21"/>
                    </w:rPr>
                  </w:pPr>
                  <w:r>
                    <w:rPr>
                      <w:spacing w:val="-6"/>
                      <w:szCs w:val="21"/>
                    </w:rPr>
                    <w:t>防治措施</w:t>
                  </w:r>
                </w:p>
              </w:tc>
              <w:tc>
                <w:tcPr>
                  <w:tcW w:w="1061" w:type="dxa"/>
                  <w:vAlign w:val="center"/>
                </w:tcPr>
                <w:p w14:paraId="4ACA0A53">
                  <w:pPr>
                    <w:adjustRightInd w:val="0"/>
                    <w:snapToGrid w:val="0"/>
                    <w:jc w:val="center"/>
                    <w:rPr>
                      <w:szCs w:val="21"/>
                    </w:rPr>
                  </w:pPr>
                  <w:r>
                    <w:rPr>
                      <w:spacing w:val="-6"/>
                      <w:szCs w:val="21"/>
                    </w:rPr>
                    <w:t>5m</w:t>
                  </w:r>
                </w:p>
              </w:tc>
              <w:tc>
                <w:tcPr>
                  <w:tcW w:w="1302" w:type="dxa"/>
                  <w:vAlign w:val="center"/>
                </w:tcPr>
                <w:p w14:paraId="174254C4">
                  <w:pPr>
                    <w:adjustRightInd w:val="0"/>
                    <w:snapToGrid w:val="0"/>
                    <w:jc w:val="center"/>
                    <w:rPr>
                      <w:szCs w:val="21"/>
                    </w:rPr>
                  </w:pPr>
                  <w:r>
                    <w:rPr>
                      <w:spacing w:val="-2"/>
                      <w:szCs w:val="21"/>
                    </w:rPr>
                    <w:t>20m</w:t>
                  </w:r>
                </w:p>
              </w:tc>
              <w:tc>
                <w:tcPr>
                  <w:tcW w:w="1302" w:type="dxa"/>
                  <w:vAlign w:val="center"/>
                </w:tcPr>
                <w:p w14:paraId="705B2778">
                  <w:pPr>
                    <w:adjustRightInd w:val="0"/>
                    <w:snapToGrid w:val="0"/>
                    <w:jc w:val="center"/>
                    <w:rPr>
                      <w:szCs w:val="21"/>
                    </w:rPr>
                  </w:pPr>
                  <w:r>
                    <w:rPr>
                      <w:spacing w:val="-4"/>
                      <w:szCs w:val="21"/>
                    </w:rPr>
                    <w:t>50m</w:t>
                  </w:r>
                </w:p>
              </w:tc>
              <w:tc>
                <w:tcPr>
                  <w:tcW w:w="1425" w:type="dxa"/>
                  <w:vAlign w:val="center"/>
                </w:tcPr>
                <w:p w14:paraId="7CF64A37">
                  <w:pPr>
                    <w:adjustRightInd w:val="0"/>
                    <w:snapToGrid w:val="0"/>
                    <w:jc w:val="center"/>
                    <w:rPr>
                      <w:szCs w:val="21"/>
                    </w:rPr>
                  </w:pPr>
                  <w:r>
                    <w:rPr>
                      <w:spacing w:val="-6"/>
                      <w:szCs w:val="21"/>
                    </w:rPr>
                    <w:t>100m</w:t>
                  </w:r>
                </w:p>
              </w:tc>
            </w:tr>
            <w:tr w14:paraId="09435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restart"/>
                  <w:vAlign w:val="center"/>
                </w:tcPr>
                <w:p w14:paraId="6001D5DA">
                  <w:pPr>
                    <w:adjustRightInd w:val="0"/>
                    <w:snapToGrid w:val="0"/>
                    <w:jc w:val="center"/>
                    <w:rPr>
                      <w:szCs w:val="21"/>
                    </w:rPr>
                  </w:pPr>
                  <w:r>
                    <w:rPr>
                      <w:spacing w:val="-1"/>
                      <w:szCs w:val="21"/>
                    </w:rPr>
                    <w:t>TSP(Kg/m</w:t>
                  </w:r>
                  <w:r>
                    <w:rPr>
                      <w:spacing w:val="-1"/>
                      <w:szCs w:val="21"/>
                      <w:vertAlign w:val="superscript"/>
                    </w:rPr>
                    <w:t>2</w:t>
                  </w:r>
                  <w:r>
                    <w:rPr>
                      <w:spacing w:val="-1"/>
                      <w:szCs w:val="21"/>
                    </w:rPr>
                    <w:t>)</w:t>
                  </w:r>
                </w:p>
              </w:tc>
              <w:tc>
                <w:tcPr>
                  <w:tcW w:w="1803" w:type="dxa"/>
                  <w:vAlign w:val="center"/>
                </w:tcPr>
                <w:p w14:paraId="55FCCE51">
                  <w:pPr>
                    <w:adjustRightInd w:val="0"/>
                    <w:snapToGrid w:val="0"/>
                    <w:jc w:val="center"/>
                    <w:rPr>
                      <w:szCs w:val="21"/>
                    </w:rPr>
                  </w:pPr>
                  <w:r>
                    <w:rPr>
                      <w:spacing w:val="-5"/>
                      <w:szCs w:val="21"/>
                    </w:rPr>
                    <w:t>不洒水</w:t>
                  </w:r>
                </w:p>
              </w:tc>
              <w:tc>
                <w:tcPr>
                  <w:tcW w:w="1061" w:type="dxa"/>
                  <w:vAlign w:val="center"/>
                </w:tcPr>
                <w:p w14:paraId="6DB4289D">
                  <w:pPr>
                    <w:adjustRightInd w:val="0"/>
                    <w:snapToGrid w:val="0"/>
                    <w:jc w:val="center"/>
                    <w:rPr>
                      <w:szCs w:val="21"/>
                    </w:rPr>
                  </w:pPr>
                  <w:r>
                    <w:rPr>
                      <w:spacing w:val="-5"/>
                      <w:w w:val="95"/>
                      <w:szCs w:val="21"/>
                    </w:rPr>
                    <w:t>10.14</w:t>
                  </w:r>
                </w:p>
              </w:tc>
              <w:tc>
                <w:tcPr>
                  <w:tcW w:w="1302" w:type="dxa"/>
                  <w:vAlign w:val="center"/>
                </w:tcPr>
                <w:p w14:paraId="33DB42D0">
                  <w:pPr>
                    <w:adjustRightInd w:val="0"/>
                    <w:snapToGrid w:val="0"/>
                    <w:jc w:val="center"/>
                    <w:rPr>
                      <w:szCs w:val="21"/>
                    </w:rPr>
                  </w:pPr>
                  <w:r>
                    <w:rPr>
                      <w:spacing w:val="-1"/>
                      <w:szCs w:val="21"/>
                    </w:rPr>
                    <w:t>2.81</w:t>
                  </w:r>
                </w:p>
              </w:tc>
              <w:tc>
                <w:tcPr>
                  <w:tcW w:w="1302" w:type="dxa"/>
                  <w:vAlign w:val="center"/>
                </w:tcPr>
                <w:p w14:paraId="3050E49D">
                  <w:pPr>
                    <w:adjustRightInd w:val="0"/>
                    <w:snapToGrid w:val="0"/>
                    <w:jc w:val="center"/>
                    <w:rPr>
                      <w:szCs w:val="21"/>
                    </w:rPr>
                  </w:pPr>
                  <w:r>
                    <w:rPr>
                      <w:spacing w:val="-4"/>
                      <w:w w:val="91"/>
                      <w:szCs w:val="21"/>
                    </w:rPr>
                    <w:t>1.15</w:t>
                  </w:r>
                </w:p>
              </w:tc>
              <w:tc>
                <w:tcPr>
                  <w:tcW w:w="1425" w:type="dxa"/>
                  <w:vAlign w:val="center"/>
                </w:tcPr>
                <w:p w14:paraId="02A75E89">
                  <w:pPr>
                    <w:adjustRightInd w:val="0"/>
                    <w:snapToGrid w:val="0"/>
                    <w:jc w:val="center"/>
                    <w:rPr>
                      <w:szCs w:val="21"/>
                    </w:rPr>
                  </w:pPr>
                  <w:r>
                    <w:rPr>
                      <w:spacing w:val="-2"/>
                      <w:szCs w:val="21"/>
                    </w:rPr>
                    <w:t>0.86</w:t>
                  </w:r>
                </w:p>
              </w:tc>
            </w:tr>
            <w:tr w14:paraId="3F8DE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continue"/>
                  <w:vAlign w:val="center"/>
                </w:tcPr>
                <w:p w14:paraId="69B1C69C">
                  <w:pPr>
                    <w:adjustRightInd w:val="0"/>
                    <w:snapToGrid w:val="0"/>
                    <w:jc w:val="center"/>
                    <w:rPr>
                      <w:szCs w:val="21"/>
                    </w:rPr>
                  </w:pPr>
                </w:p>
              </w:tc>
              <w:tc>
                <w:tcPr>
                  <w:tcW w:w="1803" w:type="dxa"/>
                  <w:vAlign w:val="center"/>
                </w:tcPr>
                <w:p w14:paraId="7EAAD6DB">
                  <w:pPr>
                    <w:adjustRightInd w:val="0"/>
                    <w:snapToGrid w:val="0"/>
                    <w:jc w:val="center"/>
                    <w:rPr>
                      <w:szCs w:val="21"/>
                    </w:rPr>
                  </w:pPr>
                  <w:r>
                    <w:rPr>
                      <w:spacing w:val="-6"/>
                      <w:szCs w:val="21"/>
                    </w:rPr>
                    <w:t>洒水</w:t>
                  </w:r>
                </w:p>
              </w:tc>
              <w:tc>
                <w:tcPr>
                  <w:tcW w:w="1061" w:type="dxa"/>
                  <w:vAlign w:val="center"/>
                </w:tcPr>
                <w:p w14:paraId="0AACFAF6">
                  <w:pPr>
                    <w:adjustRightInd w:val="0"/>
                    <w:snapToGrid w:val="0"/>
                    <w:jc w:val="center"/>
                    <w:rPr>
                      <w:szCs w:val="21"/>
                    </w:rPr>
                  </w:pPr>
                  <w:r>
                    <w:rPr>
                      <w:spacing w:val="-1"/>
                      <w:szCs w:val="21"/>
                    </w:rPr>
                    <w:t>2.01</w:t>
                  </w:r>
                </w:p>
              </w:tc>
              <w:tc>
                <w:tcPr>
                  <w:tcW w:w="1302" w:type="dxa"/>
                  <w:vAlign w:val="center"/>
                </w:tcPr>
                <w:p w14:paraId="7D7B0919">
                  <w:pPr>
                    <w:adjustRightInd w:val="0"/>
                    <w:snapToGrid w:val="0"/>
                    <w:jc w:val="center"/>
                    <w:rPr>
                      <w:szCs w:val="21"/>
                    </w:rPr>
                  </w:pPr>
                  <w:r>
                    <w:rPr>
                      <w:spacing w:val="-5"/>
                      <w:w w:val="99"/>
                      <w:szCs w:val="21"/>
                    </w:rPr>
                    <w:t>1.40</w:t>
                  </w:r>
                </w:p>
              </w:tc>
              <w:tc>
                <w:tcPr>
                  <w:tcW w:w="1302" w:type="dxa"/>
                  <w:vAlign w:val="center"/>
                </w:tcPr>
                <w:p w14:paraId="5346A023">
                  <w:pPr>
                    <w:adjustRightInd w:val="0"/>
                    <w:snapToGrid w:val="0"/>
                    <w:jc w:val="center"/>
                    <w:rPr>
                      <w:szCs w:val="21"/>
                    </w:rPr>
                  </w:pPr>
                  <w:r>
                    <w:rPr>
                      <w:spacing w:val="-2"/>
                      <w:szCs w:val="21"/>
                    </w:rPr>
                    <w:t>0.68</w:t>
                  </w:r>
                </w:p>
              </w:tc>
              <w:tc>
                <w:tcPr>
                  <w:tcW w:w="1425" w:type="dxa"/>
                  <w:vAlign w:val="center"/>
                </w:tcPr>
                <w:p w14:paraId="56BF5413">
                  <w:pPr>
                    <w:adjustRightInd w:val="0"/>
                    <w:snapToGrid w:val="0"/>
                    <w:jc w:val="center"/>
                    <w:rPr>
                      <w:szCs w:val="21"/>
                    </w:rPr>
                  </w:pPr>
                  <w:r>
                    <w:rPr>
                      <w:spacing w:val="-2"/>
                      <w:szCs w:val="21"/>
                    </w:rPr>
                    <w:t>0.60</w:t>
                  </w:r>
                </w:p>
              </w:tc>
            </w:tr>
            <w:tr w14:paraId="055BC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466" w:type="dxa"/>
                  <w:vMerge w:val="continue"/>
                  <w:vAlign w:val="center"/>
                </w:tcPr>
                <w:p w14:paraId="30C75FC6">
                  <w:pPr>
                    <w:adjustRightInd w:val="0"/>
                    <w:snapToGrid w:val="0"/>
                    <w:jc w:val="center"/>
                    <w:rPr>
                      <w:szCs w:val="21"/>
                    </w:rPr>
                  </w:pPr>
                </w:p>
              </w:tc>
              <w:tc>
                <w:tcPr>
                  <w:tcW w:w="1803" w:type="dxa"/>
                  <w:vAlign w:val="center"/>
                </w:tcPr>
                <w:p w14:paraId="36E54BE0">
                  <w:pPr>
                    <w:adjustRightInd w:val="0"/>
                    <w:snapToGrid w:val="0"/>
                    <w:jc w:val="center"/>
                    <w:rPr>
                      <w:szCs w:val="21"/>
                    </w:rPr>
                  </w:pPr>
                  <w:r>
                    <w:rPr>
                      <w:spacing w:val="-2"/>
                      <w:szCs w:val="21"/>
                    </w:rPr>
                    <w:t>抑尘效果（%）</w:t>
                  </w:r>
                </w:p>
              </w:tc>
              <w:tc>
                <w:tcPr>
                  <w:tcW w:w="1061" w:type="dxa"/>
                  <w:vAlign w:val="center"/>
                </w:tcPr>
                <w:p w14:paraId="43E065C8">
                  <w:pPr>
                    <w:adjustRightInd w:val="0"/>
                    <w:snapToGrid w:val="0"/>
                    <w:jc w:val="center"/>
                    <w:rPr>
                      <w:szCs w:val="21"/>
                    </w:rPr>
                  </w:pPr>
                  <w:r>
                    <w:rPr>
                      <w:spacing w:val="-3"/>
                      <w:szCs w:val="21"/>
                    </w:rPr>
                    <w:t>80.2</w:t>
                  </w:r>
                </w:p>
              </w:tc>
              <w:tc>
                <w:tcPr>
                  <w:tcW w:w="1302" w:type="dxa"/>
                  <w:vAlign w:val="center"/>
                </w:tcPr>
                <w:p w14:paraId="58334995">
                  <w:pPr>
                    <w:adjustRightInd w:val="0"/>
                    <w:snapToGrid w:val="0"/>
                    <w:jc w:val="center"/>
                    <w:rPr>
                      <w:szCs w:val="21"/>
                    </w:rPr>
                  </w:pPr>
                  <w:r>
                    <w:rPr>
                      <w:spacing w:val="-3"/>
                      <w:szCs w:val="21"/>
                    </w:rPr>
                    <w:t>50.2</w:t>
                  </w:r>
                </w:p>
              </w:tc>
              <w:tc>
                <w:tcPr>
                  <w:tcW w:w="1302" w:type="dxa"/>
                  <w:vAlign w:val="center"/>
                </w:tcPr>
                <w:p w14:paraId="74C51B33">
                  <w:pPr>
                    <w:adjustRightInd w:val="0"/>
                    <w:snapToGrid w:val="0"/>
                    <w:jc w:val="center"/>
                    <w:rPr>
                      <w:szCs w:val="21"/>
                    </w:rPr>
                  </w:pPr>
                  <w:r>
                    <w:rPr>
                      <w:spacing w:val="1"/>
                      <w:szCs w:val="21"/>
                    </w:rPr>
                    <w:t>40.9</w:t>
                  </w:r>
                </w:p>
              </w:tc>
              <w:tc>
                <w:tcPr>
                  <w:tcW w:w="1425" w:type="dxa"/>
                  <w:vAlign w:val="center"/>
                </w:tcPr>
                <w:p w14:paraId="689B3A6B">
                  <w:pPr>
                    <w:adjustRightInd w:val="0"/>
                    <w:snapToGrid w:val="0"/>
                    <w:jc w:val="center"/>
                    <w:rPr>
                      <w:szCs w:val="21"/>
                    </w:rPr>
                  </w:pPr>
                  <w:r>
                    <w:rPr>
                      <w:spacing w:val="-2"/>
                      <w:szCs w:val="21"/>
                    </w:rPr>
                    <w:t>30.2</w:t>
                  </w:r>
                </w:p>
              </w:tc>
            </w:tr>
          </w:tbl>
          <w:p w14:paraId="0C056DE6">
            <w:pPr>
              <w:adjustRightInd w:val="0"/>
              <w:snapToGrid w:val="0"/>
              <w:spacing w:line="480" w:lineRule="exact"/>
              <w:ind w:firstLine="474" w:firstLineChars="200"/>
              <w:rPr>
                <w:b/>
                <w:bCs/>
                <w:spacing w:val="-2"/>
                <w:sz w:val="24"/>
              </w:rPr>
            </w:pPr>
            <w:r>
              <w:rPr>
                <w:b/>
                <w:bCs/>
                <w:spacing w:val="-2"/>
                <w:sz w:val="24"/>
              </w:rPr>
              <w:t>（3）堆场扬尘</w:t>
            </w:r>
          </w:p>
          <w:p w14:paraId="2B39ACAF">
            <w:pPr>
              <w:adjustRightInd w:val="0"/>
              <w:snapToGrid w:val="0"/>
              <w:spacing w:line="480" w:lineRule="exact"/>
              <w:ind w:firstLine="472" w:firstLineChars="200"/>
              <w:rPr>
                <w:sz w:val="24"/>
              </w:rPr>
            </w:pPr>
            <w:r>
              <w:rPr>
                <w:spacing w:val="-2"/>
                <w:sz w:val="24"/>
              </w:rPr>
              <w:t>施工阶段扬尘的另一个主要来源是露天堆场和裸露场地的风力扬尘。部分施工材料需要露天堆放，施工作业点的表层土壤在经过人工开挖后临时堆放。在气候干燥且有风的情</w:t>
            </w:r>
            <w:r>
              <w:rPr>
                <w:spacing w:val="-1"/>
                <w:sz w:val="24"/>
              </w:rPr>
              <w:t>况下，会产生大量的扬尘，扬尘量可按堆场扬尘的经验公式计算：</w:t>
            </w:r>
          </w:p>
          <w:p w14:paraId="38CE9685">
            <w:pPr>
              <w:adjustRightInd w:val="0"/>
              <w:snapToGrid w:val="0"/>
              <w:spacing w:line="360" w:lineRule="auto"/>
              <w:ind w:firstLine="480" w:firstLineChars="200"/>
              <w:jc w:val="center"/>
              <w:rPr>
                <w:sz w:val="24"/>
              </w:rPr>
            </w:pPr>
            <w:r>
              <w:rPr>
                <w:sz w:val="24"/>
              </w:rPr>
              <w:drawing>
                <wp:inline distT="0" distB="0" distL="114300" distR="114300">
                  <wp:extent cx="1965325" cy="359410"/>
                  <wp:effectExtent l="0" t="0" r="15875" b="2540"/>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46" cstate="print"/>
                          <a:stretch>
                            <a:fillRect/>
                          </a:stretch>
                        </pic:blipFill>
                        <pic:spPr>
                          <a:xfrm>
                            <a:off x="0" y="0"/>
                            <a:ext cx="1965325" cy="359410"/>
                          </a:xfrm>
                          <a:prstGeom prst="rect">
                            <a:avLst/>
                          </a:prstGeom>
                          <a:noFill/>
                          <a:ln>
                            <a:noFill/>
                          </a:ln>
                        </pic:spPr>
                      </pic:pic>
                    </a:graphicData>
                  </a:graphic>
                </wp:inline>
              </w:drawing>
            </w:r>
          </w:p>
          <w:p w14:paraId="56EA9380">
            <w:pPr>
              <w:adjustRightInd w:val="0"/>
              <w:snapToGrid w:val="0"/>
              <w:spacing w:line="360" w:lineRule="auto"/>
              <w:ind w:firstLine="436" w:firstLineChars="200"/>
              <w:rPr>
                <w:sz w:val="24"/>
              </w:rPr>
            </w:pPr>
            <w:r>
              <w:rPr>
                <w:spacing w:val="-6"/>
                <w:w w:val="96"/>
                <w:position w:val="11"/>
                <w:sz w:val="24"/>
              </w:rPr>
              <w:t>式中：Q—起尘量，kg/吨·年；</w:t>
            </w:r>
          </w:p>
          <w:p w14:paraId="53B9CDA7">
            <w:pPr>
              <w:adjustRightInd w:val="0"/>
              <w:snapToGrid w:val="0"/>
              <w:spacing w:line="360" w:lineRule="auto"/>
              <w:ind w:firstLine="472" w:firstLineChars="200"/>
              <w:rPr>
                <w:sz w:val="24"/>
              </w:rPr>
            </w:pPr>
            <w:r>
              <w:rPr>
                <w:spacing w:val="-2"/>
                <w:sz w:val="24"/>
              </w:rPr>
              <w:t>v50—距地面50m处风速，m/s；</w:t>
            </w:r>
          </w:p>
          <w:p w14:paraId="6903EEA8">
            <w:pPr>
              <w:adjustRightInd w:val="0"/>
              <w:snapToGrid w:val="0"/>
              <w:spacing w:line="360" w:lineRule="auto"/>
              <w:ind w:firstLine="476" w:firstLineChars="200"/>
              <w:rPr>
                <w:sz w:val="24"/>
              </w:rPr>
            </w:pPr>
            <w:r>
              <w:rPr>
                <w:spacing w:val="-1"/>
                <w:sz w:val="24"/>
              </w:rPr>
              <w:t>v0—起尘风速，m/s；</w:t>
            </w:r>
          </w:p>
          <w:p w14:paraId="067BC9EB">
            <w:pPr>
              <w:adjustRightInd w:val="0"/>
              <w:snapToGrid w:val="0"/>
              <w:spacing w:line="360" w:lineRule="auto"/>
              <w:ind w:firstLine="476" w:firstLineChars="200"/>
              <w:rPr>
                <w:sz w:val="24"/>
              </w:rPr>
            </w:pPr>
            <w:r>
              <w:rPr>
                <w:spacing w:val="-1"/>
                <w:sz w:val="24"/>
              </w:rPr>
              <w:t>w—尘粒的含水量，%。</w:t>
            </w:r>
          </w:p>
          <w:p w14:paraId="14A25857">
            <w:pPr>
              <w:adjustRightInd w:val="0"/>
              <w:snapToGrid w:val="0"/>
              <w:spacing w:line="480" w:lineRule="exact"/>
              <w:ind w:firstLine="472" w:firstLineChars="200"/>
              <w:rPr>
                <w:sz w:val="24"/>
              </w:rPr>
            </w:pPr>
            <w:r>
              <w:rPr>
                <w:spacing w:val="-2"/>
                <w:sz w:val="24"/>
              </w:rPr>
              <w:t>根据以上公式，起尘风速与粒径和含水量有关。因此，减少露天堆放和保证一定的含水量及减少裸露地面是减少风力起尘的有效手段。粉尘在空气中的扩散稀释与风速等气象</w:t>
            </w:r>
            <w:r>
              <w:rPr>
                <w:spacing w:val="-1"/>
                <w:sz w:val="24"/>
              </w:rPr>
              <w:t>条件有关，也与粉尘本身的沉降速度有关。</w:t>
            </w:r>
          </w:p>
          <w:p w14:paraId="5AC8B6E5">
            <w:pPr>
              <w:pStyle w:val="3"/>
              <w:adjustRightInd w:val="0"/>
              <w:snapToGrid w:val="0"/>
              <w:spacing w:beforeLines="0" w:line="480" w:lineRule="exact"/>
              <w:ind w:firstLine="472" w:firstLineChars="200"/>
              <w:rPr>
                <w:rFonts w:ascii="Times New Roman" w:hAnsi="Times New Roman" w:eastAsia="宋体"/>
                <w:sz w:val="24"/>
              </w:rPr>
            </w:pPr>
            <w:r>
              <w:rPr>
                <w:rFonts w:ascii="Times New Roman" w:hAnsi="Times New Roman" w:eastAsia="宋体"/>
                <w:spacing w:val="-2"/>
                <w:sz w:val="24"/>
              </w:rPr>
              <w:t>粉尘的沉降速度随粒径的增大而迅速增大。当粒径为250μm时，沉降速度为1.005m/s，因此可以认为当尘粒大于250μm时，主要影响范围在扬尘点下风向近距离范围内，而真正对外环境产生影响的是一些微小粒径</w:t>
            </w:r>
            <w:r>
              <w:rPr>
                <w:rFonts w:ascii="Times New Roman" w:hAnsi="Times New Roman" w:eastAsia="宋体"/>
                <w:spacing w:val="-1"/>
                <w:sz w:val="24"/>
              </w:rPr>
              <w:t>的粉尘。可以看出，工程临时堆场产生的扬尘必将对其周边环境空气质量造成一定影响。</w:t>
            </w:r>
            <w:r>
              <w:rPr>
                <w:rFonts w:ascii="Times New Roman" w:hAnsi="Times New Roman" w:eastAsia="宋体"/>
                <w:spacing w:val="-2"/>
                <w:sz w:val="24"/>
              </w:rPr>
              <w:t>为避免堆场扬尘对周边环境造成较大影响，堆场四周应设置围挡，定时洒水防尘，应用盖</w:t>
            </w:r>
            <w:r>
              <w:rPr>
                <w:rFonts w:ascii="Times New Roman" w:hAnsi="Times New Roman" w:eastAsia="宋体"/>
                <w:spacing w:val="-1"/>
                <w:sz w:val="24"/>
              </w:rPr>
              <w:t>蓬进行遮盖，减少材料裸露时间。</w:t>
            </w:r>
          </w:p>
          <w:p w14:paraId="7A8A5CE8">
            <w:pPr>
              <w:pStyle w:val="75"/>
              <w:adjustRightInd w:val="0"/>
              <w:snapToGrid w:val="0"/>
              <w:spacing w:line="480" w:lineRule="exact"/>
              <w:ind w:firstLine="482" w:firstLineChars="200"/>
              <w:rPr>
                <w:b/>
                <w:bCs/>
                <w:sz w:val="24"/>
                <w:szCs w:val="24"/>
              </w:rPr>
            </w:pPr>
            <w:r>
              <w:rPr>
                <w:b/>
                <w:bCs/>
                <w:sz w:val="24"/>
                <w:szCs w:val="24"/>
              </w:rPr>
              <w:t>2.2、机械尾气影响分析</w:t>
            </w:r>
          </w:p>
          <w:p w14:paraId="78D6F58C">
            <w:pPr>
              <w:widowControl/>
              <w:adjustRightInd w:val="0"/>
              <w:snapToGrid w:val="0"/>
              <w:spacing w:line="480" w:lineRule="exact"/>
              <w:ind w:firstLine="480" w:firstLineChars="200"/>
              <w:rPr>
                <w:sz w:val="24"/>
              </w:rPr>
            </w:pPr>
            <w:r>
              <w:rPr>
                <w:sz w:val="24"/>
              </w:rPr>
              <w:t>施工废气主要来自于运输车辆和以燃油为动力的施工机械，主要成份是SO</w:t>
            </w:r>
            <w:r>
              <w:rPr>
                <w:sz w:val="24"/>
                <w:vertAlign w:val="subscript"/>
              </w:rPr>
              <w:t>2</w:t>
            </w:r>
            <w:r>
              <w:rPr>
                <w:sz w:val="24"/>
              </w:rPr>
              <w:t>、CO 和NO</w:t>
            </w:r>
            <w:r>
              <w:rPr>
                <w:sz w:val="24"/>
                <w:vertAlign w:val="subscript"/>
              </w:rPr>
              <w:t>x</w:t>
            </w:r>
            <w:r>
              <w:rPr>
                <w:sz w:val="24"/>
              </w:rPr>
              <w:t>。本工程施工场地较为开阔，且废气为间歇性排放，因此施工过程中各种施工机械和运输车辆产生的燃油废气不会引起局部大气环境质量的变化，不会对区域大气环境产生明显不利影响。</w:t>
            </w:r>
          </w:p>
          <w:p w14:paraId="03BE1362">
            <w:pPr>
              <w:widowControl/>
              <w:adjustRightInd w:val="0"/>
              <w:snapToGrid w:val="0"/>
              <w:spacing w:line="480" w:lineRule="exact"/>
              <w:ind w:firstLine="480" w:firstLineChars="200"/>
              <w:rPr>
                <w:sz w:val="24"/>
              </w:rPr>
            </w:pPr>
            <w:r>
              <w:rPr>
                <w:sz w:val="24"/>
              </w:rPr>
              <w:t>施工单位应该确保施工车辆尾气排放达标，同时加强各种施工机械的维修与保养，保持其在正常、良好的状态下工作，以降低燃油废气中污染物的排放量。</w:t>
            </w:r>
          </w:p>
          <w:p w14:paraId="5D1A9646">
            <w:pPr>
              <w:pStyle w:val="75"/>
              <w:adjustRightInd w:val="0"/>
              <w:snapToGrid w:val="0"/>
              <w:spacing w:line="480" w:lineRule="exact"/>
              <w:ind w:firstLine="482" w:firstLineChars="200"/>
              <w:rPr>
                <w:b/>
                <w:bCs/>
                <w:sz w:val="24"/>
                <w:szCs w:val="24"/>
              </w:rPr>
            </w:pPr>
            <w:r>
              <w:rPr>
                <w:b/>
                <w:bCs/>
                <w:sz w:val="24"/>
                <w:szCs w:val="24"/>
              </w:rPr>
              <w:t>2.3、焊接烟尘</w:t>
            </w:r>
          </w:p>
          <w:p w14:paraId="3791476D">
            <w:pPr>
              <w:widowControl/>
              <w:adjustRightInd w:val="0"/>
              <w:snapToGrid w:val="0"/>
              <w:spacing w:line="480" w:lineRule="exact"/>
              <w:ind w:firstLine="480" w:firstLineChars="200"/>
              <w:rPr>
                <w:sz w:val="24"/>
              </w:rPr>
            </w:pPr>
            <w:r>
              <w:rPr>
                <w:sz w:val="24"/>
              </w:rPr>
              <w:t>本项目施工营地结构件焊接时会产生焊接烟尘，属于间断的无组织排放，采用移动式焊接烟尘净化器处理，烟尘排放量较小。施工营地周围空阔，通风条件较好，故焊接产生的烟尘对周围空气环境影响较小。当施工结束后，该影响随之消失。</w:t>
            </w:r>
          </w:p>
          <w:p w14:paraId="717B54BA">
            <w:pPr>
              <w:widowControl/>
              <w:adjustRightInd w:val="0"/>
              <w:snapToGrid w:val="0"/>
              <w:spacing w:line="480" w:lineRule="exact"/>
              <w:ind w:firstLine="480" w:firstLineChars="200"/>
              <w:rPr>
                <w:sz w:val="24"/>
              </w:rPr>
            </w:pPr>
            <w:r>
              <w:rPr>
                <w:sz w:val="24"/>
              </w:rPr>
              <w:t>综上所述，本项目施工期废气对周围环境产生影响较小。</w:t>
            </w:r>
          </w:p>
          <w:p w14:paraId="6420F343">
            <w:pPr>
              <w:pStyle w:val="75"/>
              <w:adjustRightInd w:val="0"/>
              <w:snapToGrid w:val="0"/>
              <w:spacing w:line="480" w:lineRule="exact"/>
              <w:ind w:firstLine="0"/>
              <w:rPr>
                <w:b/>
                <w:bCs/>
                <w:sz w:val="24"/>
                <w:szCs w:val="24"/>
              </w:rPr>
            </w:pPr>
            <w:r>
              <w:rPr>
                <w:b/>
                <w:bCs/>
                <w:sz w:val="24"/>
                <w:szCs w:val="24"/>
              </w:rPr>
              <w:t>3、施工噪声影响分析</w:t>
            </w:r>
          </w:p>
          <w:p w14:paraId="0604B76B">
            <w:pPr>
              <w:widowControl/>
              <w:adjustRightInd w:val="0"/>
              <w:snapToGrid w:val="0"/>
              <w:spacing w:line="480" w:lineRule="exact"/>
              <w:ind w:firstLine="480" w:firstLineChars="200"/>
              <w:rPr>
                <w:sz w:val="24"/>
              </w:rPr>
            </w:pPr>
            <w:r>
              <w:rPr>
                <w:sz w:val="24"/>
              </w:rPr>
              <w:t>施工期噪声主要来自施工机械噪声、施工作业噪声和运输车辆噪声。施工期主要噪声源为推土机、装载机、挖掘机等施工机械，其源强约为85-90dB(A)。</w:t>
            </w:r>
          </w:p>
          <w:p w14:paraId="59906C4F">
            <w:pPr>
              <w:widowControl/>
              <w:adjustRightInd w:val="0"/>
              <w:snapToGrid w:val="0"/>
              <w:spacing w:line="480" w:lineRule="exact"/>
              <w:ind w:firstLine="480" w:firstLineChars="200"/>
              <w:rPr>
                <w:sz w:val="24"/>
              </w:rPr>
            </w:pPr>
            <w:r>
              <w:rPr>
                <w:sz w:val="24"/>
              </w:rPr>
              <w:t>本项目施工阶段使用的机械设备作业时需要一定的作业空间，施工机械操作运转时有一定的工作间距，且各种机械设备应用在不同的施工阶段，很少同时使用，因此噪声源为点声源，其噪声影响随距离增加而逐渐衰减。根据《环境影响评价技术导则声环境》（HJ2.4-2021），采用导则推荐模式进行预测，公式如下：</w:t>
            </w:r>
          </w:p>
          <w:p w14:paraId="0459835A">
            <w:pPr>
              <w:widowControl/>
              <w:adjustRightInd w:val="0"/>
              <w:snapToGrid w:val="0"/>
              <w:spacing w:line="480" w:lineRule="exact"/>
              <w:ind w:firstLine="480" w:firstLineChars="200"/>
              <w:jc w:val="center"/>
              <w:rPr>
                <w:sz w:val="24"/>
              </w:rPr>
            </w:pPr>
            <w:r>
              <w:rPr>
                <w:sz w:val="24"/>
              </w:rPr>
              <w:t>L</w:t>
            </w:r>
            <w:r>
              <w:rPr>
                <w:sz w:val="24"/>
                <w:vertAlign w:val="subscript"/>
              </w:rPr>
              <w:t>A</w:t>
            </w:r>
            <w:r>
              <w:rPr>
                <w:sz w:val="24"/>
              </w:rPr>
              <w:t>(r)=L</w:t>
            </w:r>
            <w:r>
              <w:rPr>
                <w:sz w:val="24"/>
                <w:vertAlign w:val="subscript"/>
              </w:rPr>
              <w:t>Aw</w:t>
            </w:r>
            <w:r>
              <w:rPr>
                <w:sz w:val="24"/>
              </w:rPr>
              <w:t>-20Lg(r)-8</w:t>
            </w:r>
          </w:p>
          <w:p w14:paraId="43451D97">
            <w:pPr>
              <w:widowControl/>
              <w:adjustRightInd w:val="0"/>
              <w:snapToGrid w:val="0"/>
              <w:spacing w:line="480" w:lineRule="exact"/>
              <w:ind w:firstLine="480" w:firstLineChars="200"/>
              <w:rPr>
                <w:sz w:val="24"/>
              </w:rPr>
            </w:pPr>
            <w:r>
              <w:rPr>
                <w:sz w:val="24"/>
              </w:rPr>
              <w:t>式中：L</w:t>
            </w:r>
            <w:r>
              <w:rPr>
                <w:sz w:val="24"/>
                <w:vertAlign w:val="subscript"/>
              </w:rPr>
              <w:t>A</w:t>
            </w:r>
            <w:r>
              <w:rPr>
                <w:sz w:val="24"/>
              </w:rPr>
              <w:t>(r)—距离声源r处的A声级，dB（A）；</w:t>
            </w:r>
          </w:p>
          <w:p w14:paraId="164716FB">
            <w:pPr>
              <w:widowControl/>
              <w:adjustRightInd w:val="0"/>
              <w:snapToGrid w:val="0"/>
              <w:spacing w:line="480" w:lineRule="exact"/>
              <w:ind w:firstLine="480" w:firstLineChars="200"/>
              <w:rPr>
                <w:sz w:val="24"/>
              </w:rPr>
            </w:pPr>
            <w:r>
              <w:rPr>
                <w:sz w:val="24"/>
              </w:rPr>
              <w:t>L</w:t>
            </w:r>
            <w:r>
              <w:rPr>
                <w:sz w:val="24"/>
                <w:vertAlign w:val="subscript"/>
              </w:rPr>
              <w:t>Aw</w:t>
            </w:r>
            <w:r>
              <w:rPr>
                <w:sz w:val="24"/>
              </w:rPr>
              <w:t>—点声源A计权声功率级，dB（A）；</w:t>
            </w:r>
          </w:p>
          <w:p w14:paraId="392CDD28">
            <w:pPr>
              <w:widowControl/>
              <w:adjustRightInd w:val="0"/>
              <w:snapToGrid w:val="0"/>
              <w:spacing w:line="480" w:lineRule="exact"/>
              <w:ind w:firstLine="480" w:firstLineChars="200"/>
              <w:rPr>
                <w:sz w:val="24"/>
              </w:rPr>
            </w:pPr>
            <w:r>
              <w:rPr>
                <w:sz w:val="24"/>
              </w:rPr>
              <w:t>r—预测点距声源的距离。</w:t>
            </w:r>
          </w:p>
          <w:p w14:paraId="1BE2AB35">
            <w:pPr>
              <w:widowControl/>
              <w:adjustRightInd w:val="0"/>
              <w:snapToGrid w:val="0"/>
              <w:spacing w:line="480" w:lineRule="exact"/>
              <w:ind w:firstLine="480" w:firstLineChars="200"/>
              <w:rPr>
                <w:sz w:val="24"/>
              </w:rPr>
            </w:pPr>
            <w:r>
              <w:rPr>
                <w:sz w:val="24"/>
              </w:rPr>
              <w:t>根据上述预测模式进行计算，各类典型施工机械在不同距离处的噪声预测结果见下表。</w:t>
            </w:r>
          </w:p>
          <w:p w14:paraId="53C5BE04">
            <w:pPr>
              <w:widowControl/>
              <w:adjustRightInd w:val="0"/>
              <w:snapToGrid w:val="0"/>
              <w:spacing w:line="480" w:lineRule="exact"/>
              <w:ind w:firstLine="422" w:firstLineChars="200"/>
              <w:jc w:val="center"/>
              <w:rPr>
                <w:b/>
                <w:szCs w:val="21"/>
              </w:rPr>
            </w:pPr>
            <w:r>
              <w:rPr>
                <w:b/>
                <w:szCs w:val="21"/>
              </w:rPr>
              <w:t>表4-3    不同施工区域场界噪声预测结果</w:t>
            </w:r>
            <w:r>
              <w:rPr>
                <w:b/>
                <w:szCs w:val="21"/>
              </w:rPr>
              <w:tab/>
            </w:r>
            <w:r>
              <w:rPr>
                <w:b/>
                <w:szCs w:val="21"/>
              </w:rPr>
              <w:t>单位：dB（A）</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4"/>
              <w:gridCol w:w="423"/>
              <w:gridCol w:w="703"/>
              <w:gridCol w:w="564"/>
              <w:gridCol w:w="561"/>
              <w:gridCol w:w="703"/>
              <w:gridCol w:w="703"/>
              <w:gridCol w:w="703"/>
              <w:gridCol w:w="561"/>
              <w:gridCol w:w="722"/>
              <w:gridCol w:w="551"/>
              <w:gridCol w:w="604"/>
            </w:tblGrid>
            <w:tr w14:paraId="06EA0E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vMerge w:val="restart"/>
                  <w:tcBorders>
                    <w:tl2br w:val="nil"/>
                    <w:tr2bl w:val="nil"/>
                  </w:tcBorders>
                  <w:vAlign w:val="center"/>
                </w:tcPr>
                <w:p w14:paraId="039E2070">
                  <w:pPr>
                    <w:pStyle w:val="73"/>
                    <w:kinsoku w:val="0"/>
                    <w:overflowPunct w:val="0"/>
                    <w:jc w:val="center"/>
                    <w:rPr>
                      <w:rFonts w:ascii="Times New Roman" w:hAnsi="Times New Roman" w:cs="Times New Roman"/>
                      <w:szCs w:val="21"/>
                    </w:rPr>
                  </w:pPr>
                  <w:r>
                    <w:rPr>
                      <w:rFonts w:ascii="Times New Roman" w:hAnsi="Times New Roman" w:cs="Times New Roman"/>
                      <w:szCs w:val="21"/>
                    </w:rPr>
                    <w:t>声级</w:t>
                  </w:r>
                </w:p>
                <w:p w14:paraId="60D69241">
                  <w:pPr>
                    <w:pStyle w:val="73"/>
                    <w:kinsoku w:val="0"/>
                    <w:overflowPunct w:val="0"/>
                    <w:rPr>
                      <w:rFonts w:ascii="Times New Roman" w:hAnsi="Times New Roman" w:cs="Times New Roman"/>
                      <w:szCs w:val="21"/>
                    </w:rPr>
                  </w:pPr>
                </w:p>
                <w:p w14:paraId="33C408EB">
                  <w:pPr>
                    <w:pStyle w:val="73"/>
                    <w:kinsoku w:val="0"/>
                    <w:overflowPunct w:val="0"/>
                    <w:jc w:val="center"/>
                    <w:rPr>
                      <w:rFonts w:ascii="Times New Roman" w:hAnsi="Times New Roman" w:cs="Times New Roman"/>
                      <w:szCs w:val="21"/>
                    </w:rPr>
                  </w:pPr>
                  <w:r>
                    <w:rPr>
                      <w:rFonts w:ascii="Times New Roman" w:hAnsi="Times New Roman" w:cs="Times New Roman"/>
                      <w:szCs w:val="21"/>
                    </w:rPr>
                    <w:t>施工机械</w:t>
                  </w:r>
                </w:p>
              </w:tc>
              <w:tc>
                <w:tcPr>
                  <w:tcW w:w="273" w:type="pct"/>
                  <w:vMerge w:val="restart"/>
                  <w:tcBorders>
                    <w:tl2br w:val="nil"/>
                    <w:tr2bl w:val="nil"/>
                  </w:tcBorders>
                  <w:vAlign w:val="center"/>
                </w:tcPr>
                <w:p w14:paraId="78FA4AAD">
                  <w:pPr>
                    <w:pStyle w:val="73"/>
                    <w:kinsoku w:val="0"/>
                    <w:overflowPunct w:val="0"/>
                    <w:jc w:val="center"/>
                    <w:rPr>
                      <w:rFonts w:ascii="Times New Roman" w:hAnsi="Times New Roman" w:cs="Times New Roman"/>
                      <w:szCs w:val="21"/>
                    </w:rPr>
                  </w:pPr>
                  <w:r>
                    <w:rPr>
                      <w:rFonts w:ascii="Times New Roman" w:hAnsi="Times New Roman" w:cs="Times New Roman"/>
                      <w:szCs w:val="21"/>
                    </w:rPr>
                    <w:t>源强</w:t>
                  </w:r>
                </w:p>
              </w:tc>
              <w:tc>
                <w:tcPr>
                  <w:tcW w:w="3370" w:type="pct"/>
                  <w:gridSpan w:val="8"/>
                  <w:tcBorders>
                    <w:tl2br w:val="nil"/>
                    <w:tr2bl w:val="nil"/>
                  </w:tcBorders>
                  <w:vAlign w:val="center"/>
                </w:tcPr>
                <w:p w14:paraId="24242F57">
                  <w:pPr>
                    <w:pStyle w:val="73"/>
                    <w:kinsoku w:val="0"/>
                    <w:overflowPunct w:val="0"/>
                    <w:jc w:val="center"/>
                    <w:rPr>
                      <w:rFonts w:ascii="Times New Roman" w:hAnsi="Times New Roman" w:cs="Times New Roman"/>
                      <w:szCs w:val="21"/>
                    </w:rPr>
                  </w:pPr>
                  <w:r>
                    <w:rPr>
                      <w:rFonts w:ascii="Times New Roman" w:hAnsi="Times New Roman" w:cs="Times New Roman"/>
                      <w:szCs w:val="21"/>
                    </w:rPr>
                    <w:t>不同距离噪声预测结果</w:t>
                  </w:r>
                </w:p>
              </w:tc>
              <w:tc>
                <w:tcPr>
                  <w:tcW w:w="746" w:type="pct"/>
                  <w:gridSpan w:val="2"/>
                  <w:tcBorders>
                    <w:tl2br w:val="nil"/>
                    <w:tr2bl w:val="nil"/>
                  </w:tcBorders>
                  <w:vAlign w:val="center"/>
                </w:tcPr>
                <w:p w14:paraId="0C47D29F">
                  <w:pPr>
                    <w:pStyle w:val="73"/>
                    <w:kinsoku w:val="0"/>
                    <w:overflowPunct w:val="0"/>
                    <w:jc w:val="center"/>
                    <w:rPr>
                      <w:rFonts w:ascii="Times New Roman" w:hAnsi="Times New Roman" w:cs="Times New Roman"/>
                      <w:szCs w:val="21"/>
                    </w:rPr>
                  </w:pPr>
                  <w:r>
                    <w:rPr>
                      <w:rFonts w:ascii="Times New Roman" w:hAnsi="Times New Roman" w:cs="Times New Roman"/>
                      <w:szCs w:val="21"/>
                    </w:rPr>
                    <w:t>施工场界限值</w:t>
                  </w:r>
                </w:p>
              </w:tc>
            </w:tr>
            <w:tr w14:paraId="65892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vMerge w:val="continue"/>
                  <w:tcBorders>
                    <w:tl2br w:val="nil"/>
                    <w:tr2bl w:val="nil"/>
                  </w:tcBorders>
                  <w:vAlign w:val="center"/>
                </w:tcPr>
                <w:p w14:paraId="42311E65">
                  <w:pPr>
                    <w:pStyle w:val="11"/>
                    <w:tabs>
                      <w:tab w:val="left" w:pos="3371"/>
                      <w:tab w:val="left" w:pos="7036"/>
                    </w:tabs>
                    <w:kinsoku w:val="0"/>
                    <w:overflowPunct w:val="0"/>
                    <w:spacing w:before="0" w:after="0" w:line="240" w:lineRule="auto"/>
                    <w:ind w:right="0"/>
                    <w:jc w:val="center"/>
                    <w:rPr>
                      <w:b/>
                      <w:bCs/>
                      <w:sz w:val="2"/>
                      <w:szCs w:val="2"/>
                    </w:rPr>
                  </w:pPr>
                </w:p>
              </w:tc>
              <w:tc>
                <w:tcPr>
                  <w:tcW w:w="273" w:type="pct"/>
                  <w:vMerge w:val="continue"/>
                  <w:tcBorders>
                    <w:tl2br w:val="nil"/>
                    <w:tr2bl w:val="nil"/>
                  </w:tcBorders>
                  <w:vAlign w:val="center"/>
                </w:tcPr>
                <w:p w14:paraId="220C6B03">
                  <w:pPr>
                    <w:pStyle w:val="11"/>
                    <w:tabs>
                      <w:tab w:val="left" w:pos="3371"/>
                      <w:tab w:val="left" w:pos="7036"/>
                    </w:tabs>
                    <w:kinsoku w:val="0"/>
                    <w:overflowPunct w:val="0"/>
                    <w:spacing w:before="0" w:after="0" w:line="240" w:lineRule="auto"/>
                    <w:ind w:right="0"/>
                    <w:jc w:val="center"/>
                    <w:rPr>
                      <w:b/>
                      <w:bCs/>
                      <w:sz w:val="2"/>
                      <w:szCs w:val="2"/>
                    </w:rPr>
                  </w:pPr>
                </w:p>
              </w:tc>
              <w:tc>
                <w:tcPr>
                  <w:tcW w:w="454" w:type="pct"/>
                  <w:tcBorders>
                    <w:tl2br w:val="nil"/>
                    <w:tr2bl w:val="nil"/>
                  </w:tcBorders>
                  <w:vAlign w:val="center"/>
                </w:tcPr>
                <w:p w14:paraId="384A1869">
                  <w:pPr>
                    <w:pStyle w:val="73"/>
                    <w:kinsoku w:val="0"/>
                    <w:overflowPunct w:val="0"/>
                    <w:jc w:val="center"/>
                    <w:rPr>
                      <w:rFonts w:ascii="Times New Roman" w:hAnsi="Times New Roman" w:cs="Times New Roman"/>
                      <w:szCs w:val="21"/>
                    </w:rPr>
                  </w:pPr>
                  <w:r>
                    <w:rPr>
                      <w:rFonts w:ascii="Times New Roman" w:hAnsi="Times New Roman" w:cs="Times New Roman"/>
                      <w:szCs w:val="21"/>
                    </w:rPr>
                    <w:t>10m</w:t>
                  </w:r>
                </w:p>
              </w:tc>
              <w:tc>
                <w:tcPr>
                  <w:tcW w:w="364" w:type="pct"/>
                  <w:tcBorders>
                    <w:tl2br w:val="nil"/>
                    <w:tr2bl w:val="nil"/>
                  </w:tcBorders>
                  <w:vAlign w:val="center"/>
                </w:tcPr>
                <w:p w14:paraId="5BE5433E">
                  <w:pPr>
                    <w:pStyle w:val="73"/>
                    <w:kinsoku w:val="0"/>
                    <w:overflowPunct w:val="0"/>
                    <w:jc w:val="center"/>
                    <w:rPr>
                      <w:rFonts w:ascii="Times New Roman" w:hAnsi="Times New Roman" w:cs="Times New Roman"/>
                      <w:szCs w:val="21"/>
                    </w:rPr>
                  </w:pPr>
                  <w:r>
                    <w:rPr>
                      <w:rFonts w:ascii="Times New Roman" w:hAnsi="Times New Roman" w:cs="Times New Roman"/>
                      <w:szCs w:val="21"/>
                    </w:rPr>
                    <w:t>20m</w:t>
                  </w:r>
                </w:p>
              </w:tc>
              <w:tc>
                <w:tcPr>
                  <w:tcW w:w="362" w:type="pct"/>
                  <w:tcBorders>
                    <w:tl2br w:val="nil"/>
                    <w:tr2bl w:val="nil"/>
                  </w:tcBorders>
                  <w:vAlign w:val="center"/>
                </w:tcPr>
                <w:p w14:paraId="641BE39E">
                  <w:pPr>
                    <w:pStyle w:val="73"/>
                    <w:kinsoku w:val="0"/>
                    <w:overflowPunct w:val="0"/>
                    <w:jc w:val="center"/>
                    <w:rPr>
                      <w:rFonts w:ascii="Times New Roman" w:hAnsi="Times New Roman" w:cs="Times New Roman"/>
                      <w:szCs w:val="21"/>
                    </w:rPr>
                  </w:pPr>
                  <w:r>
                    <w:rPr>
                      <w:rFonts w:ascii="Times New Roman" w:hAnsi="Times New Roman" w:cs="Times New Roman"/>
                      <w:szCs w:val="21"/>
                    </w:rPr>
                    <w:t>40m</w:t>
                  </w:r>
                </w:p>
              </w:tc>
              <w:tc>
                <w:tcPr>
                  <w:tcW w:w="454" w:type="pct"/>
                  <w:tcBorders>
                    <w:tl2br w:val="nil"/>
                    <w:tr2bl w:val="nil"/>
                  </w:tcBorders>
                  <w:vAlign w:val="center"/>
                </w:tcPr>
                <w:p w14:paraId="724176CE">
                  <w:pPr>
                    <w:pStyle w:val="73"/>
                    <w:kinsoku w:val="0"/>
                    <w:overflowPunct w:val="0"/>
                    <w:jc w:val="center"/>
                    <w:rPr>
                      <w:rFonts w:ascii="Times New Roman" w:hAnsi="Times New Roman" w:cs="Times New Roman"/>
                      <w:szCs w:val="21"/>
                    </w:rPr>
                  </w:pPr>
                  <w:r>
                    <w:rPr>
                      <w:rFonts w:ascii="Times New Roman" w:hAnsi="Times New Roman" w:cs="Times New Roman"/>
                      <w:szCs w:val="21"/>
                    </w:rPr>
                    <w:t>60m</w:t>
                  </w:r>
                </w:p>
              </w:tc>
              <w:tc>
                <w:tcPr>
                  <w:tcW w:w="454" w:type="pct"/>
                  <w:tcBorders>
                    <w:tl2br w:val="nil"/>
                    <w:tr2bl w:val="nil"/>
                  </w:tcBorders>
                  <w:vAlign w:val="center"/>
                </w:tcPr>
                <w:p w14:paraId="6BA39AF4">
                  <w:pPr>
                    <w:pStyle w:val="73"/>
                    <w:kinsoku w:val="0"/>
                    <w:overflowPunct w:val="0"/>
                    <w:jc w:val="center"/>
                    <w:rPr>
                      <w:rFonts w:ascii="Times New Roman" w:hAnsi="Times New Roman" w:cs="Times New Roman"/>
                      <w:szCs w:val="21"/>
                    </w:rPr>
                  </w:pPr>
                  <w:r>
                    <w:rPr>
                      <w:rFonts w:ascii="Times New Roman" w:hAnsi="Times New Roman" w:cs="Times New Roman"/>
                      <w:szCs w:val="21"/>
                    </w:rPr>
                    <w:t>80m</w:t>
                  </w:r>
                </w:p>
              </w:tc>
              <w:tc>
                <w:tcPr>
                  <w:tcW w:w="454" w:type="pct"/>
                  <w:tcBorders>
                    <w:tl2br w:val="nil"/>
                    <w:tr2bl w:val="nil"/>
                  </w:tcBorders>
                  <w:vAlign w:val="center"/>
                </w:tcPr>
                <w:p w14:paraId="31234702">
                  <w:pPr>
                    <w:pStyle w:val="73"/>
                    <w:kinsoku w:val="0"/>
                    <w:overflowPunct w:val="0"/>
                    <w:jc w:val="center"/>
                    <w:rPr>
                      <w:rFonts w:ascii="Times New Roman" w:hAnsi="Times New Roman" w:cs="Times New Roman"/>
                      <w:szCs w:val="21"/>
                    </w:rPr>
                  </w:pPr>
                  <w:r>
                    <w:rPr>
                      <w:rFonts w:ascii="Times New Roman" w:hAnsi="Times New Roman" w:cs="Times New Roman"/>
                      <w:szCs w:val="21"/>
                    </w:rPr>
                    <w:t>100m</w:t>
                  </w:r>
                </w:p>
              </w:tc>
              <w:tc>
                <w:tcPr>
                  <w:tcW w:w="362" w:type="pct"/>
                  <w:tcBorders>
                    <w:tl2br w:val="nil"/>
                    <w:tr2bl w:val="nil"/>
                  </w:tcBorders>
                  <w:vAlign w:val="center"/>
                </w:tcPr>
                <w:p w14:paraId="7B3B604D">
                  <w:pPr>
                    <w:pStyle w:val="73"/>
                    <w:kinsoku w:val="0"/>
                    <w:overflowPunct w:val="0"/>
                    <w:jc w:val="center"/>
                    <w:rPr>
                      <w:rFonts w:ascii="Times New Roman" w:hAnsi="Times New Roman" w:cs="Times New Roman"/>
                      <w:szCs w:val="21"/>
                    </w:rPr>
                  </w:pPr>
                  <w:r>
                    <w:rPr>
                      <w:rFonts w:ascii="Times New Roman" w:hAnsi="Times New Roman" w:cs="Times New Roman"/>
                      <w:szCs w:val="21"/>
                    </w:rPr>
                    <w:t>150m</w:t>
                  </w:r>
                </w:p>
              </w:tc>
              <w:tc>
                <w:tcPr>
                  <w:tcW w:w="465" w:type="pct"/>
                  <w:tcBorders>
                    <w:tl2br w:val="nil"/>
                    <w:tr2bl w:val="nil"/>
                  </w:tcBorders>
                  <w:vAlign w:val="center"/>
                </w:tcPr>
                <w:p w14:paraId="3A59C56E">
                  <w:pPr>
                    <w:pStyle w:val="73"/>
                    <w:kinsoku w:val="0"/>
                    <w:overflowPunct w:val="0"/>
                    <w:jc w:val="center"/>
                    <w:rPr>
                      <w:rFonts w:ascii="Times New Roman" w:hAnsi="Times New Roman" w:cs="Times New Roman"/>
                      <w:szCs w:val="21"/>
                    </w:rPr>
                  </w:pPr>
                  <w:r>
                    <w:rPr>
                      <w:rFonts w:ascii="Times New Roman" w:hAnsi="Times New Roman" w:cs="Times New Roman"/>
                      <w:szCs w:val="21"/>
                    </w:rPr>
                    <w:t>200m</w:t>
                  </w:r>
                </w:p>
              </w:tc>
              <w:tc>
                <w:tcPr>
                  <w:tcW w:w="356" w:type="pct"/>
                  <w:tcBorders>
                    <w:tl2br w:val="nil"/>
                    <w:tr2bl w:val="nil"/>
                  </w:tcBorders>
                  <w:vAlign w:val="center"/>
                </w:tcPr>
                <w:p w14:paraId="13A6865D">
                  <w:pPr>
                    <w:pStyle w:val="73"/>
                    <w:kinsoku w:val="0"/>
                    <w:overflowPunct w:val="0"/>
                    <w:jc w:val="center"/>
                    <w:rPr>
                      <w:rFonts w:ascii="Times New Roman" w:hAnsi="Times New Roman" w:cs="Times New Roman"/>
                      <w:szCs w:val="21"/>
                    </w:rPr>
                  </w:pPr>
                  <w:r>
                    <w:rPr>
                      <w:rFonts w:ascii="Times New Roman" w:hAnsi="Times New Roman" w:cs="Times New Roman"/>
                      <w:szCs w:val="21"/>
                    </w:rPr>
                    <w:t>昼间</w:t>
                  </w:r>
                </w:p>
              </w:tc>
              <w:tc>
                <w:tcPr>
                  <w:tcW w:w="390" w:type="pct"/>
                  <w:tcBorders>
                    <w:tl2br w:val="nil"/>
                    <w:tr2bl w:val="nil"/>
                  </w:tcBorders>
                  <w:vAlign w:val="center"/>
                </w:tcPr>
                <w:p w14:paraId="2D70AEB0">
                  <w:pPr>
                    <w:pStyle w:val="73"/>
                    <w:kinsoku w:val="0"/>
                    <w:overflowPunct w:val="0"/>
                    <w:jc w:val="center"/>
                    <w:rPr>
                      <w:rFonts w:ascii="Times New Roman" w:hAnsi="Times New Roman" w:cs="Times New Roman"/>
                      <w:szCs w:val="21"/>
                    </w:rPr>
                  </w:pPr>
                  <w:r>
                    <w:rPr>
                      <w:rFonts w:ascii="Times New Roman" w:hAnsi="Times New Roman" w:cs="Times New Roman"/>
                      <w:szCs w:val="21"/>
                    </w:rPr>
                    <w:t>夜间</w:t>
                  </w:r>
                </w:p>
              </w:tc>
            </w:tr>
            <w:tr w14:paraId="57C8F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5C319432">
                  <w:pPr>
                    <w:pStyle w:val="73"/>
                    <w:kinsoku w:val="0"/>
                    <w:overflowPunct w:val="0"/>
                    <w:jc w:val="center"/>
                    <w:rPr>
                      <w:rFonts w:ascii="Times New Roman" w:hAnsi="Times New Roman" w:cs="Times New Roman"/>
                      <w:szCs w:val="21"/>
                    </w:rPr>
                  </w:pPr>
                  <w:r>
                    <w:rPr>
                      <w:rFonts w:ascii="Times New Roman" w:hAnsi="Times New Roman" w:cs="Times New Roman"/>
                      <w:szCs w:val="21"/>
                    </w:rPr>
                    <w:t>履带吊</w:t>
                  </w:r>
                </w:p>
              </w:tc>
              <w:tc>
                <w:tcPr>
                  <w:tcW w:w="273" w:type="pct"/>
                  <w:tcBorders>
                    <w:tl2br w:val="nil"/>
                    <w:tr2bl w:val="nil"/>
                  </w:tcBorders>
                  <w:vAlign w:val="center"/>
                </w:tcPr>
                <w:p w14:paraId="679518C0">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7D66B043">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4883526F">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7AE0F846">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75F1178F">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76401FFF">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301EED11">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6D843F67">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12F78150">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restart"/>
                  <w:tcBorders>
                    <w:tl2br w:val="nil"/>
                    <w:tr2bl w:val="nil"/>
                  </w:tcBorders>
                  <w:vAlign w:val="center"/>
                </w:tcPr>
                <w:p w14:paraId="32D71765">
                  <w:pPr>
                    <w:pStyle w:val="73"/>
                    <w:kinsoku w:val="0"/>
                    <w:overflowPunct w:val="0"/>
                    <w:jc w:val="center"/>
                    <w:rPr>
                      <w:rFonts w:ascii="Times New Roman" w:hAnsi="Times New Roman" w:cs="Times New Roman"/>
                      <w:szCs w:val="21"/>
                    </w:rPr>
                  </w:pPr>
                  <w:r>
                    <w:rPr>
                      <w:rFonts w:ascii="Times New Roman" w:hAnsi="Times New Roman" w:cs="Times New Roman"/>
                      <w:szCs w:val="21"/>
                    </w:rPr>
                    <w:t>70</w:t>
                  </w:r>
                </w:p>
              </w:tc>
              <w:tc>
                <w:tcPr>
                  <w:tcW w:w="390" w:type="pct"/>
                  <w:vMerge w:val="restart"/>
                  <w:tcBorders>
                    <w:tl2br w:val="nil"/>
                    <w:tr2bl w:val="nil"/>
                  </w:tcBorders>
                  <w:vAlign w:val="center"/>
                </w:tcPr>
                <w:p w14:paraId="026B6B14">
                  <w:pPr>
                    <w:pStyle w:val="73"/>
                    <w:kinsoku w:val="0"/>
                    <w:overflowPunct w:val="0"/>
                    <w:jc w:val="center"/>
                    <w:rPr>
                      <w:rFonts w:ascii="Times New Roman" w:hAnsi="Times New Roman" w:cs="Times New Roman"/>
                      <w:szCs w:val="21"/>
                    </w:rPr>
                  </w:pPr>
                  <w:r>
                    <w:rPr>
                      <w:rFonts w:ascii="Times New Roman" w:hAnsi="Times New Roman" w:cs="Times New Roman"/>
                      <w:szCs w:val="21"/>
                    </w:rPr>
                    <w:t>55</w:t>
                  </w:r>
                </w:p>
              </w:tc>
            </w:tr>
            <w:tr w14:paraId="00D91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382FEEFD">
                  <w:pPr>
                    <w:pStyle w:val="73"/>
                    <w:kinsoku w:val="0"/>
                    <w:overflowPunct w:val="0"/>
                    <w:jc w:val="center"/>
                    <w:rPr>
                      <w:rFonts w:ascii="Times New Roman" w:hAnsi="Times New Roman" w:cs="Times New Roman"/>
                      <w:szCs w:val="21"/>
                    </w:rPr>
                  </w:pPr>
                  <w:r>
                    <w:rPr>
                      <w:rFonts w:ascii="Times New Roman" w:hAnsi="Times New Roman" w:cs="Times New Roman"/>
                      <w:szCs w:val="21"/>
                    </w:rPr>
                    <w:t>汽车吊</w:t>
                  </w:r>
                </w:p>
              </w:tc>
              <w:tc>
                <w:tcPr>
                  <w:tcW w:w="273" w:type="pct"/>
                  <w:tcBorders>
                    <w:tl2br w:val="nil"/>
                    <w:tr2bl w:val="nil"/>
                  </w:tcBorders>
                  <w:vAlign w:val="center"/>
                </w:tcPr>
                <w:p w14:paraId="26151683">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44CECFCE">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02C50D6E">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21CF105B">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0212B688">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2A7C2FB6">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775DC97C">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6B014648">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2E01480E">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561B6F8E">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2EC71A9E">
                  <w:pPr>
                    <w:pStyle w:val="11"/>
                    <w:tabs>
                      <w:tab w:val="left" w:pos="3371"/>
                      <w:tab w:val="left" w:pos="7036"/>
                    </w:tabs>
                    <w:kinsoku w:val="0"/>
                    <w:overflowPunct w:val="0"/>
                    <w:spacing w:before="0" w:after="0" w:line="240" w:lineRule="auto"/>
                    <w:ind w:right="0"/>
                    <w:jc w:val="center"/>
                    <w:rPr>
                      <w:b/>
                      <w:bCs/>
                      <w:sz w:val="2"/>
                      <w:szCs w:val="2"/>
                    </w:rPr>
                  </w:pPr>
                </w:p>
              </w:tc>
            </w:tr>
            <w:tr w14:paraId="1CDA4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5FDD0779">
                  <w:pPr>
                    <w:pStyle w:val="73"/>
                    <w:kinsoku w:val="0"/>
                    <w:overflowPunct w:val="0"/>
                    <w:jc w:val="center"/>
                    <w:rPr>
                      <w:rFonts w:ascii="Times New Roman" w:hAnsi="Times New Roman" w:cs="Times New Roman"/>
                      <w:szCs w:val="21"/>
                    </w:rPr>
                  </w:pPr>
                  <w:r>
                    <w:rPr>
                      <w:rFonts w:ascii="Times New Roman" w:hAnsi="Times New Roman" w:cs="Times New Roman"/>
                      <w:szCs w:val="21"/>
                    </w:rPr>
                    <w:t>推土机</w:t>
                  </w:r>
                </w:p>
              </w:tc>
              <w:tc>
                <w:tcPr>
                  <w:tcW w:w="273" w:type="pct"/>
                  <w:tcBorders>
                    <w:tl2br w:val="nil"/>
                    <w:tr2bl w:val="nil"/>
                  </w:tcBorders>
                  <w:vAlign w:val="center"/>
                </w:tcPr>
                <w:p w14:paraId="0F65E580">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4D5B4960">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523769FE">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18960F73">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0BF1E7E3">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68AA0C34">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5939D665">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4911344B">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330043EF">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10385EF1">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29532883">
                  <w:pPr>
                    <w:pStyle w:val="11"/>
                    <w:tabs>
                      <w:tab w:val="left" w:pos="3371"/>
                      <w:tab w:val="left" w:pos="7036"/>
                    </w:tabs>
                    <w:kinsoku w:val="0"/>
                    <w:overflowPunct w:val="0"/>
                    <w:spacing w:before="0" w:after="0" w:line="240" w:lineRule="auto"/>
                    <w:ind w:right="0"/>
                    <w:jc w:val="center"/>
                    <w:rPr>
                      <w:b/>
                      <w:bCs/>
                      <w:sz w:val="2"/>
                      <w:szCs w:val="2"/>
                    </w:rPr>
                  </w:pPr>
                </w:p>
              </w:tc>
            </w:tr>
            <w:tr w14:paraId="7E0CB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5CCFF9BC">
                  <w:pPr>
                    <w:pStyle w:val="73"/>
                    <w:kinsoku w:val="0"/>
                    <w:overflowPunct w:val="0"/>
                    <w:jc w:val="center"/>
                    <w:rPr>
                      <w:rFonts w:ascii="Times New Roman" w:hAnsi="Times New Roman" w:cs="Times New Roman"/>
                      <w:szCs w:val="21"/>
                    </w:rPr>
                  </w:pPr>
                  <w:r>
                    <w:rPr>
                      <w:rFonts w:ascii="Times New Roman" w:hAnsi="Times New Roman" w:cs="Times New Roman"/>
                      <w:szCs w:val="21"/>
                    </w:rPr>
                    <w:t>挖掘机</w:t>
                  </w:r>
                </w:p>
              </w:tc>
              <w:tc>
                <w:tcPr>
                  <w:tcW w:w="273" w:type="pct"/>
                  <w:tcBorders>
                    <w:tl2br w:val="nil"/>
                    <w:tr2bl w:val="nil"/>
                  </w:tcBorders>
                  <w:vAlign w:val="center"/>
                </w:tcPr>
                <w:p w14:paraId="71C93142">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5120C121">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49070790">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234FF9A0">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661B99FE">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118B156A">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2E415EAD">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76EF1113">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13567DD0">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29C0510B">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C5CD660">
                  <w:pPr>
                    <w:pStyle w:val="11"/>
                    <w:tabs>
                      <w:tab w:val="left" w:pos="3371"/>
                      <w:tab w:val="left" w:pos="7036"/>
                    </w:tabs>
                    <w:kinsoku w:val="0"/>
                    <w:overflowPunct w:val="0"/>
                    <w:spacing w:before="0" w:after="0" w:line="240" w:lineRule="auto"/>
                    <w:ind w:right="0"/>
                    <w:jc w:val="center"/>
                    <w:rPr>
                      <w:b/>
                      <w:bCs/>
                      <w:sz w:val="2"/>
                      <w:szCs w:val="2"/>
                    </w:rPr>
                  </w:pPr>
                </w:p>
              </w:tc>
            </w:tr>
            <w:tr w14:paraId="5A57E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2D6111C2">
                  <w:pPr>
                    <w:pStyle w:val="73"/>
                    <w:kinsoku w:val="0"/>
                    <w:overflowPunct w:val="0"/>
                    <w:jc w:val="center"/>
                    <w:rPr>
                      <w:rFonts w:ascii="Times New Roman" w:hAnsi="Times New Roman" w:cs="Times New Roman"/>
                      <w:szCs w:val="21"/>
                    </w:rPr>
                  </w:pPr>
                  <w:r>
                    <w:rPr>
                      <w:rFonts w:ascii="Times New Roman" w:hAnsi="Times New Roman" w:cs="Times New Roman"/>
                      <w:szCs w:val="21"/>
                    </w:rPr>
                    <w:t>装载机</w:t>
                  </w:r>
                </w:p>
              </w:tc>
              <w:tc>
                <w:tcPr>
                  <w:tcW w:w="273" w:type="pct"/>
                  <w:tcBorders>
                    <w:tl2br w:val="nil"/>
                    <w:tr2bl w:val="nil"/>
                  </w:tcBorders>
                  <w:vAlign w:val="center"/>
                </w:tcPr>
                <w:p w14:paraId="060C769F">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3108A418">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4908211A">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240A0E0B">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4EDC6456">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4F8FAFF4">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635974E3">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48CA3D6C">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4BF1FE8F">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16ECAE89">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58BDC017">
                  <w:pPr>
                    <w:pStyle w:val="11"/>
                    <w:tabs>
                      <w:tab w:val="left" w:pos="3371"/>
                      <w:tab w:val="left" w:pos="7036"/>
                    </w:tabs>
                    <w:kinsoku w:val="0"/>
                    <w:overflowPunct w:val="0"/>
                    <w:spacing w:before="0" w:after="0" w:line="240" w:lineRule="auto"/>
                    <w:ind w:right="0"/>
                    <w:jc w:val="center"/>
                    <w:rPr>
                      <w:b/>
                      <w:bCs/>
                      <w:sz w:val="2"/>
                      <w:szCs w:val="2"/>
                    </w:rPr>
                  </w:pPr>
                </w:p>
              </w:tc>
            </w:tr>
            <w:tr w14:paraId="65BD1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14:paraId="2A92CA34">
                  <w:pPr>
                    <w:pStyle w:val="73"/>
                    <w:kinsoku w:val="0"/>
                    <w:overflowPunct w:val="0"/>
                    <w:jc w:val="center"/>
                    <w:rPr>
                      <w:rFonts w:ascii="Times New Roman" w:hAnsi="Times New Roman" w:cs="Times New Roman"/>
                      <w:szCs w:val="21"/>
                    </w:rPr>
                  </w:pPr>
                  <w:r>
                    <w:rPr>
                      <w:rFonts w:ascii="Times New Roman" w:hAnsi="Times New Roman" w:cs="Times New Roman"/>
                      <w:szCs w:val="21"/>
                    </w:rPr>
                    <w:t>振动碾</w:t>
                  </w:r>
                </w:p>
              </w:tc>
              <w:tc>
                <w:tcPr>
                  <w:tcW w:w="273" w:type="pct"/>
                  <w:tcBorders>
                    <w:tl2br w:val="nil"/>
                    <w:tr2bl w:val="nil"/>
                  </w:tcBorders>
                  <w:vAlign w:val="center"/>
                </w:tcPr>
                <w:p w14:paraId="02A2296F">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7DD51E6C">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45AA2D80">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09D233F5">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0D43337B">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54025FE6">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33352BF0">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3763DDAD">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41FBC10E">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7291D103">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03A614D8">
                  <w:pPr>
                    <w:pStyle w:val="11"/>
                    <w:tabs>
                      <w:tab w:val="left" w:pos="3371"/>
                      <w:tab w:val="left" w:pos="7036"/>
                    </w:tabs>
                    <w:kinsoku w:val="0"/>
                    <w:overflowPunct w:val="0"/>
                    <w:spacing w:before="0" w:after="0" w:line="240" w:lineRule="auto"/>
                    <w:ind w:right="0"/>
                    <w:jc w:val="center"/>
                    <w:rPr>
                      <w:b/>
                      <w:bCs/>
                      <w:sz w:val="2"/>
                      <w:szCs w:val="2"/>
                    </w:rPr>
                  </w:pPr>
                </w:p>
              </w:tc>
            </w:tr>
            <w:tr w14:paraId="33710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46C26F2A">
                  <w:pPr>
                    <w:pStyle w:val="73"/>
                    <w:kinsoku w:val="0"/>
                    <w:overflowPunct w:val="0"/>
                    <w:jc w:val="center"/>
                    <w:rPr>
                      <w:rFonts w:ascii="Times New Roman" w:hAnsi="Times New Roman" w:cs="Times New Roman"/>
                      <w:szCs w:val="21"/>
                    </w:rPr>
                  </w:pPr>
                  <w:r>
                    <w:rPr>
                      <w:rFonts w:ascii="Times New Roman" w:hAnsi="Times New Roman" w:cs="Times New Roman"/>
                      <w:szCs w:val="21"/>
                    </w:rPr>
                    <w:t>插入式振捣器</w:t>
                  </w:r>
                </w:p>
              </w:tc>
              <w:tc>
                <w:tcPr>
                  <w:tcW w:w="273" w:type="pct"/>
                  <w:tcBorders>
                    <w:tl2br w:val="nil"/>
                    <w:tr2bl w:val="nil"/>
                  </w:tcBorders>
                  <w:vAlign w:val="center"/>
                </w:tcPr>
                <w:p w14:paraId="23912349">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08B73B14">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4082A476">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3CAC3A35">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735B771A">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64F7D585">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5CC1A778">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2FBDB8BF">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7D3F9707">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3087AE8C">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70884A8">
                  <w:pPr>
                    <w:pStyle w:val="11"/>
                    <w:tabs>
                      <w:tab w:val="left" w:pos="3371"/>
                      <w:tab w:val="left" w:pos="7036"/>
                    </w:tabs>
                    <w:kinsoku w:val="0"/>
                    <w:overflowPunct w:val="0"/>
                    <w:spacing w:before="0" w:after="0" w:line="240" w:lineRule="auto"/>
                    <w:ind w:right="0"/>
                    <w:jc w:val="center"/>
                    <w:rPr>
                      <w:b/>
                      <w:bCs/>
                      <w:sz w:val="2"/>
                      <w:szCs w:val="2"/>
                    </w:rPr>
                  </w:pPr>
                </w:p>
              </w:tc>
            </w:tr>
            <w:tr w14:paraId="4638A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9" w:type="pct"/>
                  <w:tcBorders>
                    <w:tl2br w:val="nil"/>
                    <w:tr2bl w:val="nil"/>
                  </w:tcBorders>
                  <w:vAlign w:val="center"/>
                </w:tcPr>
                <w:p w14:paraId="23BD7F93">
                  <w:pPr>
                    <w:pStyle w:val="73"/>
                    <w:kinsoku w:val="0"/>
                    <w:overflowPunct w:val="0"/>
                    <w:jc w:val="center"/>
                    <w:rPr>
                      <w:rFonts w:ascii="Times New Roman" w:hAnsi="Times New Roman" w:cs="Times New Roman"/>
                      <w:szCs w:val="21"/>
                    </w:rPr>
                  </w:pPr>
                  <w:r>
                    <w:rPr>
                      <w:rFonts w:ascii="Times New Roman" w:hAnsi="Times New Roman" w:cs="Times New Roman"/>
                      <w:szCs w:val="21"/>
                    </w:rPr>
                    <w:t>混凝土输送泵</w:t>
                  </w:r>
                </w:p>
              </w:tc>
              <w:tc>
                <w:tcPr>
                  <w:tcW w:w="273" w:type="pct"/>
                  <w:tcBorders>
                    <w:tl2br w:val="nil"/>
                    <w:tr2bl w:val="nil"/>
                  </w:tcBorders>
                  <w:vAlign w:val="center"/>
                </w:tcPr>
                <w:p w14:paraId="3D81366D">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2409D5ED">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7028AF93">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6C8DB31E">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2F370581">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4E679E26">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0F3A2A7B">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6B8A44FD">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71407B00">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743740B6">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60D23EC">
                  <w:pPr>
                    <w:pStyle w:val="11"/>
                    <w:tabs>
                      <w:tab w:val="left" w:pos="3371"/>
                      <w:tab w:val="left" w:pos="7036"/>
                    </w:tabs>
                    <w:kinsoku w:val="0"/>
                    <w:overflowPunct w:val="0"/>
                    <w:spacing w:before="0" w:after="0" w:line="240" w:lineRule="auto"/>
                    <w:ind w:right="0"/>
                    <w:jc w:val="center"/>
                    <w:rPr>
                      <w:b/>
                      <w:bCs/>
                      <w:sz w:val="2"/>
                      <w:szCs w:val="2"/>
                    </w:rPr>
                  </w:pPr>
                </w:p>
              </w:tc>
            </w:tr>
            <w:tr w14:paraId="0A1123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04A1AE69">
                  <w:pPr>
                    <w:pStyle w:val="73"/>
                    <w:kinsoku w:val="0"/>
                    <w:overflowPunct w:val="0"/>
                    <w:jc w:val="center"/>
                    <w:rPr>
                      <w:rFonts w:ascii="Times New Roman" w:hAnsi="Times New Roman" w:cs="Times New Roman"/>
                      <w:szCs w:val="21"/>
                    </w:rPr>
                  </w:pPr>
                  <w:r>
                    <w:rPr>
                      <w:rFonts w:ascii="Times New Roman" w:hAnsi="Times New Roman" w:cs="Times New Roman"/>
                      <w:szCs w:val="21"/>
                    </w:rPr>
                    <w:t>混凝土搅拌车</w:t>
                  </w:r>
                </w:p>
              </w:tc>
              <w:tc>
                <w:tcPr>
                  <w:tcW w:w="273" w:type="pct"/>
                  <w:tcBorders>
                    <w:tl2br w:val="nil"/>
                    <w:tr2bl w:val="nil"/>
                  </w:tcBorders>
                  <w:vAlign w:val="center"/>
                </w:tcPr>
                <w:p w14:paraId="31770B66">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6D42C09E">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671B3A1F">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0DDB2433">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2B64334F">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4C3DEE57">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15F83098">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18266989">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668D5DCB">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0180E2E7">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33CEA740">
                  <w:pPr>
                    <w:pStyle w:val="11"/>
                    <w:tabs>
                      <w:tab w:val="left" w:pos="3371"/>
                      <w:tab w:val="left" w:pos="7036"/>
                    </w:tabs>
                    <w:kinsoku w:val="0"/>
                    <w:overflowPunct w:val="0"/>
                    <w:spacing w:before="0" w:after="0" w:line="240" w:lineRule="auto"/>
                    <w:ind w:right="0"/>
                    <w:jc w:val="center"/>
                    <w:rPr>
                      <w:b/>
                      <w:bCs/>
                      <w:sz w:val="2"/>
                      <w:szCs w:val="2"/>
                    </w:rPr>
                  </w:pPr>
                </w:p>
              </w:tc>
            </w:tr>
            <w:tr w14:paraId="2C4C3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4E3C74B7">
                  <w:pPr>
                    <w:pStyle w:val="73"/>
                    <w:kinsoku w:val="0"/>
                    <w:overflowPunct w:val="0"/>
                    <w:jc w:val="center"/>
                    <w:rPr>
                      <w:rFonts w:ascii="Times New Roman" w:hAnsi="Times New Roman" w:cs="Times New Roman"/>
                      <w:szCs w:val="21"/>
                    </w:rPr>
                  </w:pPr>
                  <w:r>
                    <w:rPr>
                      <w:rFonts w:ascii="Times New Roman" w:hAnsi="Times New Roman" w:cs="Times New Roman"/>
                      <w:szCs w:val="21"/>
                    </w:rPr>
                    <w:t>钢筋切断机</w:t>
                  </w:r>
                </w:p>
              </w:tc>
              <w:tc>
                <w:tcPr>
                  <w:tcW w:w="273" w:type="pct"/>
                  <w:tcBorders>
                    <w:tl2br w:val="nil"/>
                    <w:tr2bl w:val="nil"/>
                  </w:tcBorders>
                  <w:vAlign w:val="center"/>
                </w:tcPr>
                <w:p w14:paraId="1B88B26B">
                  <w:pPr>
                    <w:pStyle w:val="73"/>
                    <w:kinsoku w:val="0"/>
                    <w:overflowPunct w:val="0"/>
                    <w:jc w:val="center"/>
                    <w:rPr>
                      <w:rFonts w:ascii="Times New Roman" w:hAnsi="Times New Roman" w:cs="Times New Roman"/>
                      <w:szCs w:val="21"/>
                    </w:rPr>
                  </w:pPr>
                  <w:r>
                    <w:rPr>
                      <w:rFonts w:ascii="Times New Roman" w:hAnsi="Times New Roman" w:cs="Times New Roman"/>
                      <w:szCs w:val="21"/>
                    </w:rPr>
                    <w:t>80</w:t>
                  </w:r>
                </w:p>
              </w:tc>
              <w:tc>
                <w:tcPr>
                  <w:tcW w:w="454" w:type="pct"/>
                  <w:tcBorders>
                    <w:tl2br w:val="nil"/>
                    <w:tr2bl w:val="nil"/>
                  </w:tcBorders>
                  <w:vAlign w:val="center"/>
                </w:tcPr>
                <w:p w14:paraId="64F731D5">
                  <w:pPr>
                    <w:pStyle w:val="73"/>
                    <w:kinsoku w:val="0"/>
                    <w:overflowPunct w:val="0"/>
                    <w:jc w:val="center"/>
                    <w:rPr>
                      <w:rFonts w:ascii="Times New Roman" w:hAnsi="Times New Roman" w:cs="Times New Roman"/>
                      <w:szCs w:val="21"/>
                    </w:rPr>
                  </w:pPr>
                  <w:r>
                    <w:rPr>
                      <w:rFonts w:ascii="Times New Roman" w:hAnsi="Times New Roman" w:cs="Times New Roman"/>
                      <w:szCs w:val="21"/>
                    </w:rPr>
                    <w:t>60.0</w:t>
                  </w:r>
                </w:p>
              </w:tc>
              <w:tc>
                <w:tcPr>
                  <w:tcW w:w="364" w:type="pct"/>
                  <w:tcBorders>
                    <w:tl2br w:val="nil"/>
                    <w:tr2bl w:val="nil"/>
                  </w:tcBorders>
                  <w:vAlign w:val="center"/>
                </w:tcPr>
                <w:p w14:paraId="2AE37159">
                  <w:pPr>
                    <w:pStyle w:val="73"/>
                    <w:kinsoku w:val="0"/>
                    <w:overflowPunct w:val="0"/>
                    <w:jc w:val="center"/>
                    <w:rPr>
                      <w:rFonts w:ascii="Times New Roman" w:hAnsi="Times New Roman" w:cs="Times New Roman"/>
                      <w:szCs w:val="21"/>
                    </w:rPr>
                  </w:pPr>
                  <w:r>
                    <w:rPr>
                      <w:rFonts w:ascii="Times New Roman" w:hAnsi="Times New Roman" w:cs="Times New Roman"/>
                      <w:szCs w:val="21"/>
                    </w:rPr>
                    <w:t>54.0</w:t>
                  </w:r>
                </w:p>
              </w:tc>
              <w:tc>
                <w:tcPr>
                  <w:tcW w:w="362" w:type="pct"/>
                  <w:tcBorders>
                    <w:tl2br w:val="nil"/>
                    <w:tr2bl w:val="nil"/>
                  </w:tcBorders>
                  <w:vAlign w:val="center"/>
                </w:tcPr>
                <w:p w14:paraId="255E484C">
                  <w:pPr>
                    <w:pStyle w:val="73"/>
                    <w:kinsoku w:val="0"/>
                    <w:overflowPunct w:val="0"/>
                    <w:jc w:val="center"/>
                    <w:rPr>
                      <w:rFonts w:ascii="Times New Roman" w:hAnsi="Times New Roman" w:cs="Times New Roman"/>
                      <w:szCs w:val="21"/>
                    </w:rPr>
                  </w:pPr>
                  <w:r>
                    <w:rPr>
                      <w:rFonts w:ascii="Times New Roman" w:hAnsi="Times New Roman" w:cs="Times New Roman"/>
                      <w:szCs w:val="21"/>
                    </w:rPr>
                    <w:t>48.0</w:t>
                  </w:r>
                </w:p>
              </w:tc>
              <w:tc>
                <w:tcPr>
                  <w:tcW w:w="454" w:type="pct"/>
                  <w:tcBorders>
                    <w:tl2br w:val="nil"/>
                    <w:tr2bl w:val="nil"/>
                  </w:tcBorders>
                  <w:vAlign w:val="center"/>
                </w:tcPr>
                <w:p w14:paraId="6507E7FF">
                  <w:pPr>
                    <w:pStyle w:val="73"/>
                    <w:kinsoku w:val="0"/>
                    <w:overflowPunct w:val="0"/>
                    <w:jc w:val="center"/>
                    <w:rPr>
                      <w:rFonts w:ascii="Times New Roman" w:hAnsi="Times New Roman" w:cs="Times New Roman"/>
                      <w:szCs w:val="21"/>
                    </w:rPr>
                  </w:pPr>
                  <w:r>
                    <w:rPr>
                      <w:rFonts w:ascii="Times New Roman" w:hAnsi="Times New Roman" w:cs="Times New Roman"/>
                      <w:szCs w:val="21"/>
                    </w:rPr>
                    <w:t>44.4</w:t>
                  </w:r>
                </w:p>
              </w:tc>
              <w:tc>
                <w:tcPr>
                  <w:tcW w:w="454" w:type="pct"/>
                  <w:tcBorders>
                    <w:tl2br w:val="nil"/>
                    <w:tr2bl w:val="nil"/>
                  </w:tcBorders>
                  <w:vAlign w:val="center"/>
                </w:tcPr>
                <w:p w14:paraId="4D0ACCB3">
                  <w:pPr>
                    <w:pStyle w:val="73"/>
                    <w:kinsoku w:val="0"/>
                    <w:overflowPunct w:val="0"/>
                    <w:jc w:val="center"/>
                    <w:rPr>
                      <w:rFonts w:ascii="Times New Roman" w:hAnsi="Times New Roman" w:cs="Times New Roman"/>
                      <w:szCs w:val="21"/>
                    </w:rPr>
                  </w:pPr>
                  <w:r>
                    <w:rPr>
                      <w:rFonts w:ascii="Times New Roman" w:hAnsi="Times New Roman" w:cs="Times New Roman"/>
                      <w:szCs w:val="21"/>
                    </w:rPr>
                    <w:t>41.9</w:t>
                  </w:r>
                </w:p>
              </w:tc>
              <w:tc>
                <w:tcPr>
                  <w:tcW w:w="454" w:type="pct"/>
                  <w:tcBorders>
                    <w:tl2br w:val="nil"/>
                    <w:tr2bl w:val="nil"/>
                  </w:tcBorders>
                  <w:vAlign w:val="center"/>
                </w:tcPr>
                <w:p w14:paraId="494281BE">
                  <w:pPr>
                    <w:pStyle w:val="73"/>
                    <w:kinsoku w:val="0"/>
                    <w:overflowPunct w:val="0"/>
                    <w:jc w:val="center"/>
                    <w:rPr>
                      <w:rFonts w:ascii="Times New Roman" w:hAnsi="Times New Roman" w:cs="Times New Roman"/>
                      <w:szCs w:val="21"/>
                    </w:rPr>
                  </w:pPr>
                  <w:r>
                    <w:rPr>
                      <w:rFonts w:ascii="Times New Roman" w:hAnsi="Times New Roman" w:cs="Times New Roman"/>
                      <w:szCs w:val="21"/>
                    </w:rPr>
                    <w:t>40.0</w:t>
                  </w:r>
                </w:p>
              </w:tc>
              <w:tc>
                <w:tcPr>
                  <w:tcW w:w="362" w:type="pct"/>
                  <w:tcBorders>
                    <w:tl2br w:val="nil"/>
                    <w:tr2bl w:val="nil"/>
                  </w:tcBorders>
                  <w:vAlign w:val="center"/>
                </w:tcPr>
                <w:p w14:paraId="4738BF8A">
                  <w:pPr>
                    <w:pStyle w:val="73"/>
                    <w:kinsoku w:val="0"/>
                    <w:overflowPunct w:val="0"/>
                    <w:jc w:val="center"/>
                    <w:rPr>
                      <w:rFonts w:ascii="Times New Roman" w:hAnsi="Times New Roman" w:cs="Times New Roman"/>
                      <w:szCs w:val="21"/>
                    </w:rPr>
                  </w:pPr>
                  <w:r>
                    <w:rPr>
                      <w:rFonts w:ascii="Times New Roman" w:hAnsi="Times New Roman" w:cs="Times New Roman"/>
                      <w:szCs w:val="21"/>
                    </w:rPr>
                    <w:t>36.5</w:t>
                  </w:r>
                </w:p>
              </w:tc>
              <w:tc>
                <w:tcPr>
                  <w:tcW w:w="465" w:type="pct"/>
                  <w:tcBorders>
                    <w:tl2br w:val="nil"/>
                    <w:tr2bl w:val="nil"/>
                  </w:tcBorders>
                  <w:vAlign w:val="center"/>
                </w:tcPr>
                <w:p w14:paraId="5CD75032">
                  <w:pPr>
                    <w:pStyle w:val="73"/>
                    <w:kinsoku w:val="0"/>
                    <w:overflowPunct w:val="0"/>
                    <w:jc w:val="center"/>
                    <w:rPr>
                      <w:rFonts w:ascii="Times New Roman" w:hAnsi="Times New Roman" w:cs="Times New Roman"/>
                      <w:szCs w:val="21"/>
                    </w:rPr>
                  </w:pPr>
                  <w:r>
                    <w:rPr>
                      <w:rFonts w:ascii="Times New Roman" w:hAnsi="Times New Roman" w:cs="Times New Roman"/>
                      <w:szCs w:val="21"/>
                    </w:rPr>
                    <w:t>34.0</w:t>
                  </w:r>
                </w:p>
              </w:tc>
              <w:tc>
                <w:tcPr>
                  <w:tcW w:w="356" w:type="pct"/>
                  <w:vMerge w:val="continue"/>
                  <w:tcBorders>
                    <w:tl2br w:val="nil"/>
                    <w:tr2bl w:val="nil"/>
                  </w:tcBorders>
                  <w:vAlign w:val="center"/>
                </w:tcPr>
                <w:p w14:paraId="1F21AE7D">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605BD97E">
                  <w:pPr>
                    <w:pStyle w:val="11"/>
                    <w:tabs>
                      <w:tab w:val="left" w:pos="3371"/>
                      <w:tab w:val="left" w:pos="7036"/>
                    </w:tabs>
                    <w:kinsoku w:val="0"/>
                    <w:overflowPunct w:val="0"/>
                    <w:spacing w:before="0" w:after="0" w:line="240" w:lineRule="auto"/>
                    <w:ind w:right="0"/>
                    <w:jc w:val="center"/>
                    <w:rPr>
                      <w:b/>
                      <w:bCs/>
                      <w:sz w:val="2"/>
                      <w:szCs w:val="2"/>
                    </w:rPr>
                  </w:pPr>
                </w:p>
              </w:tc>
            </w:tr>
            <w:tr w14:paraId="68BBC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4F9FD240">
                  <w:pPr>
                    <w:pStyle w:val="73"/>
                    <w:kinsoku w:val="0"/>
                    <w:overflowPunct w:val="0"/>
                    <w:jc w:val="center"/>
                    <w:rPr>
                      <w:rFonts w:ascii="Times New Roman" w:hAnsi="Times New Roman" w:cs="Times New Roman"/>
                      <w:szCs w:val="21"/>
                    </w:rPr>
                  </w:pPr>
                  <w:r>
                    <w:rPr>
                      <w:rFonts w:ascii="Times New Roman" w:hAnsi="Times New Roman" w:cs="Times New Roman"/>
                      <w:szCs w:val="21"/>
                    </w:rPr>
                    <w:t>钢筋弯曲机</w:t>
                  </w:r>
                </w:p>
              </w:tc>
              <w:tc>
                <w:tcPr>
                  <w:tcW w:w="273" w:type="pct"/>
                  <w:tcBorders>
                    <w:tl2br w:val="nil"/>
                    <w:tr2bl w:val="nil"/>
                  </w:tcBorders>
                  <w:vAlign w:val="center"/>
                </w:tcPr>
                <w:p w14:paraId="45321E48">
                  <w:pPr>
                    <w:pStyle w:val="73"/>
                    <w:kinsoku w:val="0"/>
                    <w:overflowPunct w:val="0"/>
                    <w:jc w:val="center"/>
                    <w:rPr>
                      <w:rFonts w:ascii="Times New Roman" w:hAnsi="Times New Roman" w:cs="Times New Roman"/>
                      <w:szCs w:val="21"/>
                    </w:rPr>
                  </w:pPr>
                  <w:r>
                    <w:rPr>
                      <w:rFonts w:ascii="Times New Roman" w:hAnsi="Times New Roman" w:cs="Times New Roman"/>
                      <w:szCs w:val="21"/>
                    </w:rPr>
                    <w:t>75</w:t>
                  </w:r>
                </w:p>
              </w:tc>
              <w:tc>
                <w:tcPr>
                  <w:tcW w:w="454" w:type="pct"/>
                  <w:tcBorders>
                    <w:tl2br w:val="nil"/>
                    <w:tr2bl w:val="nil"/>
                  </w:tcBorders>
                  <w:vAlign w:val="center"/>
                </w:tcPr>
                <w:p w14:paraId="65A2BB29">
                  <w:pPr>
                    <w:pStyle w:val="73"/>
                    <w:kinsoku w:val="0"/>
                    <w:overflowPunct w:val="0"/>
                    <w:jc w:val="center"/>
                    <w:rPr>
                      <w:rFonts w:ascii="Times New Roman" w:hAnsi="Times New Roman" w:cs="Times New Roman"/>
                      <w:szCs w:val="21"/>
                    </w:rPr>
                  </w:pPr>
                  <w:r>
                    <w:rPr>
                      <w:rFonts w:ascii="Times New Roman" w:hAnsi="Times New Roman" w:cs="Times New Roman"/>
                      <w:szCs w:val="21"/>
                    </w:rPr>
                    <w:t>55.0</w:t>
                  </w:r>
                </w:p>
              </w:tc>
              <w:tc>
                <w:tcPr>
                  <w:tcW w:w="364" w:type="pct"/>
                  <w:tcBorders>
                    <w:tl2br w:val="nil"/>
                    <w:tr2bl w:val="nil"/>
                  </w:tcBorders>
                  <w:vAlign w:val="center"/>
                </w:tcPr>
                <w:p w14:paraId="7454A94B">
                  <w:pPr>
                    <w:pStyle w:val="73"/>
                    <w:kinsoku w:val="0"/>
                    <w:overflowPunct w:val="0"/>
                    <w:jc w:val="center"/>
                    <w:rPr>
                      <w:rFonts w:ascii="Times New Roman" w:hAnsi="Times New Roman" w:cs="Times New Roman"/>
                      <w:szCs w:val="21"/>
                    </w:rPr>
                  </w:pPr>
                  <w:r>
                    <w:rPr>
                      <w:rFonts w:ascii="Times New Roman" w:hAnsi="Times New Roman" w:cs="Times New Roman"/>
                      <w:szCs w:val="21"/>
                    </w:rPr>
                    <w:t>49.0</w:t>
                  </w:r>
                </w:p>
              </w:tc>
              <w:tc>
                <w:tcPr>
                  <w:tcW w:w="362" w:type="pct"/>
                  <w:tcBorders>
                    <w:tl2br w:val="nil"/>
                    <w:tr2bl w:val="nil"/>
                  </w:tcBorders>
                  <w:vAlign w:val="center"/>
                </w:tcPr>
                <w:p w14:paraId="7B9472C2">
                  <w:pPr>
                    <w:pStyle w:val="73"/>
                    <w:kinsoku w:val="0"/>
                    <w:overflowPunct w:val="0"/>
                    <w:jc w:val="center"/>
                    <w:rPr>
                      <w:rFonts w:ascii="Times New Roman" w:hAnsi="Times New Roman" w:cs="Times New Roman"/>
                      <w:szCs w:val="21"/>
                    </w:rPr>
                  </w:pPr>
                  <w:r>
                    <w:rPr>
                      <w:rFonts w:ascii="Times New Roman" w:hAnsi="Times New Roman" w:cs="Times New Roman"/>
                      <w:szCs w:val="21"/>
                    </w:rPr>
                    <w:t>43.0</w:t>
                  </w:r>
                </w:p>
              </w:tc>
              <w:tc>
                <w:tcPr>
                  <w:tcW w:w="454" w:type="pct"/>
                  <w:tcBorders>
                    <w:tl2br w:val="nil"/>
                    <w:tr2bl w:val="nil"/>
                  </w:tcBorders>
                  <w:vAlign w:val="center"/>
                </w:tcPr>
                <w:p w14:paraId="4C91DD25">
                  <w:pPr>
                    <w:pStyle w:val="73"/>
                    <w:kinsoku w:val="0"/>
                    <w:overflowPunct w:val="0"/>
                    <w:jc w:val="center"/>
                    <w:rPr>
                      <w:rFonts w:ascii="Times New Roman" w:hAnsi="Times New Roman" w:cs="Times New Roman"/>
                      <w:szCs w:val="21"/>
                    </w:rPr>
                  </w:pPr>
                  <w:r>
                    <w:rPr>
                      <w:rFonts w:ascii="Times New Roman" w:hAnsi="Times New Roman" w:cs="Times New Roman"/>
                      <w:szCs w:val="21"/>
                    </w:rPr>
                    <w:t>39.4</w:t>
                  </w:r>
                </w:p>
              </w:tc>
              <w:tc>
                <w:tcPr>
                  <w:tcW w:w="454" w:type="pct"/>
                  <w:tcBorders>
                    <w:tl2br w:val="nil"/>
                    <w:tr2bl w:val="nil"/>
                  </w:tcBorders>
                  <w:vAlign w:val="center"/>
                </w:tcPr>
                <w:p w14:paraId="532D36F8">
                  <w:pPr>
                    <w:pStyle w:val="73"/>
                    <w:kinsoku w:val="0"/>
                    <w:overflowPunct w:val="0"/>
                    <w:jc w:val="center"/>
                    <w:rPr>
                      <w:rFonts w:ascii="Times New Roman" w:hAnsi="Times New Roman" w:cs="Times New Roman"/>
                      <w:szCs w:val="21"/>
                    </w:rPr>
                  </w:pPr>
                  <w:r>
                    <w:rPr>
                      <w:rFonts w:ascii="Times New Roman" w:hAnsi="Times New Roman" w:cs="Times New Roman"/>
                      <w:szCs w:val="21"/>
                    </w:rPr>
                    <w:t>36.9</w:t>
                  </w:r>
                </w:p>
              </w:tc>
              <w:tc>
                <w:tcPr>
                  <w:tcW w:w="454" w:type="pct"/>
                  <w:tcBorders>
                    <w:tl2br w:val="nil"/>
                    <w:tr2bl w:val="nil"/>
                  </w:tcBorders>
                  <w:vAlign w:val="center"/>
                </w:tcPr>
                <w:p w14:paraId="6BCEB4F4">
                  <w:pPr>
                    <w:pStyle w:val="73"/>
                    <w:kinsoku w:val="0"/>
                    <w:overflowPunct w:val="0"/>
                    <w:jc w:val="center"/>
                    <w:rPr>
                      <w:rFonts w:ascii="Times New Roman" w:hAnsi="Times New Roman" w:cs="Times New Roman"/>
                      <w:szCs w:val="21"/>
                    </w:rPr>
                  </w:pPr>
                  <w:r>
                    <w:rPr>
                      <w:rFonts w:ascii="Times New Roman" w:hAnsi="Times New Roman" w:cs="Times New Roman"/>
                      <w:szCs w:val="21"/>
                    </w:rPr>
                    <w:t>35.0</w:t>
                  </w:r>
                </w:p>
              </w:tc>
              <w:tc>
                <w:tcPr>
                  <w:tcW w:w="362" w:type="pct"/>
                  <w:tcBorders>
                    <w:tl2br w:val="nil"/>
                    <w:tr2bl w:val="nil"/>
                  </w:tcBorders>
                  <w:vAlign w:val="center"/>
                </w:tcPr>
                <w:p w14:paraId="57A534F6">
                  <w:pPr>
                    <w:pStyle w:val="73"/>
                    <w:kinsoku w:val="0"/>
                    <w:overflowPunct w:val="0"/>
                    <w:jc w:val="center"/>
                    <w:rPr>
                      <w:rFonts w:ascii="Times New Roman" w:hAnsi="Times New Roman" w:cs="Times New Roman"/>
                      <w:szCs w:val="21"/>
                    </w:rPr>
                  </w:pPr>
                  <w:r>
                    <w:rPr>
                      <w:rFonts w:ascii="Times New Roman" w:hAnsi="Times New Roman" w:cs="Times New Roman"/>
                      <w:szCs w:val="21"/>
                    </w:rPr>
                    <w:t>31.5</w:t>
                  </w:r>
                </w:p>
              </w:tc>
              <w:tc>
                <w:tcPr>
                  <w:tcW w:w="465" w:type="pct"/>
                  <w:tcBorders>
                    <w:tl2br w:val="nil"/>
                    <w:tr2bl w:val="nil"/>
                  </w:tcBorders>
                  <w:vAlign w:val="center"/>
                </w:tcPr>
                <w:p w14:paraId="4D39EEE2">
                  <w:pPr>
                    <w:pStyle w:val="73"/>
                    <w:kinsoku w:val="0"/>
                    <w:overflowPunct w:val="0"/>
                    <w:jc w:val="center"/>
                    <w:rPr>
                      <w:rFonts w:ascii="Times New Roman" w:hAnsi="Times New Roman" w:cs="Times New Roman"/>
                      <w:szCs w:val="21"/>
                    </w:rPr>
                  </w:pPr>
                  <w:r>
                    <w:rPr>
                      <w:rFonts w:ascii="Times New Roman" w:hAnsi="Times New Roman" w:cs="Times New Roman"/>
                      <w:szCs w:val="21"/>
                    </w:rPr>
                    <w:t>29.0</w:t>
                  </w:r>
                </w:p>
              </w:tc>
              <w:tc>
                <w:tcPr>
                  <w:tcW w:w="356" w:type="pct"/>
                  <w:vMerge w:val="continue"/>
                  <w:tcBorders>
                    <w:tl2br w:val="nil"/>
                    <w:tr2bl w:val="nil"/>
                  </w:tcBorders>
                  <w:vAlign w:val="center"/>
                </w:tcPr>
                <w:p w14:paraId="1E792314">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19DF4CA2">
                  <w:pPr>
                    <w:pStyle w:val="11"/>
                    <w:tabs>
                      <w:tab w:val="left" w:pos="3371"/>
                      <w:tab w:val="left" w:pos="7036"/>
                    </w:tabs>
                    <w:kinsoku w:val="0"/>
                    <w:overflowPunct w:val="0"/>
                    <w:spacing w:before="0" w:after="0" w:line="240" w:lineRule="auto"/>
                    <w:ind w:right="0"/>
                    <w:jc w:val="center"/>
                    <w:rPr>
                      <w:b/>
                      <w:bCs/>
                      <w:sz w:val="2"/>
                      <w:szCs w:val="2"/>
                    </w:rPr>
                  </w:pPr>
                </w:p>
              </w:tc>
            </w:tr>
            <w:tr w14:paraId="244A67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36FBD508">
                  <w:pPr>
                    <w:pStyle w:val="73"/>
                    <w:kinsoku w:val="0"/>
                    <w:overflowPunct w:val="0"/>
                    <w:jc w:val="center"/>
                    <w:rPr>
                      <w:rFonts w:ascii="Times New Roman" w:hAnsi="Times New Roman" w:cs="Times New Roman"/>
                      <w:szCs w:val="21"/>
                    </w:rPr>
                  </w:pPr>
                  <w:r>
                    <w:rPr>
                      <w:rFonts w:ascii="Times New Roman" w:hAnsi="Times New Roman" w:cs="Times New Roman"/>
                      <w:szCs w:val="21"/>
                    </w:rPr>
                    <w:t>钢筋调直机</w:t>
                  </w:r>
                </w:p>
              </w:tc>
              <w:tc>
                <w:tcPr>
                  <w:tcW w:w="273" w:type="pct"/>
                  <w:tcBorders>
                    <w:tl2br w:val="nil"/>
                    <w:tr2bl w:val="nil"/>
                  </w:tcBorders>
                  <w:vAlign w:val="center"/>
                </w:tcPr>
                <w:p w14:paraId="7FAF32B1">
                  <w:pPr>
                    <w:pStyle w:val="73"/>
                    <w:kinsoku w:val="0"/>
                    <w:overflowPunct w:val="0"/>
                    <w:jc w:val="center"/>
                    <w:rPr>
                      <w:rFonts w:ascii="Times New Roman" w:hAnsi="Times New Roman" w:cs="Times New Roman"/>
                      <w:szCs w:val="21"/>
                    </w:rPr>
                  </w:pPr>
                  <w:r>
                    <w:rPr>
                      <w:rFonts w:ascii="Times New Roman" w:hAnsi="Times New Roman" w:cs="Times New Roman"/>
                      <w:szCs w:val="21"/>
                    </w:rPr>
                    <w:t>75</w:t>
                  </w:r>
                </w:p>
              </w:tc>
              <w:tc>
                <w:tcPr>
                  <w:tcW w:w="454" w:type="pct"/>
                  <w:tcBorders>
                    <w:tl2br w:val="nil"/>
                    <w:tr2bl w:val="nil"/>
                  </w:tcBorders>
                  <w:vAlign w:val="center"/>
                </w:tcPr>
                <w:p w14:paraId="25D0A6C7">
                  <w:pPr>
                    <w:pStyle w:val="73"/>
                    <w:kinsoku w:val="0"/>
                    <w:overflowPunct w:val="0"/>
                    <w:jc w:val="center"/>
                    <w:rPr>
                      <w:rFonts w:ascii="Times New Roman" w:hAnsi="Times New Roman" w:cs="Times New Roman"/>
                      <w:szCs w:val="21"/>
                    </w:rPr>
                  </w:pPr>
                  <w:r>
                    <w:rPr>
                      <w:rFonts w:ascii="Times New Roman" w:hAnsi="Times New Roman" w:cs="Times New Roman"/>
                      <w:szCs w:val="21"/>
                    </w:rPr>
                    <w:t>55.0</w:t>
                  </w:r>
                </w:p>
              </w:tc>
              <w:tc>
                <w:tcPr>
                  <w:tcW w:w="364" w:type="pct"/>
                  <w:tcBorders>
                    <w:tl2br w:val="nil"/>
                    <w:tr2bl w:val="nil"/>
                  </w:tcBorders>
                  <w:vAlign w:val="center"/>
                </w:tcPr>
                <w:p w14:paraId="5967932D">
                  <w:pPr>
                    <w:pStyle w:val="73"/>
                    <w:kinsoku w:val="0"/>
                    <w:overflowPunct w:val="0"/>
                    <w:jc w:val="center"/>
                    <w:rPr>
                      <w:rFonts w:ascii="Times New Roman" w:hAnsi="Times New Roman" w:cs="Times New Roman"/>
                      <w:szCs w:val="21"/>
                    </w:rPr>
                  </w:pPr>
                  <w:r>
                    <w:rPr>
                      <w:rFonts w:ascii="Times New Roman" w:hAnsi="Times New Roman" w:cs="Times New Roman"/>
                      <w:szCs w:val="21"/>
                    </w:rPr>
                    <w:t>49.0</w:t>
                  </w:r>
                </w:p>
              </w:tc>
              <w:tc>
                <w:tcPr>
                  <w:tcW w:w="362" w:type="pct"/>
                  <w:tcBorders>
                    <w:tl2br w:val="nil"/>
                    <w:tr2bl w:val="nil"/>
                  </w:tcBorders>
                  <w:vAlign w:val="center"/>
                </w:tcPr>
                <w:p w14:paraId="5D6AB589">
                  <w:pPr>
                    <w:pStyle w:val="73"/>
                    <w:kinsoku w:val="0"/>
                    <w:overflowPunct w:val="0"/>
                    <w:jc w:val="center"/>
                    <w:rPr>
                      <w:rFonts w:ascii="Times New Roman" w:hAnsi="Times New Roman" w:cs="Times New Roman"/>
                      <w:szCs w:val="21"/>
                    </w:rPr>
                  </w:pPr>
                  <w:r>
                    <w:rPr>
                      <w:rFonts w:ascii="Times New Roman" w:hAnsi="Times New Roman" w:cs="Times New Roman"/>
                      <w:szCs w:val="21"/>
                    </w:rPr>
                    <w:t>43.0</w:t>
                  </w:r>
                </w:p>
              </w:tc>
              <w:tc>
                <w:tcPr>
                  <w:tcW w:w="454" w:type="pct"/>
                  <w:tcBorders>
                    <w:tl2br w:val="nil"/>
                    <w:tr2bl w:val="nil"/>
                  </w:tcBorders>
                  <w:vAlign w:val="center"/>
                </w:tcPr>
                <w:p w14:paraId="31EDBE51">
                  <w:pPr>
                    <w:pStyle w:val="73"/>
                    <w:kinsoku w:val="0"/>
                    <w:overflowPunct w:val="0"/>
                    <w:jc w:val="center"/>
                    <w:rPr>
                      <w:rFonts w:ascii="Times New Roman" w:hAnsi="Times New Roman" w:cs="Times New Roman"/>
                      <w:szCs w:val="21"/>
                    </w:rPr>
                  </w:pPr>
                  <w:r>
                    <w:rPr>
                      <w:rFonts w:ascii="Times New Roman" w:hAnsi="Times New Roman" w:cs="Times New Roman"/>
                      <w:szCs w:val="21"/>
                    </w:rPr>
                    <w:t>39.4</w:t>
                  </w:r>
                </w:p>
              </w:tc>
              <w:tc>
                <w:tcPr>
                  <w:tcW w:w="454" w:type="pct"/>
                  <w:tcBorders>
                    <w:tl2br w:val="nil"/>
                    <w:tr2bl w:val="nil"/>
                  </w:tcBorders>
                  <w:vAlign w:val="center"/>
                </w:tcPr>
                <w:p w14:paraId="5B416788">
                  <w:pPr>
                    <w:pStyle w:val="73"/>
                    <w:kinsoku w:val="0"/>
                    <w:overflowPunct w:val="0"/>
                    <w:jc w:val="center"/>
                    <w:rPr>
                      <w:rFonts w:ascii="Times New Roman" w:hAnsi="Times New Roman" w:cs="Times New Roman"/>
                      <w:szCs w:val="21"/>
                    </w:rPr>
                  </w:pPr>
                  <w:r>
                    <w:rPr>
                      <w:rFonts w:ascii="Times New Roman" w:hAnsi="Times New Roman" w:cs="Times New Roman"/>
                      <w:szCs w:val="21"/>
                    </w:rPr>
                    <w:t>36.9</w:t>
                  </w:r>
                </w:p>
              </w:tc>
              <w:tc>
                <w:tcPr>
                  <w:tcW w:w="454" w:type="pct"/>
                  <w:tcBorders>
                    <w:tl2br w:val="nil"/>
                    <w:tr2bl w:val="nil"/>
                  </w:tcBorders>
                  <w:vAlign w:val="center"/>
                </w:tcPr>
                <w:p w14:paraId="13E8088A">
                  <w:pPr>
                    <w:pStyle w:val="73"/>
                    <w:kinsoku w:val="0"/>
                    <w:overflowPunct w:val="0"/>
                    <w:jc w:val="center"/>
                    <w:rPr>
                      <w:rFonts w:ascii="Times New Roman" w:hAnsi="Times New Roman" w:cs="Times New Roman"/>
                      <w:szCs w:val="21"/>
                    </w:rPr>
                  </w:pPr>
                  <w:r>
                    <w:rPr>
                      <w:rFonts w:ascii="Times New Roman" w:hAnsi="Times New Roman" w:cs="Times New Roman"/>
                      <w:szCs w:val="21"/>
                    </w:rPr>
                    <w:t>35.0</w:t>
                  </w:r>
                </w:p>
              </w:tc>
              <w:tc>
                <w:tcPr>
                  <w:tcW w:w="362" w:type="pct"/>
                  <w:tcBorders>
                    <w:tl2br w:val="nil"/>
                    <w:tr2bl w:val="nil"/>
                  </w:tcBorders>
                  <w:vAlign w:val="center"/>
                </w:tcPr>
                <w:p w14:paraId="27A0574F">
                  <w:pPr>
                    <w:pStyle w:val="73"/>
                    <w:kinsoku w:val="0"/>
                    <w:overflowPunct w:val="0"/>
                    <w:jc w:val="center"/>
                    <w:rPr>
                      <w:rFonts w:ascii="Times New Roman" w:hAnsi="Times New Roman" w:cs="Times New Roman"/>
                      <w:szCs w:val="21"/>
                    </w:rPr>
                  </w:pPr>
                  <w:r>
                    <w:rPr>
                      <w:rFonts w:ascii="Times New Roman" w:hAnsi="Times New Roman" w:cs="Times New Roman"/>
                      <w:szCs w:val="21"/>
                    </w:rPr>
                    <w:t>31.5</w:t>
                  </w:r>
                </w:p>
              </w:tc>
              <w:tc>
                <w:tcPr>
                  <w:tcW w:w="465" w:type="pct"/>
                  <w:tcBorders>
                    <w:tl2br w:val="nil"/>
                    <w:tr2bl w:val="nil"/>
                  </w:tcBorders>
                  <w:vAlign w:val="center"/>
                </w:tcPr>
                <w:p w14:paraId="2FEBF683">
                  <w:pPr>
                    <w:pStyle w:val="73"/>
                    <w:kinsoku w:val="0"/>
                    <w:overflowPunct w:val="0"/>
                    <w:jc w:val="center"/>
                    <w:rPr>
                      <w:rFonts w:ascii="Times New Roman" w:hAnsi="Times New Roman" w:cs="Times New Roman"/>
                      <w:szCs w:val="21"/>
                    </w:rPr>
                  </w:pPr>
                  <w:r>
                    <w:rPr>
                      <w:rFonts w:ascii="Times New Roman" w:hAnsi="Times New Roman" w:cs="Times New Roman"/>
                      <w:szCs w:val="21"/>
                    </w:rPr>
                    <w:t>29.0</w:t>
                  </w:r>
                </w:p>
              </w:tc>
              <w:tc>
                <w:tcPr>
                  <w:tcW w:w="356" w:type="pct"/>
                  <w:vMerge w:val="continue"/>
                  <w:tcBorders>
                    <w:tl2br w:val="nil"/>
                    <w:tr2bl w:val="nil"/>
                  </w:tcBorders>
                  <w:vAlign w:val="center"/>
                </w:tcPr>
                <w:p w14:paraId="493FD131">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235A0353">
                  <w:pPr>
                    <w:pStyle w:val="11"/>
                    <w:tabs>
                      <w:tab w:val="left" w:pos="3371"/>
                      <w:tab w:val="left" w:pos="7036"/>
                    </w:tabs>
                    <w:kinsoku w:val="0"/>
                    <w:overflowPunct w:val="0"/>
                    <w:spacing w:before="0" w:after="0" w:line="240" w:lineRule="auto"/>
                    <w:ind w:right="0"/>
                    <w:jc w:val="center"/>
                    <w:rPr>
                      <w:b/>
                      <w:bCs/>
                      <w:sz w:val="2"/>
                      <w:szCs w:val="2"/>
                    </w:rPr>
                  </w:pPr>
                </w:p>
              </w:tc>
            </w:tr>
            <w:tr w14:paraId="7F205C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558DB785">
                  <w:pPr>
                    <w:pStyle w:val="73"/>
                    <w:kinsoku w:val="0"/>
                    <w:overflowPunct w:val="0"/>
                    <w:jc w:val="center"/>
                    <w:rPr>
                      <w:rFonts w:ascii="Times New Roman" w:hAnsi="Times New Roman" w:cs="Times New Roman"/>
                      <w:szCs w:val="21"/>
                    </w:rPr>
                  </w:pPr>
                  <w:r>
                    <w:rPr>
                      <w:rFonts w:ascii="Times New Roman" w:hAnsi="Times New Roman" w:cs="Times New Roman"/>
                      <w:szCs w:val="21"/>
                    </w:rPr>
                    <w:t>空压机</w:t>
                  </w:r>
                </w:p>
              </w:tc>
              <w:tc>
                <w:tcPr>
                  <w:tcW w:w="273" w:type="pct"/>
                  <w:tcBorders>
                    <w:tl2br w:val="nil"/>
                    <w:tr2bl w:val="nil"/>
                  </w:tcBorders>
                  <w:vAlign w:val="center"/>
                </w:tcPr>
                <w:p w14:paraId="536D4296">
                  <w:pPr>
                    <w:pStyle w:val="73"/>
                    <w:kinsoku w:val="0"/>
                    <w:overflowPunct w:val="0"/>
                    <w:jc w:val="center"/>
                    <w:rPr>
                      <w:rFonts w:ascii="Times New Roman" w:hAnsi="Times New Roman" w:cs="Times New Roman"/>
                      <w:szCs w:val="21"/>
                    </w:rPr>
                  </w:pPr>
                  <w:r>
                    <w:rPr>
                      <w:rFonts w:ascii="Times New Roman" w:hAnsi="Times New Roman" w:cs="Times New Roman"/>
                      <w:szCs w:val="21"/>
                    </w:rPr>
                    <w:t>90</w:t>
                  </w:r>
                </w:p>
              </w:tc>
              <w:tc>
                <w:tcPr>
                  <w:tcW w:w="454" w:type="pct"/>
                  <w:tcBorders>
                    <w:tl2br w:val="nil"/>
                    <w:tr2bl w:val="nil"/>
                  </w:tcBorders>
                  <w:vAlign w:val="center"/>
                </w:tcPr>
                <w:p w14:paraId="0510294B">
                  <w:pPr>
                    <w:pStyle w:val="73"/>
                    <w:kinsoku w:val="0"/>
                    <w:overflowPunct w:val="0"/>
                    <w:jc w:val="center"/>
                    <w:rPr>
                      <w:rFonts w:ascii="Times New Roman" w:hAnsi="Times New Roman" w:cs="Times New Roman"/>
                      <w:szCs w:val="21"/>
                    </w:rPr>
                  </w:pPr>
                  <w:r>
                    <w:rPr>
                      <w:rFonts w:ascii="Times New Roman" w:hAnsi="Times New Roman" w:cs="Times New Roman"/>
                      <w:szCs w:val="21"/>
                    </w:rPr>
                    <w:t>70.0</w:t>
                  </w:r>
                </w:p>
              </w:tc>
              <w:tc>
                <w:tcPr>
                  <w:tcW w:w="364" w:type="pct"/>
                  <w:tcBorders>
                    <w:tl2br w:val="nil"/>
                    <w:tr2bl w:val="nil"/>
                  </w:tcBorders>
                  <w:vAlign w:val="center"/>
                </w:tcPr>
                <w:p w14:paraId="10D5AAC6">
                  <w:pPr>
                    <w:pStyle w:val="73"/>
                    <w:kinsoku w:val="0"/>
                    <w:overflowPunct w:val="0"/>
                    <w:jc w:val="center"/>
                    <w:rPr>
                      <w:rFonts w:ascii="Times New Roman" w:hAnsi="Times New Roman" w:cs="Times New Roman"/>
                      <w:szCs w:val="21"/>
                    </w:rPr>
                  </w:pPr>
                  <w:r>
                    <w:rPr>
                      <w:rFonts w:ascii="Times New Roman" w:hAnsi="Times New Roman" w:cs="Times New Roman"/>
                      <w:szCs w:val="21"/>
                    </w:rPr>
                    <w:t>64.0</w:t>
                  </w:r>
                </w:p>
              </w:tc>
              <w:tc>
                <w:tcPr>
                  <w:tcW w:w="362" w:type="pct"/>
                  <w:tcBorders>
                    <w:tl2br w:val="nil"/>
                    <w:tr2bl w:val="nil"/>
                  </w:tcBorders>
                  <w:vAlign w:val="center"/>
                </w:tcPr>
                <w:p w14:paraId="5D0785EC">
                  <w:pPr>
                    <w:pStyle w:val="73"/>
                    <w:kinsoku w:val="0"/>
                    <w:overflowPunct w:val="0"/>
                    <w:jc w:val="center"/>
                    <w:rPr>
                      <w:rFonts w:ascii="Times New Roman" w:hAnsi="Times New Roman" w:cs="Times New Roman"/>
                      <w:szCs w:val="21"/>
                    </w:rPr>
                  </w:pPr>
                  <w:r>
                    <w:rPr>
                      <w:rFonts w:ascii="Times New Roman" w:hAnsi="Times New Roman" w:cs="Times New Roman"/>
                      <w:szCs w:val="21"/>
                    </w:rPr>
                    <w:t>58.0</w:t>
                  </w:r>
                </w:p>
              </w:tc>
              <w:tc>
                <w:tcPr>
                  <w:tcW w:w="454" w:type="pct"/>
                  <w:tcBorders>
                    <w:tl2br w:val="nil"/>
                    <w:tr2bl w:val="nil"/>
                  </w:tcBorders>
                  <w:vAlign w:val="center"/>
                </w:tcPr>
                <w:p w14:paraId="4B59E5B0">
                  <w:pPr>
                    <w:pStyle w:val="73"/>
                    <w:kinsoku w:val="0"/>
                    <w:overflowPunct w:val="0"/>
                    <w:jc w:val="center"/>
                    <w:rPr>
                      <w:rFonts w:ascii="Times New Roman" w:hAnsi="Times New Roman" w:cs="Times New Roman"/>
                      <w:szCs w:val="21"/>
                    </w:rPr>
                  </w:pPr>
                  <w:r>
                    <w:rPr>
                      <w:rFonts w:ascii="Times New Roman" w:hAnsi="Times New Roman" w:cs="Times New Roman"/>
                      <w:szCs w:val="21"/>
                    </w:rPr>
                    <w:t>54.4</w:t>
                  </w:r>
                </w:p>
              </w:tc>
              <w:tc>
                <w:tcPr>
                  <w:tcW w:w="454" w:type="pct"/>
                  <w:tcBorders>
                    <w:tl2br w:val="nil"/>
                    <w:tr2bl w:val="nil"/>
                  </w:tcBorders>
                  <w:vAlign w:val="center"/>
                </w:tcPr>
                <w:p w14:paraId="496B4F20">
                  <w:pPr>
                    <w:pStyle w:val="73"/>
                    <w:kinsoku w:val="0"/>
                    <w:overflowPunct w:val="0"/>
                    <w:jc w:val="center"/>
                    <w:rPr>
                      <w:rFonts w:ascii="Times New Roman" w:hAnsi="Times New Roman" w:cs="Times New Roman"/>
                      <w:szCs w:val="21"/>
                    </w:rPr>
                  </w:pPr>
                  <w:r>
                    <w:rPr>
                      <w:rFonts w:ascii="Times New Roman" w:hAnsi="Times New Roman" w:cs="Times New Roman"/>
                      <w:szCs w:val="21"/>
                    </w:rPr>
                    <w:t>51.9</w:t>
                  </w:r>
                </w:p>
              </w:tc>
              <w:tc>
                <w:tcPr>
                  <w:tcW w:w="454" w:type="pct"/>
                  <w:tcBorders>
                    <w:tl2br w:val="nil"/>
                    <w:tr2bl w:val="nil"/>
                  </w:tcBorders>
                  <w:vAlign w:val="center"/>
                </w:tcPr>
                <w:p w14:paraId="28A052E0">
                  <w:pPr>
                    <w:pStyle w:val="73"/>
                    <w:kinsoku w:val="0"/>
                    <w:overflowPunct w:val="0"/>
                    <w:jc w:val="center"/>
                    <w:rPr>
                      <w:rFonts w:ascii="Times New Roman" w:hAnsi="Times New Roman" w:cs="Times New Roman"/>
                      <w:szCs w:val="21"/>
                    </w:rPr>
                  </w:pPr>
                  <w:r>
                    <w:rPr>
                      <w:rFonts w:ascii="Times New Roman" w:hAnsi="Times New Roman" w:cs="Times New Roman"/>
                      <w:szCs w:val="21"/>
                    </w:rPr>
                    <w:t>50.0</w:t>
                  </w:r>
                </w:p>
              </w:tc>
              <w:tc>
                <w:tcPr>
                  <w:tcW w:w="362" w:type="pct"/>
                  <w:tcBorders>
                    <w:tl2br w:val="nil"/>
                    <w:tr2bl w:val="nil"/>
                  </w:tcBorders>
                  <w:vAlign w:val="center"/>
                </w:tcPr>
                <w:p w14:paraId="7AE83B8C">
                  <w:pPr>
                    <w:pStyle w:val="73"/>
                    <w:kinsoku w:val="0"/>
                    <w:overflowPunct w:val="0"/>
                    <w:jc w:val="center"/>
                    <w:rPr>
                      <w:rFonts w:ascii="Times New Roman" w:hAnsi="Times New Roman" w:cs="Times New Roman"/>
                      <w:szCs w:val="21"/>
                    </w:rPr>
                  </w:pPr>
                  <w:r>
                    <w:rPr>
                      <w:rFonts w:ascii="Times New Roman" w:hAnsi="Times New Roman" w:cs="Times New Roman"/>
                      <w:szCs w:val="21"/>
                    </w:rPr>
                    <w:t>46.5</w:t>
                  </w:r>
                </w:p>
              </w:tc>
              <w:tc>
                <w:tcPr>
                  <w:tcW w:w="465" w:type="pct"/>
                  <w:tcBorders>
                    <w:tl2br w:val="nil"/>
                    <w:tr2bl w:val="nil"/>
                  </w:tcBorders>
                  <w:vAlign w:val="center"/>
                </w:tcPr>
                <w:p w14:paraId="7521C983">
                  <w:pPr>
                    <w:pStyle w:val="73"/>
                    <w:kinsoku w:val="0"/>
                    <w:overflowPunct w:val="0"/>
                    <w:jc w:val="center"/>
                    <w:rPr>
                      <w:rFonts w:ascii="Times New Roman" w:hAnsi="Times New Roman" w:cs="Times New Roman"/>
                      <w:szCs w:val="21"/>
                    </w:rPr>
                  </w:pPr>
                  <w:r>
                    <w:rPr>
                      <w:rFonts w:ascii="Times New Roman" w:hAnsi="Times New Roman" w:cs="Times New Roman"/>
                      <w:szCs w:val="21"/>
                    </w:rPr>
                    <w:t>44.0</w:t>
                  </w:r>
                </w:p>
              </w:tc>
              <w:tc>
                <w:tcPr>
                  <w:tcW w:w="356" w:type="pct"/>
                  <w:vMerge w:val="continue"/>
                  <w:tcBorders>
                    <w:tl2br w:val="nil"/>
                    <w:tr2bl w:val="nil"/>
                  </w:tcBorders>
                  <w:vAlign w:val="center"/>
                </w:tcPr>
                <w:p w14:paraId="7345352D">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44B26720">
                  <w:pPr>
                    <w:pStyle w:val="11"/>
                    <w:tabs>
                      <w:tab w:val="left" w:pos="3371"/>
                      <w:tab w:val="left" w:pos="7036"/>
                    </w:tabs>
                    <w:kinsoku w:val="0"/>
                    <w:overflowPunct w:val="0"/>
                    <w:spacing w:before="0" w:after="0" w:line="240" w:lineRule="auto"/>
                    <w:ind w:right="0"/>
                    <w:jc w:val="center"/>
                    <w:rPr>
                      <w:b/>
                      <w:bCs/>
                      <w:sz w:val="2"/>
                      <w:szCs w:val="2"/>
                    </w:rPr>
                  </w:pPr>
                </w:p>
              </w:tc>
            </w:tr>
            <w:tr w14:paraId="28E1D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2B1E1865">
                  <w:pPr>
                    <w:pStyle w:val="73"/>
                    <w:kinsoku w:val="0"/>
                    <w:overflowPunct w:val="0"/>
                    <w:jc w:val="center"/>
                    <w:rPr>
                      <w:rFonts w:ascii="Times New Roman" w:hAnsi="Times New Roman" w:cs="Times New Roman"/>
                      <w:szCs w:val="21"/>
                    </w:rPr>
                  </w:pPr>
                  <w:r>
                    <w:rPr>
                      <w:rFonts w:ascii="Times New Roman" w:hAnsi="Times New Roman" w:cs="Times New Roman"/>
                      <w:szCs w:val="21"/>
                    </w:rPr>
                    <w:t>压路机</w:t>
                  </w:r>
                </w:p>
              </w:tc>
              <w:tc>
                <w:tcPr>
                  <w:tcW w:w="273" w:type="pct"/>
                  <w:tcBorders>
                    <w:tl2br w:val="nil"/>
                    <w:tr2bl w:val="nil"/>
                  </w:tcBorders>
                  <w:vAlign w:val="center"/>
                </w:tcPr>
                <w:p w14:paraId="4E0DE233">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vAlign w:val="center"/>
                </w:tcPr>
                <w:p w14:paraId="618C8045">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vAlign w:val="center"/>
                </w:tcPr>
                <w:p w14:paraId="5469B50B">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vAlign w:val="center"/>
                </w:tcPr>
                <w:p w14:paraId="25958DC0">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vAlign w:val="center"/>
                </w:tcPr>
                <w:p w14:paraId="62697C5B">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vAlign w:val="center"/>
                </w:tcPr>
                <w:p w14:paraId="6D7C6AD1">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vAlign w:val="center"/>
                </w:tcPr>
                <w:p w14:paraId="744EB5B4">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vAlign w:val="center"/>
                </w:tcPr>
                <w:p w14:paraId="344FDF20">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vAlign w:val="center"/>
                </w:tcPr>
                <w:p w14:paraId="578CC39C">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4E5AD977">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6632C954">
                  <w:pPr>
                    <w:pStyle w:val="11"/>
                    <w:tabs>
                      <w:tab w:val="left" w:pos="3371"/>
                      <w:tab w:val="left" w:pos="7036"/>
                    </w:tabs>
                    <w:kinsoku w:val="0"/>
                    <w:overflowPunct w:val="0"/>
                    <w:spacing w:before="0" w:after="0" w:line="240" w:lineRule="auto"/>
                    <w:ind w:right="0"/>
                    <w:jc w:val="center"/>
                    <w:rPr>
                      <w:b/>
                      <w:bCs/>
                      <w:sz w:val="2"/>
                      <w:szCs w:val="2"/>
                    </w:rPr>
                  </w:pPr>
                </w:p>
              </w:tc>
            </w:tr>
            <w:tr w14:paraId="529D8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shd w:val="clear" w:color="auto" w:fill="auto"/>
                  <w:vAlign w:val="center"/>
                </w:tcPr>
                <w:p w14:paraId="5E5466B6">
                  <w:pPr>
                    <w:pStyle w:val="73"/>
                    <w:kinsoku w:val="0"/>
                    <w:overflowPunct w:val="0"/>
                    <w:jc w:val="center"/>
                    <w:rPr>
                      <w:rFonts w:ascii="Times New Roman" w:hAnsi="Times New Roman" w:cs="Times New Roman"/>
                      <w:szCs w:val="21"/>
                    </w:rPr>
                  </w:pPr>
                  <w:r>
                    <w:rPr>
                      <w:rFonts w:ascii="Times New Roman" w:hAnsi="Times New Roman" w:cs="Times New Roman"/>
                      <w:szCs w:val="21"/>
                    </w:rPr>
                    <w:t>打夯机</w:t>
                  </w:r>
                </w:p>
              </w:tc>
              <w:tc>
                <w:tcPr>
                  <w:tcW w:w="273" w:type="pct"/>
                  <w:tcBorders>
                    <w:tl2br w:val="nil"/>
                    <w:tr2bl w:val="nil"/>
                  </w:tcBorders>
                  <w:shd w:val="clear" w:color="auto" w:fill="auto"/>
                  <w:vAlign w:val="center"/>
                </w:tcPr>
                <w:p w14:paraId="6F5C7BBA">
                  <w:pPr>
                    <w:pStyle w:val="73"/>
                    <w:kinsoku w:val="0"/>
                    <w:overflowPunct w:val="0"/>
                    <w:jc w:val="center"/>
                    <w:rPr>
                      <w:rFonts w:ascii="Times New Roman" w:hAnsi="Times New Roman" w:cs="Times New Roman"/>
                      <w:szCs w:val="21"/>
                    </w:rPr>
                  </w:pPr>
                  <w:r>
                    <w:rPr>
                      <w:rFonts w:ascii="Times New Roman" w:hAnsi="Times New Roman" w:cs="Times New Roman"/>
                      <w:szCs w:val="21"/>
                    </w:rPr>
                    <w:t>85</w:t>
                  </w:r>
                </w:p>
              </w:tc>
              <w:tc>
                <w:tcPr>
                  <w:tcW w:w="454" w:type="pct"/>
                  <w:tcBorders>
                    <w:tl2br w:val="nil"/>
                    <w:tr2bl w:val="nil"/>
                  </w:tcBorders>
                  <w:shd w:val="clear" w:color="auto" w:fill="auto"/>
                  <w:vAlign w:val="center"/>
                </w:tcPr>
                <w:p w14:paraId="390C6087">
                  <w:pPr>
                    <w:pStyle w:val="73"/>
                    <w:kinsoku w:val="0"/>
                    <w:overflowPunct w:val="0"/>
                    <w:jc w:val="center"/>
                    <w:rPr>
                      <w:rFonts w:ascii="Times New Roman" w:hAnsi="Times New Roman" w:cs="Times New Roman"/>
                      <w:szCs w:val="21"/>
                    </w:rPr>
                  </w:pPr>
                  <w:r>
                    <w:rPr>
                      <w:rFonts w:ascii="Times New Roman" w:hAnsi="Times New Roman" w:cs="Times New Roman"/>
                      <w:szCs w:val="21"/>
                    </w:rPr>
                    <w:t>65.0</w:t>
                  </w:r>
                </w:p>
              </w:tc>
              <w:tc>
                <w:tcPr>
                  <w:tcW w:w="364" w:type="pct"/>
                  <w:tcBorders>
                    <w:tl2br w:val="nil"/>
                    <w:tr2bl w:val="nil"/>
                  </w:tcBorders>
                  <w:shd w:val="clear" w:color="auto" w:fill="auto"/>
                  <w:vAlign w:val="center"/>
                </w:tcPr>
                <w:p w14:paraId="1F250AF1">
                  <w:pPr>
                    <w:pStyle w:val="73"/>
                    <w:kinsoku w:val="0"/>
                    <w:overflowPunct w:val="0"/>
                    <w:jc w:val="center"/>
                    <w:rPr>
                      <w:rFonts w:ascii="Times New Roman" w:hAnsi="Times New Roman" w:cs="Times New Roman"/>
                      <w:szCs w:val="21"/>
                    </w:rPr>
                  </w:pPr>
                  <w:r>
                    <w:rPr>
                      <w:rFonts w:ascii="Times New Roman" w:hAnsi="Times New Roman" w:cs="Times New Roman"/>
                      <w:szCs w:val="21"/>
                    </w:rPr>
                    <w:t>59.0</w:t>
                  </w:r>
                </w:p>
              </w:tc>
              <w:tc>
                <w:tcPr>
                  <w:tcW w:w="362" w:type="pct"/>
                  <w:tcBorders>
                    <w:tl2br w:val="nil"/>
                    <w:tr2bl w:val="nil"/>
                  </w:tcBorders>
                  <w:shd w:val="clear" w:color="auto" w:fill="auto"/>
                  <w:vAlign w:val="center"/>
                </w:tcPr>
                <w:p w14:paraId="45FF7CDD">
                  <w:pPr>
                    <w:pStyle w:val="73"/>
                    <w:kinsoku w:val="0"/>
                    <w:overflowPunct w:val="0"/>
                    <w:jc w:val="center"/>
                    <w:rPr>
                      <w:rFonts w:ascii="Times New Roman" w:hAnsi="Times New Roman" w:cs="Times New Roman"/>
                      <w:szCs w:val="21"/>
                    </w:rPr>
                  </w:pPr>
                  <w:r>
                    <w:rPr>
                      <w:rFonts w:ascii="Times New Roman" w:hAnsi="Times New Roman" w:cs="Times New Roman"/>
                      <w:szCs w:val="21"/>
                    </w:rPr>
                    <w:t>53.0</w:t>
                  </w:r>
                </w:p>
              </w:tc>
              <w:tc>
                <w:tcPr>
                  <w:tcW w:w="454" w:type="pct"/>
                  <w:tcBorders>
                    <w:tl2br w:val="nil"/>
                    <w:tr2bl w:val="nil"/>
                  </w:tcBorders>
                  <w:shd w:val="clear" w:color="auto" w:fill="auto"/>
                  <w:vAlign w:val="center"/>
                </w:tcPr>
                <w:p w14:paraId="77E40B16">
                  <w:pPr>
                    <w:pStyle w:val="73"/>
                    <w:kinsoku w:val="0"/>
                    <w:overflowPunct w:val="0"/>
                    <w:jc w:val="center"/>
                    <w:rPr>
                      <w:rFonts w:ascii="Times New Roman" w:hAnsi="Times New Roman" w:cs="Times New Roman"/>
                      <w:szCs w:val="21"/>
                    </w:rPr>
                  </w:pPr>
                  <w:r>
                    <w:rPr>
                      <w:rFonts w:ascii="Times New Roman" w:hAnsi="Times New Roman" w:cs="Times New Roman"/>
                      <w:szCs w:val="21"/>
                    </w:rPr>
                    <w:t>49.4</w:t>
                  </w:r>
                </w:p>
              </w:tc>
              <w:tc>
                <w:tcPr>
                  <w:tcW w:w="454" w:type="pct"/>
                  <w:tcBorders>
                    <w:tl2br w:val="nil"/>
                    <w:tr2bl w:val="nil"/>
                  </w:tcBorders>
                  <w:shd w:val="clear" w:color="auto" w:fill="auto"/>
                  <w:vAlign w:val="center"/>
                </w:tcPr>
                <w:p w14:paraId="7E3D30EA">
                  <w:pPr>
                    <w:pStyle w:val="73"/>
                    <w:kinsoku w:val="0"/>
                    <w:overflowPunct w:val="0"/>
                    <w:jc w:val="center"/>
                    <w:rPr>
                      <w:rFonts w:ascii="Times New Roman" w:hAnsi="Times New Roman" w:cs="Times New Roman"/>
                      <w:szCs w:val="21"/>
                    </w:rPr>
                  </w:pPr>
                  <w:r>
                    <w:rPr>
                      <w:rFonts w:ascii="Times New Roman" w:hAnsi="Times New Roman" w:cs="Times New Roman"/>
                      <w:szCs w:val="21"/>
                    </w:rPr>
                    <w:t>46.9</w:t>
                  </w:r>
                </w:p>
              </w:tc>
              <w:tc>
                <w:tcPr>
                  <w:tcW w:w="454" w:type="pct"/>
                  <w:tcBorders>
                    <w:tl2br w:val="nil"/>
                    <w:tr2bl w:val="nil"/>
                  </w:tcBorders>
                  <w:shd w:val="clear" w:color="auto" w:fill="auto"/>
                  <w:vAlign w:val="center"/>
                </w:tcPr>
                <w:p w14:paraId="24ECF905">
                  <w:pPr>
                    <w:pStyle w:val="73"/>
                    <w:kinsoku w:val="0"/>
                    <w:overflowPunct w:val="0"/>
                    <w:jc w:val="center"/>
                    <w:rPr>
                      <w:rFonts w:ascii="Times New Roman" w:hAnsi="Times New Roman" w:cs="Times New Roman"/>
                      <w:szCs w:val="21"/>
                    </w:rPr>
                  </w:pPr>
                  <w:r>
                    <w:rPr>
                      <w:rFonts w:ascii="Times New Roman" w:hAnsi="Times New Roman" w:cs="Times New Roman"/>
                      <w:szCs w:val="21"/>
                    </w:rPr>
                    <w:t>45.0</w:t>
                  </w:r>
                </w:p>
              </w:tc>
              <w:tc>
                <w:tcPr>
                  <w:tcW w:w="362" w:type="pct"/>
                  <w:tcBorders>
                    <w:tl2br w:val="nil"/>
                    <w:tr2bl w:val="nil"/>
                  </w:tcBorders>
                  <w:shd w:val="clear" w:color="auto" w:fill="auto"/>
                  <w:vAlign w:val="center"/>
                </w:tcPr>
                <w:p w14:paraId="208A54C7">
                  <w:pPr>
                    <w:pStyle w:val="73"/>
                    <w:kinsoku w:val="0"/>
                    <w:overflowPunct w:val="0"/>
                    <w:jc w:val="center"/>
                    <w:rPr>
                      <w:rFonts w:ascii="Times New Roman" w:hAnsi="Times New Roman" w:cs="Times New Roman"/>
                      <w:szCs w:val="21"/>
                    </w:rPr>
                  </w:pPr>
                  <w:r>
                    <w:rPr>
                      <w:rFonts w:ascii="Times New Roman" w:hAnsi="Times New Roman" w:cs="Times New Roman"/>
                      <w:szCs w:val="21"/>
                    </w:rPr>
                    <w:t>41.5</w:t>
                  </w:r>
                </w:p>
              </w:tc>
              <w:tc>
                <w:tcPr>
                  <w:tcW w:w="465" w:type="pct"/>
                  <w:tcBorders>
                    <w:tl2br w:val="nil"/>
                    <w:tr2bl w:val="nil"/>
                  </w:tcBorders>
                  <w:shd w:val="clear" w:color="auto" w:fill="auto"/>
                  <w:vAlign w:val="center"/>
                </w:tcPr>
                <w:p w14:paraId="06EAA382">
                  <w:pPr>
                    <w:pStyle w:val="73"/>
                    <w:kinsoku w:val="0"/>
                    <w:overflowPunct w:val="0"/>
                    <w:jc w:val="center"/>
                    <w:rPr>
                      <w:rFonts w:ascii="Times New Roman" w:hAnsi="Times New Roman" w:cs="Times New Roman"/>
                      <w:szCs w:val="21"/>
                    </w:rPr>
                  </w:pPr>
                  <w:r>
                    <w:rPr>
                      <w:rFonts w:ascii="Times New Roman" w:hAnsi="Times New Roman" w:cs="Times New Roman"/>
                      <w:szCs w:val="21"/>
                    </w:rPr>
                    <w:t>39.0</w:t>
                  </w:r>
                </w:p>
              </w:tc>
              <w:tc>
                <w:tcPr>
                  <w:tcW w:w="356" w:type="pct"/>
                  <w:vMerge w:val="continue"/>
                  <w:tcBorders>
                    <w:tl2br w:val="nil"/>
                    <w:tr2bl w:val="nil"/>
                  </w:tcBorders>
                  <w:vAlign w:val="center"/>
                </w:tcPr>
                <w:p w14:paraId="06985FAC">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797B012E">
                  <w:pPr>
                    <w:pStyle w:val="11"/>
                    <w:tabs>
                      <w:tab w:val="left" w:pos="3371"/>
                      <w:tab w:val="left" w:pos="7036"/>
                    </w:tabs>
                    <w:kinsoku w:val="0"/>
                    <w:overflowPunct w:val="0"/>
                    <w:spacing w:before="0" w:after="0" w:line="240" w:lineRule="auto"/>
                    <w:ind w:right="0"/>
                    <w:jc w:val="center"/>
                    <w:rPr>
                      <w:b/>
                      <w:bCs/>
                      <w:sz w:val="2"/>
                      <w:szCs w:val="2"/>
                    </w:rPr>
                  </w:pPr>
                </w:p>
              </w:tc>
            </w:tr>
            <w:tr w14:paraId="21E8AE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09" w:type="pct"/>
                  <w:tcBorders>
                    <w:tl2br w:val="nil"/>
                    <w:tr2bl w:val="nil"/>
                  </w:tcBorders>
                  <w:vAlign w:val="center"/>
                </w:tcPr>
                <w:p w14:paraId="0C840F71">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合计</w:t>
                  </w:r>
                </w:p>
              </w:tc>
              <w:tc>
                <w:tcPr>
                  <w:tcW w:w="273" w:type="pct"/>
                  <w:tcBorders>
                    <w:tl2br w:val="nil"/>
                    <w:tr2bl w:val="nil"/>
                  </w:tcBorders>
                  <w:vAlign w:val="center"/>
                </w:tcPr>
                <w:p w14:paraId="3DBD003D">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w:t>
                  </w:r>
                </w:p>
              </w:tc>
              <w:tc>
                <w:tcPr>
                  <w:tcW w:w="454" w:type="pct"/>
                  <w:tcBorders>
                    <w:tl2br w:val="nil"/>
                    <w:tr2bl w:val="nil"/>
                  </w:tcBorders>
                  <w:vAlign w:val="center"/>
                </w:tcPr>
                <w:p w14:paraId="6E3FF682">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79</w:t>
                  </w:r>
                </w:p>
              </w:tc>
              <w:tc>
                <w:tcPr>
                  <w:tcW w:w="364" w:type="pct"/>
                  <w:tcBorders>
                    <w:tl2br w:val="nil"/>
                    <w:tr2bl w:val="nil"/>
                  </w:tcBorders>
                  <w:vAlign w:val="center"/>
                </w:tcPr>
                <w:p w14:paraId="47FCBE91">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73</w:t>
                  </w:r>
                </w:p>
              </w:tc>
              <w:tc>
                <w:tcPr>
                  <w:tcW w:w="362" w:type="pct"/>
                  <w:tcBorders>
                    <w:tl2br w:val="nil"/>
                    <w:tr2bl w:val="nil"/>
                  </w:tcBorders>
                  <w:vAlign w:val="center"/>
                </w:tcPr>
                <w:p w14:paraId="56F43CCD">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67</w:t>
                  </w:r>
                </w:p>
              </w:tc>
              <w:tc>
                <w:tcPr>
                  <w:tcW w:w="454" w:type="pct"/>
                  <w:tcBorders>
                    <w:tl2br w:val="nil"/>
                    <w:tr2bl w:val="nil"/>
                  </w:tcBorders>
                  <w:vAlign w:val="center"/>
                </w:tcPr>
                <w:p w14:paraId="56366ED9">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64</w:t>
                  </w:r>
                </w:p>
              </w:tc>
              <w:tc>
                <w:tcPr>
                  <w:tcW w:w="454" w:type="pct"/>
                  <w:tcBorders>
                    <w:tl2br w:val="nil"/>
                    <w:tr2bl w:val="nil"/>
                  </w:tcBorders>
                  <w:vAlign w:val="center"/>
                </w:tcPr>
                <w:p w14:paraId="1520A806">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61</w:t>
                  </w:r>
                </w:p>
              </w:tc>
              <w:tc>
                <w:tcPr>
                  <w:tcW w:w="454" w:type="pct"/>
                  <w:tcBorders>
                    <w:tl2br w:val="nil"/>
                    <w:tr2bl w:val="nil"/>
                  </w:tcBorders>
                  <w:vAlign w:val="center"/>
                </w:tcPr>
                <w:p w14:paraId="2C445093">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59</w:t>
                  </w:r>
                </w:p>
              </w:tc>
              <w:tc>
                <w:tcPr>
                  <w:tcW w:w="362" w:type="pct"/>
                  <w:tcBorders>
                    <w:tl2br w:val="nil"/>
                    <w:tr2bl w:val="nil"/>
                  </w:tcBorders>
                  <w:vAlign w:val="center"/>
                </w:tcPr>
                <w:p w14:paraId="5EF8B5C1">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56</w:t>
                  </w:r>
                </w:p>
              </w:tc>
              <w:tc>
                <w:tcPr>
                  <w:tcW w:w="465" w:type="pct"/>
                  <w:tcBorders>
                    <w:tl2br w:val="nil"/>
                    <w:tr2bl w:val="nil"/>
                  </w:tcBorders>
                  <w:vAlign w:val="center"/>
                </w:tcPr>
                <w:p w14:paraId="741CD41E">
                  <w:pPr>
                    <w:pStyle w:val="73"/>
                    <w:kinsoku w:val="0"/>
                    <w:overflowPunct w:val="0"/>
                    <w:jc w:val="center"/>
                    <w:rPr>
                      <w:rFonts w:ascii="Times New Roman" w:hAnsi="Times New Roman" w:cs="Times New Roman"/>
                      <w:szCs w:val="21"/>
                      <w:lang w:val="en-US"/>
                    </w:rPr>
                  </w:pPr>
                  <w:r>
                    <w:rPr>
                      <w:rFonts w:ascii="Times New Roman" w:hAnsi="Times New Roman" w:cs="Times New Roman"/>
                      <w:szCs w:val="21"/>
                      <w:lang w:val="en-US"/>
                    </w:rPr>
                    <w:t>53</w:t>
                  </w:r>
                </w:p>
              </w:tc>
              <w:tc>
                <w:tcPr>
                  <w:tcW w:w="356" w:type="pct"/>
                  <w:vMerge w:val="continue"/>
                  <w:tcBorders>
                    <w:tl2br w:val="nil"/>
                    <w:tr2bl w:val="nil"/>
                  </w:tcBorders>
                  <w:vAlign w:val="center"/>
                </w:tcPr>
                <w:p w14:paraId="0B7F1DC5">
                  <w:pPr>
                    <w:pStyle w:val="11"/>
                    <w:tabs>
                      <w:tab w:val="left" w:pos="3371"/>
                      <w:tab w:val="left" w:pos="7036"/>
                    </w:tabs>
                    <w:kinsoku w:val="0"/>
                    <w:overflowPunct w:val="0"/>
                    <w:spacing w:before="0" w:after="0" w:line="240" w:lineRule="auto"/>
                    <w:ind w:right="0"/>
                    <w:jc w:val="center"/>
                    <w:rPr>
                      <w:b/>
                      <w:bCs/>
                      <w:sz w:val="2"/>
                      <w:szCs w:val="2"/>
                    </w:rPr>
                  </w:pPr>
                </w:p>
              </w:tc>
              <w:tc>
                <w:tcPr>
                  <w:tcW w:w="390" w:type="pct"/>
                  <w:vMerge w:val="continue"/>
                  <w:tcBorders>
                    <w:tl2br w:val="nil"/>
                    <w:tr2bl w:val="nil"/>
                  </w:tcBorders>
                  <w:vAlign w:val="center"/>
                </w:tcPr>
                <w:p w14:paraId="1ADB2A99">
                  <w:pPr>
                    <w:pStyle w:val="11"/>
                    <w:tabs>
                      <w:tab w:val="left" w:pos="3371"/>
                      <w:tab w:val="left" w:pos="7036"/>
                    </w:tabs>
                    <w:kinsoku w:val="0"/>
                    <w:overflowPunct w:val="0"/>
                    <w:spacing w:before="0" w:after="0" w:line="240" w:lineRule="auto"/>
                    <w:ind w:right="0"/>
                    <w:jc w:val="center"/>
                    <w:rPr>
                      <w:b/>
                      <w:bCs/>
                      <w:sz w:val="2"/>
                      <w:szCs w:val="2"/>
                    </w:rPr>
                  </w:pPr>
                </w:p>
              </w:tc>
            </w:tr>
          </w:tbl>
          <w:p w14:paraId="26F100E1">
            <w:pPr>
              <w:widowControl/>
              <w:adjustRightInd w:val="0"/>
              <w:snapToGrid w:val="0"/>
              <w:spacing w:line="480" w:lineRule="exact"/>
              <w:ind w:firstLine="480" w:firstLineChars="200"/>
              <w:rPr>
                <w:sz w:val="24"/>
              </w:rPr>
            </w:pPr>
            <w:r>
              <w:rPr>
                <w:sz w:val="24"/>
              </w:rPr>
              <w:t>本工程夜间不施工。由上表可知，距场界40m处，各施工机械噪声可降到70dB（A）以下，可满足《建筑施工场界环境噪声排放标准》(GB12523-2011)噪声昼间排放限值（昼间70dB（A））。</w:t>
            </w:r>
          </w:p>
          <w:p w14:paraId="5CFB0D1A">
            <w:pPr>
              <w:widowControl/>
              <w:adjustRightInd w:val="0"/>
              <w:snapToGrid w:val="0"/>
              <w:spacing w:line="480" w:lineRule="exact"/>
              <w:ind w:firstLine="480" w:firstLineChars="200"/>
              <w:rPr>
                <w:sz w:val="24"/>
              </w:rPr>
            </w:pPr>
            <w:r>
              <w:rPr>
                <w:sz w:val="24"/>
              </w:rPr>
              <w:t>项目风电机组、升压站周边300m内无居民点。建设单位施工过程中应选取低噪声设备，并做好噪声污染防治措施，建议设置施工围挡，并尽量避开居民区的休息时间，除抢修、抢险作业外，夜间不施工。施工噪声的影响特点为短期性、暂时性，一旦施工活动结束，施工噪声也就随之结束。施工单位为保护沿线居民的正常生活和休息，应采取必要的噪声控制管理措施，降低施工噪声对环境的影响。此外，还应在声环境敏感点处张贴告示，提前告知。施工时采取减振、降噪措施，合理安排施工时间，通过严格管理，将噪声降到最低，并且施工活动是短暂的，工程完工后噪声影响随之消失。</w:t>
            </w:r>
          </w:p>
          <w:p w14:paraId="20317C08">
            <w:pPr>
              <w:pStyle w:val="75"/>
              <w:adjustRightInd w:val="0"/>
              <w:snapToGrid w:val="0"/>
              <w:spacing w:line="480" w:lineRule="exact"/>
              <w:ind w:firstLine="0"/>
              <w:rPr>
                <w:b/>
                <w:bCs/>
                <w:sz w:val="24"/>
                <w:szCs w:val="24"/>
              </w:rPr>
            </w:pPr>
            <w:r>
              <w:rPr>
                <w:b/>
                <w:bCs/>
                <w:sz w:val="24"/>
                <w:szCs w:val="24"/>
              </w:rPr>
              <w:t>4、施工期废水影响分析</w:t>
            </w:r>
          </w:p>
          <w:p w14:paraId="5BAA38D8">
            <w:pPr>
              <w:widowControl/>
              <w:adjustRightInd w:val="0"/>
              <w:snapToGrid w:val="0"/>
              <w:spacing w:line="480" w:lineRule="exact"/>
              <w:ind w:firstLine="480" w:firstLineChars="200"/>
              <w:rPr>
                <w:sz w:val="24"/>
              </w:rPr>
            </w:pPr>
            <w:r>
              <w:rPr>
                <w:sz w:val="24"/>
              </w:rPr>
              <w:t>施工期废水主要包括车辆冲洗废水、基坑降水</w:t>
            </w:r>
            <w:r>
              <w:rPr>
                <w:rFonts w:hint="eastAsia"/>
                <w:sz w:val="24"/>
              </w:rPr>
              <w:t>、混凝土养护废水</w:t>
            </w:r>
            <w:r>
              <w:rPr>
                <w:sz w:val="24"/>
              </w:rPr>
              <w:t>和施工人员产生的生活污水等。</w:t>
            </w:r>
          </w:p>
          <w:p w14:paraId="3EE11B64">
            <w:pPr>
              <w:widowControl/>
              <w:adjustRightInd w:val="0"/>
              <w:snapToGrid w:val="0"/>
              <w:spacing w:line="480" w:lineRule="exact"/>
              <w:ind w:firstLine="480" w:firstLineChars="200"/>
              <w:rPr>
                <w:sz w:val="24"/>
              </w:rPr>
            </w:pPr>
            <w:r>
              <w:rPr>
                <w:sz w:val="24"/>
              </w:rPr>
              <w:t>施工现场设置临时沉淀池，施工过程中产生的车辆冲洗废水，经沉淀后回用于施工场地洒水降尘；基坑降水排入沉淀池，沉淀后回用于施工场地洒水降尘，施工后对临时沉淀池及时平整并覆土掩埋。混凝土养护废水全部蒸发，无废水外排。</w:t>
            </w:r>
          </w:p>
          <w:p w14:paraId="40E9F19B">
            <w:pPr>
              <w:widowControl/>
              <w:adjustRightInd w:val="0"/>
              <w:snapToGrid w:val="0"/>
              <w:spacing w:line="480" w:lineRule="exact"/>
              <w:ind w:firstLine="480" w:firstLineChars="200"/>
              <w:rPr>
                <w:sz w:val="24"/>
              </w:rPr>
            </w:pPr>
            <w:r>
              <w:rPr>
                <w:sz w:val="24"/>
              </w:rPr>
              <w:t>由于施工时间短且施工人数少，故生活污水量也不大。施工营地设环保型临时旱厕收集生活废水，委托城市管理部门定期清掏，不直接排入地表水体，不会对施工现场周围水环境质量产生不利影响。</w:t>
            </w:r>
          </w:p>
          <w:p w14:paraId="34CBCF6C">
            <w:pPr>
              <w:widowControl/>
              <w:adjustRightInd w:val="0"/>
              <w:snapToGrid w:val="0"/>
              <w:spacing w:line="480" w:lineRule="exact"/>
              <w:ind w:firstLine="480" w:firstLineChars="200"/>
              <w:rPr>
                <w:sz w:val="24"/>
              </w:rPr>
            </w:pPr>
            <w:r>
              <w:rPr>
                <w:sz w:val="24"/>
              </w:rPr>
              <w:t>建设单位应认真落实施工期废水的处置措施，施工期产生的废水严禁向施工区域邻近的农灌渠和水域倾倒，防止对选址区域水体环境造成污染。</w:t>
            </w:r>
          </w:p>
          <w:p w14:paraId="50359760">
            <w:pPr>
              <w:pStyle w:val="75"/>
              <w:adjustRightInd w:val="0"/>
              <w:snapToGrid w:val="0"/>
              <w:spacing w:line="480" w:lineRule="exact"/>
              <w:ind w:firstLine="0"/>
              <w:rPr>
                <w:b/>
                <w:bCs/>
                <w:sz w:val="24"/>
                <w:szCs w:val="24"/>
              </w:rPr>
            </w:pPr>
            <w:r>
              <w:rPr>
                <w:b/>
                <w:bCs/>
                <w:sz w:val="24"/>
                <w:szCs w:val="24"/>
              </w:rPr>
              <w:t>5、施工期固体废物影响分析</w:t>
            </w:r>
          </w:p>
          <w:p w14:paraId="7218DB2B">
            <w:pPr>
              <w:widowControl/>
              <w:adjustRightInd w:val="0"/>
              <w:snapToGrid w:val="0"/>
              <w:spacing w:line="480" w:lineRule="exact"/>
              <w:ind w:firstLine="480" w:firstLineChars="200"/>
              <w:rPr>
                <w:sz w:val="24"/>
              </w:rPr>
            </w:pPr>
            <w:r>
              <w:rPr>
                <w:sz w:val="24"/>
              </w:rPr>
              <w:t>本项目风电机组基础利用坑塘、沟渠及其边坡建设。坑塘处施工清理出的淤泥层交由许可单位采用罐车运送至相关管理部门指定地点处理。沟渠边空地及沟渠边坡处不涉及清淤，沟渠内风机基础搭设施工止水围堰，围堰内抽水、清淤，淤泥交由许可单位采用罐车运送至相关管理部门指定地点处置。</w:t>
            </w:r>
            <w:r>
              <w:rPr>
                <w:rFonts w:hint="eastAsia"/>
                <w:sz w:val="24"/>
              </w:rPr>
              <w:t>本项目在临近风电机组基础的吊装平台上设置泥浆循环池，泥浆循环使用。打桩结束后，剩余的泥浆交由有资质单位采用罐车运送至相关管理部门指定地点处理，产生的泥渣</w:t>
            </w:r>
            <w:r>
              <w:rPr>
                <w:bCs/>
                <w:snapToGrid w:val="0"/>
                <w:sz w:val="24"/>
              </w:rPr>
              <w:t>用于修筑检修道路或回填场坪使用</w:t>
            </w:r>
            <w:r>
              <w:rPr>
                <w:rFonts w:hint="eastAsia"/>
                <w:sz w:val="24"/>
              </w:rPr>
              <w:t>。</w:t>
            </w:r>
            <w:r>
              <w:rPr>
                <w:sz w:val="24"/>
              </w:rPr>
              <w:t>拉管施工时设泥浆罐，废弃泥浆运送至相关管理部门指定地点处置。施工过程中产生的挖方临时堆放于施工位置处暂存，在裸露表面苫盖密目网，最终全部用于回填。</w:t>
            </w:r>
          </w:p>
          <w:p w14:paraId="0587E86E">
            <w:pPr>
              <w:widowControl/>
              <w:adjustRightInd w:val="0"/>
              <w:snapToGrid w:val="0"/>
              <w:spacing w:line="480" w:lineRule="exact"/>
              <w:ind w:firstLine="480" w:firstLineChars="200"/>
              <w:rPr>
                <w:sz w:val="24"/>
              </w:rPr>
            </w:pPr>
            <w:r>
              <w:rPr>
                <w:sz w:val="24"/>
              </w:rPr>
              <w:t>施工建筑废物主要是施工过程中产生的各种废建筑材料，如碎砖块、水泥块等；施工期各种固体废物长期堆放容易干燥起尘，废物运输过程如果处置不当，容易造成洒漏而扩大污染范围，硬质建材洒漏后受到碾压还会损坏路面。施工建筑废物应及时运至相关管理部门指定地点处理。</w:t>
            </w:r>
          </w:p>
          <w:p w14:paraId="23E87950">
            <w:pPr>
              <w:widowControl/>
              <w:adjustRightInd w:val="0"/>
              <w:snapToGrid w:val="0"/>
              <w:spacing w:line="480" w:lineRule="exact"/>
              <w:ind w:firstLine="480" w:firstLineChars="200"/>
              <w:rPr>
                <w:bCs/>
                <w:snapToGrid w:val="0"/>
                <w:sz w:val="24"/>
                <w:szCs w:val="20"/>
              </w:rPr>
            </w:pPr>
            <w:r>
              <w:rPr>
                <w:bCs/>
                <w:snapToGrid w:val="0"/>
                <w:sz w:val="24"/>
                <w:szCs w:val="20"/>
              </w:rPr>
              <w:t>设备安装产生的废焊材、废金属边角料等固废等由厂家回收。</w:t>
            </w:r>
          </w:p>
          <w:p w14:paraId="1D35EAFB">
            <w:pPr>
              <w:widowControl/>
              <w:adjustRightInd w:val="0"/>
              <w:snapToGrid w:val="0"/>
              <w:spacing w:line="480" w:lineRule="exact"/>
              <w:ind w:firstLine="480" w:firstLineChars="200"/>
              <w:rPr>
                <w:sz w:val="24"/>
              </w:rPr>
            </w:pPr>
            <w:r>
              <w:rPr>
                <w:sz w:val="24"/>
              </w:rPr>
              <w:t>生活垃圾由施工工人产生，主要是工人废弃物品，</w:t>
            </w:r>
            <w:r>
              <w:rPr>
                <w:bCs/>
                <w:snapToGrid w:val="0"/>
                <w:sz w:val="24"/>
                <w:szCs w:val="20"/>
              </w:rPr>
              <w:t>施工期生活垃圾要定点集中收集，不得任意堆放和丢弃，生活垃圾定期由施工方统一组织清运，交由市政管理部门统一处理，不会对周边环境造成影响。</w:t>
            </w:r>
          </w:p>
          <w:p w14:paraId="43EC6D56">
            <w:pPr>
              <w:widowControl/>
              <w:adjustRightInd w:val="0"/>
              <w:snapToGrid w:val="0"/>
              <w:spacing w:line="480" w:lineRule="exact"/>
              <w:ind w:firstLine="480" w:firstLineChars="200"/>
              <w:rPr>
                <w:sz w:val="24"/>
              </w:rPr>
            </w:pPr>
            <w:r>
              <w:rPr>
                <w:sz w:val="24"/>
              </w:rPr>
              <w:t>本项目施工期产生的固体废物严禁向施工区域邻近的河流水体排放和倾倒。</w:t>
            </w:r>
          </w:p>
          <w:p w14:paraId="2B595052">
            <w:pPr>
              <w:widowControl/>
              <w:adjustRightInd w:val="0"/>
              <w:snapToGrid w:val="0"/>
              <w:spacing w:line="480" w:lineRule="exact"/>
              <w:ind w:firstLine="480" w:firstLineChars="200"/>
              <w:rPr>
                <w:sz w:val="24"/>
              </w:rPr>
            </w:pPr>
            <w:r>
              <w:rPr>
                <w:sz w:val="24"/>
              </w:rPr>
              <w:t>通过采取必要的污染防治措施后，施工期固体废物能够得到妥善处置，不会对环境造成二次污染。</w:t>
            </w:r>
          </w:p>
          <w:p w14:paraId="7E33C27A">
            <w:pPr>
              <w:widowControl/>
              <w:adjustRightInd w:val="0"/>
              <w:snapToGrid w:val="0"/>
              <w:spacing w:line="480" w:lineRule="exact"/>
              <w:ind w:firstLine="480" w:firstLineChars="200"/>
              <w:rPr>
                <w:sz w:val="24"/>
              </w:rPr>
            </w:pPr>
          </w:p>
          <w:p w14:paraId="09C61782">
            <w:pPr>
              <w:widowControl/>
              <w:adjustRightInd w:val="0"/>
              <w:snapToGrid w:val="0"/>
              <w:spacing w:line="480" w:lineRule="exact"/>
              <w:ind w:firstLine="480" w:firstLineChars="200"/>
              <w:rPr>
                <w:sz w:val="24"/>
              </w:rPr>
            </w:pPr>
          </w:p>
          <w:p w14:paraId="5333B194">
            <w:pPr>
              <w:widowControl/>
              <w:adjustRightInd w:val="0"/>
              <w:snapToGrid w:val="0"/>
              <w:spacing w:line="480" w:lineRule="exact"/>
              <w:ind w:firstLine="480" w:firstLineChars="200"/>
              <w:rPr>
                <w:sz w:val="24"/>
              </w:rPr>
            </w:pPr>
          </w:p>
          <w:p w14:paraId="6FABB8CD">
            <w:pPr>
              <w:widowControl/>
              <w:adjustRightInd w:val="0"/>
              <w:snapToGrid w:val="0"/>
              <w:spacing w:line="480" w:lineRule="exact"/>
              <w:ind w:firstLine="480" w:firstLineChars="200"/>
              <w:rPr>
                <w:sz w:val="24"/>
              </w:rPr>
            </w:pPr>
          </w:p>
          <w:p w14:paraId="7852C17A">
            <w:pPr>
              <w:widowControl/>
              <w:adjustRightInd w:val="0"/>
              <w:snapToGrid w:val="0"/>
              <w:spacing w:line="480" w:lineRule="exact"/>
              <w:rPr>
                <w:sz w:val="24"/>
              </w:rPr>
            </w:pPr>
          </w:p>
        </w:tc>
      </w:tr>
      <w:tr w14:paraId="0550A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 w:type="pct"/>
            <w:tcMar>
              <w:left w:w="28" w:type="dxa"/>
              <w:right w:w="28" w:type="dxa"/>
            </w:tcMar>
            <w:vAlign w:val="center"/>
          </w:tcPr>
          <w:p w14:paraId="33AF7C05">
            <w:pPr>
              <w:pStyle w:val="2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bCs/>
                <w:kern w:val="2"/>
                <w:szCs w:val="24"/>
              </w:rPr>
              <w:t>运营期生态环境影响分析</w:t>
            </w:r>
          </w:p>
        </w:tc>
        <w:tc>
          <w:tcPr>
            <w:tcW w:w="4784" w:type="pct"/>
          </w:tcPr>
          <w:p w14:paraId="2C66D920">
            <w:pPr>
              <w:widowControl/>
              <w:adjustRightInd w:val="0"/>
              <w:snapToGrid w:val="0"/>
              <w:spacing w:line="480" w:lineRule="exact"/>
              <w:ind w:firstLine="480" w:firstLineChars="200"/>
              <w:rPr>
                <w:sz w:val="24"/>
              </w:rPr>
            </w:pPr>
            <w:r>
              <w:rPr>
                <w:sz w:val="24"/>
              </w:rPr>
              <w:t>风机叶片在风力带动下将风能转变为机械能，在齿轮箱和发电机作用下机械能转变为电能，发电机出口电压为1.14kV。每台风力发电机通过一台8500kVA升压变压器，将机端电压升至35kV并接入35kV集电线路，经35kV集电线路送至220kV升压站。升压站外送线路不在本次评价范围内。</w:t>
            </w:r>
          </w:p>
          <w:p w14:paraId="04C696E4">
            <w:pPr>
              <w:widowControl/>
              <w:adjustRightInd w:val="0"/>
              <w:snapToGrid w:val="0"/>
              <w:spacing w:line="480" w:lineRule="exact"/>
              <w:ind w:firstLine="482" w:firstLineChars="200"/>
              <w:rPr>
                <w:sz w:val="24"/>
              </w:rPr>
            </w:pPr>
            <w:r>
              <w:rPr>
                <w:b/>
                <w:bCs/>
                <w:sz w:val="24"/>
              </w:rPr>
              <mc:AlternateContent>
                <mc:Choice Requires="wps">
                  <w:drawing>
                    <wp:anchor distT="0" distB="0" distL="114300" distR="114300" simplePos="0" relativeHeight="251670528" behindDoc="0" locked="0" layoutInCell="1" allowOverlap="1">
                      <wp:simplePos x="0" y="0"/>
                      <wp:positionH relativeFrom="column">
                        <wp:posOffset>4186555</wp:posOffset>
                      </wp:positionH>
                      <wp:positionV relativeFrom="paragraph">
                        <wp:posOffset>2927985</wp:posOffset>
                      </wp:positionV>
                      <wp:extent cx="643890" cy="226695"/>
                      <wp:effectExtent l="5080" t="4445" r="11430" b="10160"/>
                      <wp:wrapNone/>
                      <wp:docPr id="8" name="矩形 2"/>
                      <wp:cNvGraphicFramePr/>
                      <a:graphic xmlns:a="http://schemas.openxmlformats.org/drawingml/2006/main">
                        <a:graphicData uri="http://schemas.microsoft.com/office/word/2010/wordprocessingShape">
                          <wps:wsp>
                            <wps:cNvSpPr/>
                            <wps:spPr>
                              <a:xfrm>
                                <a:off x="0" y="0"/>
                                <a:ext cx="643890" cy="2266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05B84">
                                  <w:pPr>
                                    <w:spacing w:line="0" w:lineRule="atLeast"/>
                                    <w:jc w:val="center"/>
                                    <w:rPr>
                                      <w:b/>
                                      <w:sz w:val="15"/>
                                      <w:szCs w:val="15"/>
                                    </w:rPr>
                                  </w:pPr>
                                  <w:r>
                                    <w:rPr>
                                      <w:rFonts w:hint="eastAsia"/>
                                      <w:b/>
                                      <w:sz w:val="15"/>
                                      <w:szCs w:val="15"/>
                                    </w:rPr>
                                    <w:t>城市电网</w:t>
                                  </w:r>
                                </w:p>
                              </w:txbxContent>
                            </wps:txbx>
                            <wps:bodyPr anchor="ctr" anchorCtr="0" upright="1"/>
                          </wps:wsp>
                        </a:graphicData>
                      </a:graphic>
                    </wp:anchor>
                  </w:drawing>
                </mc:Choice>
                <mc:Fallback>
                  <w:pict>
                    <v:rect id="矩形 2" o:spid="_x0000_s1026" o:spt="1" style="position:absolute;left:0pt;margin-left:329.65pt;margin-top:230.55pt;height:17.85pt;width:50.7pt;z-index:251670528;v-text-anchor:middle;mso-width-relative:page;mso-height-relative:page;" fillcolor="#FFFFFF" filled="t" stroked="t" coordsize="21600,21600" o:gfxdata="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OQl37cAAAACwEAAA8AAAAAAAAA&#10;AQAgAAAAIgAAAGRycy9kb3ducmV2LnhtbFBLAQIUABQAAAAIAIdO4kDWpq4IDQIAAEMEAAAOAAAA&#10;AAAAAAEAIAAAACsBAABkcnMvZTJvRG9jLnhtbFBLBQYAAAAABgAGAFkBAACqBQAAAAA=&#10;">
                      <v:fill on="t" focussize="0,0"/>
                      <v:stroke color="#000000" joinstyle="miter"/>
                      <v:imagedata o:title=""/>
                      <o:lock v:ext="edit" aspectratio="f"/>
                      <v:textbox>
                        <w:txbxContent>
                          <w:p w14:paraId="16505B84">
                            <w:pPr>
                              <w:spacing w:line="0" w:lineRule="atLeast"/>
                              <w:jc w:val="center"/>
                              <w:rPr>
                                <w:b/>
                                <w:sz w:val="15"/>
                                <w:szCs w:val="15"/>
                              </w:rPr>
                            </w:pPr>
                            <w:r>
                              <w:rPr>
                                <w:rFonts w:hint="eastAsia"/>
                                <w:b/>
                                <w:sz w:val="15"/>
                                <w:szCs w:val="15"/>
                              </w:rPr>
                              <w:t>城市电网</w:t>
                            </w:r>
                          </w:p>
                        </w:txbxContent>
                      </v:textbox>
                    </v:rect>
                  </w:pict>
                </mc:Fallback>
              </mc:AlternateContent>
            </w:r>
            <w:r>
              <w:rPr>
                <w:b/>
                <w:bCs/>
                <w:sz w:val="24"/>
              </w:rPr>
              <mc:AlternateContent>
                <mc:Choice Requires="wps">
                  <w:drawing>
                    <wp:anchor distT="0" distB="0" distL="114300" distR="114300" simplePos="0" relativeHeight="251671552" behindDoc="0" locked="0" layoutInCell="1" allowOverlap="1">
                      <wp:simplePos x="0" y="0"/>
                      <wp:positionH relativeFrom="column">
                        <wp:posOffset>4471035</wp:posOffset>
                      </wp:positionH>
                      <wp:positionV relativeFrom="paragraph">
                        <wp:posOffset>2409825</wp:posOffset>
                      </wp:positionV>
                      <wp:extent cx="0" cy="511810"/>
                      <wp:effectExtent l="38100" t="0" r="38100" b="8890"/>
                      <wp:wrapNone/>
                      <wp:docPr id="9" name="自选图形 3"/>
                      <wp:cNvGraphicFramePr/>
                      <a:graphic xmlns:a="http://schemas.openxmlformats.org/drawingml/2006/main">
                        <a:graphicData uri="http://schemas.microsoft.com/office/word/2010/wordprocessingShape">
                          <wps:wsp>
                            <wps:cNvCnPr/>
                            <wps:spPr>
                              <a:xfrm>
                                <a:off x="0" y="0"/>
                                <a:ext cx="0" cy="511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margin-left:352.05pt;margin-top:189.75pt;height:40.3pt;width:0pt;z-index:251671552;mso-width-relative:page;mso-height-relative:page;" filled="f" stroked="t" coordsize="21600,21600" o:gfxdata="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XVB7vaAAAACwEAAA8AAAAAAAAAAQAgAAAAIgAAAGRycy9kb3ducmV2&#10;LnhtbFBLAQIUABQAAAAIAIdO4kBSDB1B+gEAAOYDAAAOAAAAAAAAAAEAIAAAACkBAABkcnMvZTJv&#10;RG9jLnhtbFBLBQYAAAAABgAGAFkBAACVBQAAAAA=&#10;">
                      <v:fill on="f" focussize="0,0"/>
                      <v:stroke color="#000000" joinstyle="round" endarrow="block"/>
                      <v:imagedata o:title=""/>
                      <o:lock v:ext="edit" aspectratio="f"/>
                    </v:shape>
                  </w:pict>
                </mc:Fallback>
              </mc:AlternateContent>
            </w:r>
            <w:r>
              <w:rPr>
                <w:b/>
                <w:bCs/>
                <w:sz w:val="24"/>
              </w:rPr>
              <mc:AlternateContent>
                <mc:Choice Requires="wps">
                  <w:drawing>
                    <wp:anchor distT="0" distB="0" distL="114300" distR="114300" simplePos="0" relativeHeight="251669504" behindDoc="0" locked="0" layoutInCell="1" allowOverlap="1">
                      <wp:simplePos x="0" y="0"/>
                      <wp:positionH relativeFrom="column">
                        <wp:posOffset>4154805</wp:posOffset>
                      </wp:positionH>
                      <wp:positionV relativeFrom="paragraph">
                        <wp:posOffset>2080260</wp:posOffset>
                      </wp:positionV>
                      <wp:extent cx="643890" cy="329565"/>
                      <wp:effectExtent l="5080" t="4445" r="11430" b="8890"/>
                      <wp:wrapNone/>
                      <wp:docPr id="7" name="矩形 4"/>
                      <wp:cNvGraphicFramePr/>
                      <a:graphic xmlns:a="http://schemas.openxmlformats.org/drawingml/2006/main">
                        <a:graphicData uri="http://schemas.microsoft.com/office/word/2010/wordprocessingShape">
                          <wps:wsp>
                            <wps:cNvSpPr/>
                            <wps:spPr>
                              <a:xfrm>
                                <a:off x="0" y="0"/>
                                <a:ext cx="64389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0969F">
                                  <w:pPr>
                                    <w:spacing w:line="0" w:lineRule="atLeast"/>
                                    <w:jc w:val="center"/>
                                    <w:rPr>
                                      <w:b/>
                                      <w:sz w:val="15"/>
                                      <w:szCs w:val="15"/>
                                    </w:rPr>
                                  </w:pPr>
                                  <w:r>
                                    <w:rPr>
                                      <w:rFonts w:hint="eastAsia"/>
                                      <w:b/>
                                      <w:sz w:val="15"/>
                                      <w:szCs w:val="15"/>
                                    </w:rPr>
                                    <w:t>装备区220kV站</w:t>
                                  </w:r>
                                </w:p>
                              </w:txbxContent>
                            </wps:txbx>
                            <wps:bodyPr anchor="ctr" anchorCtr="0" upright="1"/>
                          </wps:wsp>
                        </a:graphicData>
                      </a:graphic>
                    </wp:anchor>
                  </w:drawing>
                </mc:Choice>
                <mc:Fallback>
                  <w:pict>
                    <v:rect id="矩形 4" o:spid="_x0000_s1026" o:spt="1" style="position:absolute;left:0pt;margin-left:327.15pt;margin-top:163.8pt;height:25.95pt;width:50.7pt;z-index:251669504;v-text-anchor:middle;mso-width-relative:page;mso-height-relative:page;" fillcolor="#FFFFFF" filled="t" stroked="t" coordsize="21600,21600" o:gfxdata="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GbGt3AAAAAsBAAAPAAAAAAAA&#10;AAEAIAAAACIAAABkcnMvZG93bnJldi54bWxQSwECFAAUAAAACACHTuJAU9plEQ4CAABDBAAADgAA&#10;AAAAAAABACAAAAArAQAAZHJzL2Uyb0RvYy54bWxQSwUGAAAAAAYABgBZAQAAqwUAAAAA&#10;">
                      <v:fill on="t" focussize="0,0"/>
                      <v:stroke color="#000000" joinstyle="miter"/>
                      <v:imagedata o:title=""/>
                      <o:lock v:ext="edit" aspectratio="f"/>
                      <v:textbox>
                        <w:txbxContent>
                          <w:p w14:paraId="6810969F">
                            <w:pPr>
                              <w:spacing w:line="0" w:lineRule="atLeast"/>
                              <w:jc w:val="center"/>
                              <w:rPr>
                                <w:b/>
                                <w:sz w:val="15"/>
                                <w:szCs w:val="15"/>
                              </w:rPr>
                            </w:pPr>
                            <w:r>
                              <w:rPr>
                                <w:rFonts w:hint="eastAsia"/>
                                <w:b/>
                                <w:sz w:val="15"/>
                                <w:szCs w:val="15"/>
                              </w:rPr>
                              <w:t>装备区220kV站</w:t>
                            </w:r>
                          </w:p>
                        </w:txbxContent>
                      </v:textbox>
                    </v:rect>
                  </w:pict>
                </mc:Fallback>
              </mc:AlternateContent>
            </w:r>
            <w:r>
              <w:rPr>
                <w:b/>
                <w:bCs/>
                <w:sz w:val="24"/>
              </w:rPr>
              <mc:AlternateContent>
                <mc:Choice Requires="wps">
                  <w:drawing>
                    <wp:anchor distT="0" distB="0" distL="114300" distR="114300" simplePos="0" relativeHeight="251668480" behindDoc="0" locked="0" layoutInCell="1" allowOverlap="1">
                      <wp:simplePos x="0" y="0"/>
                      <wp:positionH relativeFrom="column">
                        <wp:posOffset>3486150</wp:posOffset>
                      </wp:positionH>
                      <wp:positionV relativeFrom="paragraph">
                        <wp:posOffset>1923415</wp:posOffset>
                      </wp:positionV>
                      <wp:extent cx="709295" cy="227330"/>
                      <wp:effectExtent l="0" t="0" r="1905" b="1270"/>
                      <wp:wrapNone/>
                      <wp:docPr id="5" name="矩形 5"/>
                      <wp:cNvGraphicFramePr/>
                      <a:graphic xmlns:a="http://schemas.openxmlformats.org/drawingml/2006/main">
                        <a:graphicData uri="http://schemas.microsoft.com/office/word/2010/wordprocessingShape">
                          <wps:wsp>
                            <wps:cNvSpPr/>
                            <wps:spPr>
                              <a:xfrm>
                                <a:off x="0" y="0"/>
                                <a:ext cx="709295" cy="227330"/>
                              </a:xfrm>
                              <a:prstGeom prst="rect">
                                <a:avLst/>
                              </a:prstGeom>
                              <a:solidFill>
                                <a:srgbClr val="FFFFFF"/>
                              </a:solidFill>
                              <a:ln>
                                <a:noFill/>
                              </a:ln>
                            </wps:spPr>
                            <wps:txbx>
                              <w:txbxContent>
                                <w:p w14:paraId="518AC006">
                                  <w:pPr>
                                    <w:spacing w:line="0" w:lineRule="atLeast"/>
                                    <w:rPr>
                                      <w:b/>
                                      <w:sz w:val="15"/>
                                      <w:szCs w:val="15"/>
                                    </w:rPr>
                                  </w:pPr>
                                  <w:r>
                                    <w:rPr>
                                      <w:rFonts w:hint="eastAsia"/>
                                      <w:b/>
                                      <w:sz w:val="15"/>
                                      <w:szCs w:val="15"/>
                                    </w:rPr>
                                    <w:t>220kV线路</w:t>
                                  </w:r>
                                </w:p>
                              </w:txbxContent>
                            </wps:txbx>
                            <wps:bodyPr anchor="ctr" anchorCtr="0" upright="1"/>
                          </wps:wsp>
                        </a:graphicData>
                      </a:graphic>
                    </wp:anchor>
                  </w:drawing>
                </mc:Choice>
                <mc:Fallback>
                  <w:pict>
                    <v:rect id="_x0000_s1026" o:spid="_x0000_s1026" o:spt="1" style="position:absolute;left:0pt;margin-left:274.5pt;margin-top:151.45pt;height:17.9pt;width:55.85pt;z-index:251668480;v-text-anchor:middle;mso-width-relative:page;mso-height-relative:page;" fillcolor="#FFFFFF" filled="t" stroked="f" coordsize="21600,21600" o:gfxdata="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5hkD2gAAAAsBAAAPAAAAAAAAAAEAIAAAACIAAABkcnMvZG93&#10;bnJldi54bWxQSwECFAAUAAAACACHTuJAU6fRoMUBAACEAwAADgAAAAAAAAABACAAAAApAQAAZHJz&#10;L2Uyb0RvYy54bWxQSwUGAAAAAAYABgBZAQAAYAUAAAAA&#10;">
                      <v:fill on="t" focussize="0,0"/>
                      <v:stroke on="f"/>
                      <v:imagedata o:title=""/>
                      <o:lock v:ext="edit" aspectratio="f"/>
                      <v:textbox>
                        <w:txbxContent>
                          <w:p w14:paraId="518AC006">
                            <w:pPr>
                              <w:spacing w:line="0" w:lineRule="atLeast"/>
                              <w:rPr>
                                <w:b/>
                                <w:sz w:val="15"/>
                                <w:szCs w:val="15"/>
                              </w:rPr>
                            </w:pPr>
                            <w:r>
                              <w:rPr>
                                <w:rFonts w:hint="eastAsia"/>
                                <w:b/>
                                <w:sz w:val="15"/>
                                <w:szCs w:val="15"/>
                              </w:rPr>
                              <w:t>220kV线路</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2694940</wp:posOffset>
                      </wp:positionH>
                      <wp:positionV relativeFrom="paragraph">
                        <wp:posOffset>2024380</wp:posOffset>
                      </wp:positionV>
                      <wp:extent cx="643890" cy="329565"/>
                      <wp:effectExtent l="5080" t="4445" r="11430" b="8890"/>
                      <wp:wrapNone/>
                      <wp:docPr id="3" name="矩形 6"/>
                      <wp:cNvGraphicFramePr/>
                      <a:graphic xmlns:a="http://schemas.openxmlformats.org/drawingml/2006/main">
                        <a:graphicData uri="http://schemas.microsoft.com/office/word/2010/wordprocessingShape">
                          <wps:wsp>
                            <wps:cNvSpPr/>
                            <wps:spPr>
                              <a:xfrm>
                                <a:off x="0" y="0"/>
                                <a:ext cx="64389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50447">
                                  <w:pPr>
                                    <w:spacing w:line="0" w:lineRule="atLeast"/>
                                    <w:jc w:val="center"/>
                                    <w:rPr>
                                      <w:b/>
                                      <w:sz w:val="15"/>
                                      <w:szCs w:val="15"/>
                                    </w:rPr>
                                  </w:pPr>
                                  <w:r>
                                    <w:rPr>
                                      <w:rFonts w:hint="eastAsia"/>
                                      <w:b/>
                                      <w:sz w:val="15"/>
                                      <w:szCs w:val="15"/>
                                    </w:rPr>
                                    <w:t>220kV</w:t>
                                  </w:r>
                                </w:p>
                                <w:p w14:paraId="444EE218">
                                  <w:pPr>
                                    <w:spacing w:line="0" w:lineRule="atLeast"/>
                                    <w:jc w:val="center"/>
                                    <w:rPr>
                                      <w:b/>
                                      <w:sz w:val="15"/>
                                      <w:szCs w:val="15"/>
                                    </w:rPr>
                                  </w:pPr>
                                  <w:r>
                                    <w:rPr>
                                      <w:rFonts w:hint="eastAsia"/>
                                      <w:b/>
                                      <w:sz w:val="15"/>
                                      <w:szCs w:val="15"/>
                                    </w:rPr>
                                    <w:t>升压站</w:t>
                                  </w:r>
                                </w:p>
                              </w:txbxContent>
                            </wps:txbx>
                            <wps:bodyPr lIns="71999" rIns="71999" anchor="ctr" anchorCtr="0" upright="1"/>
                          </wps:wsp>
                        </a:graphicData>
                      </a:graphic>
                    </wp:anchor>
                  </w:drawing>
                </mc:Choice>
                <mc:Fallback>
                  <w:pict>
                    <v:rect id="矩形 6" o:spid="_x0000_s1026" o:spt="1" style="position:absolute;left:0pt;margin-left:212.2pt;margin-top:159.4pt;height:25.95pt;width:50.7pt;z-index:251667456;v-text-anchor:middle;mso-width-relative:page;mso-height-relative:page;" fillcolor="#FFFFFF" filled="t" stroked="t" coordsize="21600,21600" o:gfxdata="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6SeE&#10;3AAAAAsBAAAPAAAAAAAAAAEAIAAAACIAAABkcnMvZG93bnJldi54bWxQSwECFAAUAAAACACHTuJA&#10;xFN3JR0CAABdBAAADgAAAAAAAAABACAAAAArAQAAZHJzL2Uyb0RvYy54bWxQSwUGAAAAAAYABgBZ&#10;AQAAugUAAAAA&#10;">
                      <v:fill on="t" focussize="0,0"/>
                      <v:stroke color="#000000" joinstyle="miter"/>
                      <v:imagedata o:title=""/>
                      <o:lock v:ext="edit" aspectratio="f"/>
                      <v:textbox inset="5.6692125984252pt,1.27mm,5.6692125984252pt,1.27mm">
                        <w:txbxContent>
                          <w:p w14:paraId="6F050447">
                            <w:pPr>
                              <w:spacing w:line="0" w:lineRule="atLeast"/>
                              <w:jc w:val="center"/>
                              <w:rPr>
                                <w:b/>
                                <w:sz w:val="15"/>
                                <w:szCs w:val="15"/>
                              </w:rPr>
                            </w:pPr>
                            <w:r>
                              <w:rPr>
                                <w:rFonts w:hint="eastAsia"/>
                                <w:b/>
                                <w:sz w:val="15"/>
                                <w:szCs w:val="15"/>
                              </w:rPr>
                              <w:t>220kV</w:t>
                            </w:r>
                          </w:p>
                          <w:p w14:paraId="444EE218">
                            <w:pPr>
                              <w:spacing w:line="0" w:lineRule="atLeast"/>
                              <w:jc w:val="center"/>
                              <w:rPr>
                                <w:b/>
                                <w:sz w:val="15"/>
                                <w:szCs w:val="15"/>
                              </w:rPr>
                            </w:pPr>
                            <w:r>
                              <w:rPr>
                                <w:rFonts w:hint="eastAsia"/>
                                <w:b/>
                                <w:sz w:val="15"/>
                                <w:szCs w:val="15"/>
                              </w:rPr>
                              <w:t>升压站</w:t>
                            </w:r>
                          </w:p>
                        </w:txbxContent>
                      </v:textbox>
                    </v:rect>
                  </w:pict>
                </mc:Fallback>
              </mc:AlternateContent>
            </w:r>
            <w:r>
              <w:rPr>
                <w:sz w:val="24"/>
              </w:rPr>
              <w:t>工艺流程图如下：</w:t>
            </w:r>
          </w:p>
          <w:p w14:paraId="1F5500C4">
            <w:pPr>
              <w:jc w:val="center"/>
              <w:outlineLvl w:val="3"/>
              <w:rPr>
                <w:b/>
                <w:bCs/>
                <w:szCs w:val="21"/>
              </w:rPr>
            </w:pPr>
            <w:r>
              <w:rPr>
                <w:b/>
                <w:bCs/>
                <w:szCs w:val="21"/>
              </w:rPr>
              <w:drawing>
                <wp:anchor distT="0" distB="0" distL="114300" distR="114300" simplePos="0" relativeHeight="251672576" behindDoc="0" locked="0" layoutInCell="1" allowOverlap="1">
                  <wp:simplePos x="0" y="0"/>
                  <wp:positionH relativeFrom="column">
                    <wp:posOffset>391160</wp:posOffset>
                  </wp:positionH>
                  <wp:positionV relativeFrom="paragraph">
                    <wp:posOffset>120015</wp:posOffset>
                  </wp:positionV>
                  <wp:extent cx="4603115" cy="3104515"/>
                  <wp:effectExtent l="0" t="0" r="6985" b="635"/>
                  <wp:wrapTopAndBottom/>
                  <wp:docPr id="29" name="图片 1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6.JPG"/>
                          <pic:cNvPicPr>
                            <a:picLocks noChangeAspect="1"/>
                          </pic:cNvPicPr>
                        </pic:nvPicPr>
                        <pic:blipFill>
                          <a:blip r:embed="rId47" cstate="print"/>
                          <a:stretch>
                            <a:fillRect/>
                          </a:stretch>
                        </pic:blipFill>
                        <pic:spPr>
                          <a:xfrm>
                            <a:off x="0" y="0"/>
                            <a:ext cx="4603115" cy="3104515"/>
                          </a:xfrm>
                          <a:prstGeom prst="rect">
                            <a:avLst/>
                          </a:prstGeom>
                          <a:noFill/>
                          <a:ln>
                            <a:noFill/>
                          </a:ln>
                        </pic:spPr>
                      </pic:pic>
                    </a:graphicData>
                  </a:graphic>
                </wp:anchor>
              </w:drawing>
            </w:r>
            <w:r>
              <w:rPr>
                <w:b/>
                <w:bCs/>
                <w:szCs w:val="21"/>
              </w:rPr>
              <w:t>图4-1     运营期工艺流程及产污环节图</w:t>
            </w:r>
          </w:p>
          <w:p w14:paraId="578A04F8">
            <w:pPr>
              <w:adjustRightInd w:val="0"/>
              <w:snapToGrid w:val="0"/>
              <w:spacing w:line="480" w:lineRule="exact"/>
              <w:rPr>
                <w:b/>
                <w:bCs/>
                <w:sz w:val="24"/>
              </w:rPr>
            </w:pPr>
            <w:r>
              <w:rPr>
                <w:b/>
                <w:bCs/>
                <w:sz w:val="24"/>
              </w:rPr>
              <w:t>1、运营期对鸟类的影响分析</w:t>
            </w:r>
          </w:p>
          <w:p w14:paraId="3A7AA23A">
            <w:pPr>
              <w:spacing w:line="480" w:lineRule="exact"/>
              <w:ind w:firstLine="480" w:firstLineChars="200"/>
              <w:rPr>
                <w:sz w:val="24"/>
              </w:rPr>
            </w:pPr>
            <w:r>
              <w:rPr>
                <w:sz w:val="24"/>
              </w:rPr>
              <w:t>为了解风电项目的建设可能对鸟类造成的影响，本评价参考并查阅了大量的关于鸟类迁徙、风电建设对生态环境及鸟类可能产生的影响、鸟类行为等文献资料。通过查阅得知，陆上风电项目建设对鸟类的影响主要表现为以下几个方面：</w:t>
            </w:r>
          </w:p>
          <w:p w14:paraId="1331D8AF">
            <w:pPr>
              <w:spacing w:line="480" w:lineRule="exact"/>
              <w:ind w:firstLine="480" w:firstLineChars="200"/>
              <w:rPr>
                <w:sz w:val="24"/>
              </w:rPr>
            </w:pPr>
            <w:r>
              <w:rPr>
                <w:sz w:val="24"/>
              </w:rPr>
              <w:t>（1）鸟撞事件：风机可能发生鸟撞事件；</w:t>
            </w:r>
          </w:p>
          <w:p w14:paraId="3F359DF4">
            <w:pPr>
              <w:spacing w:line="480" w:lineRule="exact"/>
              <w:ind w:firstLine="480" w:firstLineChars="200"/>
              <w:rPr>
                <w:sz w:val="24"/>
              </w:rPr>
            </w:pPr>
            <w:r>
              <w:rPr>
                <w:sz w:val="24"/>
              </w:rPr>
              <w:t>（2）风机建设后，对鸟类迁徙的影响；</w:t>
            </w:r>
          </w:p>
          <w:p w14:paraId="3B0B3066">
            <w:pPr>
              <w:spacing w:line="480" w:lineRule="exact"/>
              <w:ind w:firstLine="480" w:firstLineChars="200"/>
              <w:rPr>
                <w:sz w:val="24"/>
              </w:rPr>
            </w:pPr>
            <w:r>
              <w:rPr>
                <w:sz w:val="24"/>
              </w:rPr>
              <w:t>（3）风机建设后，造成鸟类的栖息地和觅食地产生变化；</w:t>
            </w:r>
          </w:p>
          <w:p w14:paraId="4981B652">
            <w:pPr>
              <w:spacing w:line="480" w:lineRule="exact"/>
              <w:ind w:firstLine="480" w:firstLineChars="200"/>
              <w:rPr>
                <w:sz w:val="24"/>
              </w:rPr>
            </w:pPr>
            <w:r>
              <w:rPr>
                <w:sz w:val="24"/>
              </w:rPr>
              <w:t>（4）风机运行噪声可能会对鸟类低飞起到驱赶和惊扰效应。</w:t>
            </w:r>
          </w:p>
          <w:p w14:paraId="139F9368">
            <w:pPr>
              <w:widowControl/>
              <w:adjustRightInd w:val="0"/>
              <w:snapToGrid w:val="0"/>
              <w:spacing w:line="480" w:lineRule="exact"/>
              <w:ind w:firstLine="480" w:firstLineChars="200"/>
              <w:rPr>
                <w:sz w:val="24"/>
              </w:rPr>
            </w:pPr>
            <w:r>
              <w:rPr>
                <w:sz w:val="24"/>
              </w:rPr>
              <w:t>本项目选址区域以一般农用地为主分布有众多村庄，受人类活动的影响已形成稳定的人工生态系统，不是鸟类的主要栖息地和觅食地。运营期对鸟类的影响主要为对鸟类迁徙的影响和鸟撞事件。</w:t>
            </w:r>
          </w:p>
          <w:p w14:paraId="12BC42DB">
            <w:pPr>
              <w:widowControl/>
              <w:adjustRightInd w:val="0"/>
              <w:snapToGrid w:val="0"/>
              <w:spacing w:line="480" w:lineRule="exact"/>
              <w:ind w:firstLine="482" w:firstLineChars="200"/>
              <w:rPr>
                <w:b/>
                <w:bCs/>
                <w:sz w:val="24"/>
              </w:rPr>
            </w:pPr>
            <w:r>
              <w:rPr>
                <w:rFonts w:hint="eastAsia"/>
                <w:b/>
                <w:bCs/>
                <w:sz w:val="24"/>
              </w:rPr>
              <w:t>1.1风机对鸟类的影响</w:t>
            </w:r>
          </w:p>
          <w:p w14:paraId="69285678">
            <w:pPr>
              <w:widowControl/>
              <w:adjustRightInd w:val="0"/>
              <w:snapToGrid w:val="0"/>
              <w:spacing w:line="480" w:lineRule="exact"/>
              <w:ind w:firstLine="482" w:firstLineChars="200"/>
              <w:rPr>
                <w:b/>
                <w:bCs/>
                <w:sz w:val="24"/>
              </w:rPr>
            </w:pPr>
            <w:r>
              <w:rPr>
                <w:rFonts w:hint="eastAsia"/>
                <w:b/>
                <w:bCs/>
                <w:sz w:val="24"/>
              </w:rPr>
              <w:t>（1）</w:t>
            </w:r>
            <w:r>
              <w:rPr>
                <w:b/>
                <w:bCs/>
                <w:sz w:val="24"/>
              </w:rPr>
              <w:t>对鸟类迁徙的影响</w:t>
            </w:r>
          </w:p>
          <w:p w14:paraId="47701CBB">
            <w:pPr>
              <w:widowControl/>
              <w:adjustRightInd w:val="0"/>
              <w:snapToGrid w:val="0"/>
              <w:spacing w:line="480" w:lineRule="exact"/>
              <w:ind w:firstLine="480" w:firstLineChars="200"/>
              <w:rPr>
                <w:sz w:val="24"/>
              </w:rPr>
            </w:pPr>
            <w:r>
              <w:rPr>
                <w:sz w:val="24"/>
              </w:rPr>
              <w:t>本项目运营期可能对周边区域的鸟类迁徙产生影响，鸟类的迁徙是指鸟类中的某些种类，每年春季和秋季，有规律的、沿相对固定的路线、定时地在繁殖地区和越冬地区之间进行的长距离的往返移居的行为现象。这些具有迁徙行为的鸟种即为候鸟，或称迁徙鸟。候鸟的迁徙具有一定的时期性、方向性、路线性和地域性。鸟类的迁徙每年在繁殖区和越冬区之间周期性地发生，大多发生在南北半球之间，少数在东西方向之间。人们按鸟类迁徙活动的有无把鸟类分为候鸟和留鸟。留鸟终年留居在出生地，不发生迁徙，如麻雀、喜鹊等。候鸟中夏季飞来繁殖、冬季南去的鸟类被称为夏候鸟，如家燕、杜鹃等；冬季在南部较暖地区过冬，次年春季飞往北方繁殖的鸟类称为冬候鸟，如某些野鸭、大雁等。迁徙鸟类的停留时间因种类不同也是由短到长，各不相同。</w:t>
            </w:r>
          </w:p>
          <w:p w14:paraId="5B7E9E40">
            <w:pPr>
              <w:widowControl/>
              <w:adjustRightInd w:val="0"/>
              <w:snapToGrid w:val="0"/>
              <w:spacing w:line="480" w:lineRule="exact"/>
              <w:ind w:firstLine="480" w:firstLineChars="200"/>
              <w:rPr>
                <w:sz w:val="24"/>
              </w:rPr>
            </w:pPr>
            <w:r>
              <w:rPr>
                <w:sz w:val="24"/>
              </w:rPr>
              <w:t>根据我国鸟类迁徙的历史资料，研究表明，我国鸟类的迁徙有八大“通道”。这八大“通道”之间有着一些相互重叠、交叉的现象，实际上每个“通道”中包含着不同种或同一种不同家族、群体的许许多多大致平行或交错的、复杂的迁徙路线。曹妃甸区属于东亚至澳大利亚鸟类迁徙通道的重要中途停歇地，是重要的鸟类迁徙中转站的一小部分。</w:t>
            </w:r>
          </w:p>
          <w:p w14:paraId="5B5CE41D">
            <w:pPr>
              <w:widowControl/>
              <w:adjustRightInd w:val="0"/>
              <w:snapToGrid w:val="0"/>
              <w:spacing w:line="480" w:lineRule="exact"/>
              <w:ind w:firstLine="480" w:firstLineChars="200"/>
              <w:rPr>
                <w:sz w:val="24"/>
              </w:rPr>
            </w:pPr>
            <w:r>
              <w:rPr>
                <w:sz w:val="24"/>
              </w:rPr>
              <w:t>风电场会在候鸟迁徙路线上产生一定的屏障效应，这会干扰鸟类的正常飞行活动，增加撞击风险或影响其飞行路线。研究显示，很多鸟类在接近风电场之前会调整飞行路线以避让风机，大多数鸟会在距离风机较远时就逐渐发生避让行为，也有少数鸟类在距离较近时（小于1 km）才发生急速避让。鸟类对风电场的避让行为会增加鸟类能量消耗，对其迁徙活动和生存、繁殖可能形成不利的影响。但有研究表明，为避让风机每只鸟平均增加的飞行距离仅约为500 m，这段额外的距离相比于整个迁徙路程来说是微不足道的。</w:t>
            </w:r>
          </w:p>
          <w:p w14:paraId="0D577F77">
            <w:pPr>
              <w:widowControl/>
              <w:adjustRightInd w:val="0"/>
              <w:snapToGrid w:val="0"/>
              <w:spacing w:line="480" w:lineRule="exact"/>
              <w:ind w:firstLine="480" w:firstLineChars="200"/>
              <w:rPr>
                <w:sz w:val="24"/>
              </w:rPr>
            </w:pPr>
            <w:r>
              <w:rPr>
                <w:sz w:val="24"/>
              </w:rPr>
              <w:t>此外，风机会改变临近的气流走向和速度，有可能在其上空及周边形成紊流。鸟类在飞行过程中，一般会利用气流获得升力和向前的动力，因而风机叶片附近的紊流可能会对鸟类的飞行过程产生影响。风机对气流主要有两方面的影响：一个是能量转移导致的气流速度降低，涡轮后的气流速度可以降低至1/3；另一个是风机叶片边缘扭力产生的涡流，以及叶片区域的空气动力学效应。通常，候鸟迁徙过程中能够靠调整队形和微调飞行路线来适应气流的变化，甚至利用气流的改变获得动力。</w:t>
            </w:r>
          </w:p>
          <w:p w14:paraId="2BD32FFF">
            <w:pPr>
              <w:widowControl/>
              <w:adjustRightInd w:val="0"/>
              <w:snapToGrid w:val="0"/>
              <w:spacing w:line="480" w:lineRule="exact"/>
              <w:ind w:firstLine="480" w:firstLineChars="200"/>
              <w:rPr>
                <w:sz w:val="24"/>
              </w:rPr>
            </w:pPr>
            <w:r>
              <w:rPr>
                <w:sz w:val="24"/>
              </w:rPr>
              <w:t>本项目风电机组占地范围较小，风机主要布置在曹妃甸湿地和鸟类省级自然保护区的东侧和北侧，北侧与鸟类自然保护区的最小距离为3.5km，东侧与鸟类自然保护区的最小距离为1.95km，风机占地范围不属于鸟类的主要栖息地和觅食地。本项目风电场风机分散布置，鸟类迁徙通道为南北方向，在鸟类自然保护区的正北方向，</w:t>
            </w:r>
            <w:r>
              <w:rPr>
                <w:rFonts w:hint="eastAsia"/>
                <w:sz w:val="24"/>
              </w:rPr>
              <w:t>项目</w:t>
            </w:r>
            <w:r>
              <w:rPr>
                <w:sz w:val="24"/>
              </w:rPr>
              <w:t>北部</w:t>
            </w:r>
            <w:r>
              <w:rPr>
                <w:rFonts w:hint="eastAsia"/>
                <w:sz w:val="24"/>
              </w:rPr>
              <w:t>风电场中，风电机组</w:t>
            </w:r>
            <w:r>
              <w:rPr>
                <w:sz w:val="24"/>
              </w:rPr>
              <w:t>东西方向相距约4km，</w:t>
            </w:r>
            <w:r>
              <w:rPr>
                <w:rFonts w:hint="eastAsia"/>
                <w:sz w:val="24"/>
              </w:rPr>
              <w:t>可供</w:t>
            </w:r>
            <w:r>
              <w:rPr>
                <w:sz w:val="24"/>
              </w:rPr>
              <w:t>鸟类迁徙</w:t>
            </w:r>
            <w:r>
              <w:rPr>
                <w:rFonts w:hint="eastAsia"/>
                <w:sz w:val="24"/>
              </w:rPr>
              <w:t>飞行</w:t>
            </w:r>
            <w:r>
              <w:rPr>
                <w:sz w:val="24"/>
              </w:rPr>
              <w:t>。鸟类本身有躲避障碍物的本领，一般会在距离障碍物100~200m的安全距离外活动，因此预计风电场风机不会对鸟类迁徙产生明显影响。</w:t>
            </w:r>
          </w:p>
          <w:p w14:paraId="010F0089">
            <w:pPr>
              <w:widowControl/>
              <w:adjustRightInd w:val="0"/>
              <w:snapToGrid w:val="0"/>
              <w:spacing w:line="480" w:lineRule="exact"/>
              <w:ind w:firstLine="482" w:firstLineChars="200"/>
              <w:rPr>
                <w:sz w:val="24"/>
              </w:rPr>
            </w:pPr>
            <w:r>
              <w:rPr>
                <w:rFonts w:hint="eastAsia"/>
                <w:b/>
                <w:bCs/>
                <w:sz w:val="24"/>
              </w:rPr>
              <w:t>（2）</w:t>
            </w:r>
            <w:r>
              <w:rPr>
                <w:b/>
                <w:bCs/>
                <w:sz w:val="24"/>
              </w:rPr>
              <w:t>对鸟类栖息和觅食的影响</w:t>
            </w:r>
          </w:p>
          <w:p w14:paraId="6B767C48">
            <w:pPr>
              <w:widowControl/>
              <w:adjustRightInd w:val="0"/>
              <w:snapToGrid w:val="0"/>
              <w:spacing w:line="480" w:lineRule="exact"/>
              <w:ind w:firstLine="480" w:firstLineChars="200"/>
              <w:rPr>
                <w:sz w:val="24"/>
              </w:rPr>
            </w:pPr>
            <w:r>
              <w:rPr>
                <w:sz w:val="24"/>
              </w:rPr>
              <w:t>本项目风机与曹妃甸湿地和鸟类省级自然保护区最近距离约为1.95km，与湿地的自然环境相比，项目占地范围以坑塘、耕地等为主，人类生产活动频繁，人为干扰因素多，不属于高密度鸟类活动区域范围。</w:t>
            </w:r>
          </w:p>
          <w:p w14:paraId="051BDA74">
            <w:pPr>
              <w:widowControl/>
              <w:adjustRightInd w:val="0"/>
              <w:snapToGrid w:val="0"/>
              <w:spacing w:line="480" w:lineRule="exact"/>
              <w:ind w:firstLine="480" w:firstLineChars="200"/>
              <w:rPr>
                <w:sz w:val="24"/>
              </w:rPr>
            </w:pPr>
            <w:r>
              <w:rPr>
                <w:sz w:val="24"/>
              </w:rPr>
              <w:t>项目风机运行初期，区域的留鸟在噪声环境条件下，会选择回避，减少活动范围，因此造成鸟类栖息地的缩减，种群数量会有所减少。但对于风机有规律的运行，场址区域内留鸟对风机转动也会逐渐习惯性适应。且鸟类本身有躲避障碍物的本领，</w:t>
            </w:r>
            <w:r>
              <w:rPr>
                <w:bCs/>
                <w:sz w:val="24"/>
              </w:rPr>
              <w:t>受风机的影响，区内鸟类将飞往附近同类生境，鸟类迁徙能力强，同类生境易于在附近找寻</w:t>
            </w:r>
            <w:r>
              <w:rPr>
                <w:sz w:val="24"/>
              </w:rPr>
              <w:t>，故本项目建设后，不会明显影响项目所在区域及曹妃甸湿地和鸟类自然保护区鸟类的栖息及觅食环境。</w:t>
            </w:r>
          </w:p>
          <w:p w14:paraId="1D197554">
            <w:pPr>
              <w:widowControl/>
              <w:adjustRightInd w:val="0"/>
              <w:snapToGrid w:val="0"/>
              <w:spacing w:line="480" w:lineRule="exact"/>
              <w:ind w:firstLine="482" w:firstLineChars="200"/>
              <w:rPr>
                <w:b/>
                <w:bCs/>
                <w:sz w:val="24"/>
              </w:rPr>
            </w:pPr>
            <w:r>
              <w:rPr>
                <w:rFonts w:hint="eastAsia"/>
                <w:b/>
                <w:bCs/>
                <w:sz w:val="24"/>
              </w:rPr>
              <w:t>（3）</w:t>
            </w:r>
            <w:r>
              <w:rPr>
                <w:b/>
                <w:bCs/>
                <w:sz w:val="24"/>
              </w:rPr>
              <w:t>对鸟类撞击影响</w:t>
            </w:r>
          </w:p>
          <w:p w14:paraId="2CD7012B">
            <w:pPr>
              <w:widowControl/>
              <w:adjustRightInd w:val="0"/>
              <w:snapToGrid w:val="0"/>
              <w:spacing w:line="480" w:lineRule="exact"/>
              <w:ind w:firstLine="480" w:firstLineChars="200"/>
              <w:rPr>
                <w:sz w:val="24"/>
              </w:rPr>
            </w:pPr>
            <w:r>
              <w:rPr>
                <w:sz w:val="24"/>
              </w:rPr>
              <w:t>鸟与风电场的风电机相撞导致伤亡，是风电工程对鸟类最直接也是最严重的影响方式。鸟类撞击受许多因素的影响，如鸟类的飞行高度、天气状况、鸟类体型与生态习性等。</w:t>
            </w:r>
          </w:p>
          <w:p w14:paraId="46398512">
            <w:pPr>
              <w:widowControl/>
              <w:adjustRightInd w:val="0"/>
              <w:snapToGrid w:val="0"/>
              <w:spacing w:line="480" w:lineRule="exact"/>
              <w:ind w:firstLine="480" w:firstLineChars="200"/>
              <w:rPr>
                <w:sz w:val="24"/>
              </w:rPr>
            </w:pPr>
            <w:r>
              <w:rPr>
                <w:sz w:val="24"/>
              </w:rPr>
              <w:t>据研究，鸟类迁徙时的飞行高度一般不超过1000m。普通鸟类的飞翔高度在400m以下，鹤类在300-500m，鹳、鵟、雁等最高可达900m。小型鸣禽的飞行高度一般不超过300 m，大型鸟类有些可达3000-6300m，如大天鹅、灰鹤、绿头鸭、黑尾塍鹬等鸟类的飞行高度基本都超过6000m。大天鹅等部分种类甚至能飞越珠穆郎玛峰，飞行高度达9000m。鸟类的飞行高度也可受飞行时间和天气因素的影响。一般而言，夜间迁徙的高度常低于白天。天晴时鸟飞行较高，在有云雾、降雨或强逆风时，则降至低空。此时可能会增加与风电机相撞的风险。</w:t>
            </w:r>
          </w:p>
          <w:p w14:paraId="78144892">
            <w:pPr>
              <w:widowControl/>
              <w:adjustRightInd w:val="0"/>
              <w:snapToGrid w:val="0"/>
              <w:spacing w:line="480" w:lineRule="exact"/>
              <w:ind w:firstLine="480" w:firstLineChars="200"/>
              <w:rPr>
                <w:sz w:val="24"/>
              </w:rPr>
            </w:pPr>
            <w:r>
              <w:rPr>
                <w:sz w:val="24"/>
              </w:rPr>
              <w:t>鸟类撞击风机的风险也与鸟的种类密切相关。不同类型的鸟类，其主要飞行高度不同，翼展不同，遭受撞击的风险也不同。一般来说，猛禽类由于觅食时飞行高度常处于风机叶片直径范围内，加之其翼展较大，撞击风险较大。总体上，猛禽的撞击风险大于水鸟，水鸟的撞击风险大于鸣禽和其他小型鸟类。</w:t>
            </w:r>
          </w:p>
          <w:p w14:paraId="78480089">
            <w:pPr>
              <w:widowControl/>
              <w:adjustRightInd w:val="0"/>
              <w:snapToGrid w:val="0"/>
              <w:spacing w:line="480" w:lineRule="exact"/>
              <w:ind w:firstLine="480" w:firstLineChars="200"/>
              <w:rPr>
                <w:sz w:val="24"/>
              </w:rPr>
            </w:pPr>
            <w:r>
              <w:rPr>
                <w:sz w:val="24"/>
              </w:rPr>
              <w:t>本工程风电机组轮毂高度为175/180/185m，风轮直径为220m</w:t>
            </w:r>
            <w:r>
              <w:rPr>
                <w:rFonts w:hint="eastAsia"/>
                <w:sz w:val="24"/>
              </w:rPr>
              <w:t>，</w:t>
            </w:r>
            <w:r>
              <w:rPr>
                <w:sz w:val="24"/>
              </w:rPr>
              <w:t>风机叶片扫动到的最高高度约为295m，最低高度约65m。在本项目调查区域中，风机运行过程中可能会对部分飞行高度较低的候鸟构成威胁。但鸟类飞行过程中的规避能力能够有效降低这种风险。</w:t>
            </w:r>
          </w:p>
          <w:p w14:paraId="6FF68438">
            <w:pPr>
              <w:widowControl/>
              <w:adjustRightInd w:val="0"/>
              <w:snapToGrid w:val="0"/>
              <w:spacing w:line="480" w:lineRule="exact"/>
              <w:ind w:firstLine="480" w:firstLineChars="200"/>
              <w:rPr>
                <w:sz w:val="24"/>
              </w:rPr>
            </w:pPr>
            <w:r>
              <w:rPr>
                <w:sz w:val="24"/>
              </w:rPr>
              <w:t>研究发现，大约75%的鸟在距离外围风机1.5-2 km时就开始调整飞行路线，以避免进入风电场区域。白天鸟类进入风机区域的数量少于夜间。在夜间，有13.8%的鸟会飞入风机区域，且其中的6.5%飞至距离风机50 m的范围。在白天，只有4.5%的鸟会飞入风机区域，其中的12.3%飞至50 m范围内。这意味着经过风电场区域的鸟类中，只有很小的比例可能接近风机。美国鸟类专家罗格艾特埃奥尔的研究也表明，风力发电机并不总是对大量夜间飞行的鸟构成致命危险，即使是在相当高的迁徙密度和低云层、有雾情况下也是如此，鸟在飞近风电场区域时，能够成功改变迁徙路线以避开塔柱和旋转的叶片。</w:t>
            </w:r>
          </w:p>
          <w:p w14:paraId="7308EF05">
            <w:pPr>
              <w:widowControl/>
              <w:adjustRightInd w:val="0"/>
              <w:snapToGrid w:val="0"/>
              <w:spacing w:line="480" w:lineRule="exact"/>
              <w:ind w:firstLine="480" w:firstLineChars="200"/>
              <w:rPr>
                <w:sz w:val="24"/>
              </w:rPr>
            </w:pPr>
            <w:r>
              <w:rPr>
                <w:sz w:val="24"/>
              </w:rPr>
              <w:t>本项目项目区域不大，风机数量不多，加之项目区域内撞击风险较大的猛禽数量也不甚多，因此项目运营导致的鸟类撞击效应应不明显。为了进一步降低鸟撞的发生几率，根据日本等地的成功经验，风机的叶片可选用橙红与白色相间的警示色，使鸟类在飞行中能更容易地分辨出安全路线，及时规避风机。</w:t>
            </w:r>
          </w:p>
          <w:p w14:paraId="1AD522A2">
            <w:pPr>
              <w:widowControl/>
              <w:adjustRightInd w:val="0"/>
              <w:snapToGrid w:val="0"/>
              <w:spacing w:line="480" w:lineRule="exact"/>
              <w:ind w:firstLine="482" w:firstLineChars="200"/>
              <w:rPr>
                <w:b/>
                <w:bCs/>
                <w:sz w:val="24"/>
              </w:rPr>
            </w:pPr>
            <w:r>
              <w:rPr>
                <w:rFonts w:hint="eastAsia"/>
                <w:b/>
                <w:bCs/>
                <w:sz w:val="24"/>
              </w:rPr>
              <w:t>（4）</w:t>
            </w:r>
            <w:r>
              <w:rPr>
                <w:b/>
                <w:bCs/>
                <w:sz w:val="24"/>
              </w:rPr>
              <w:t>对鸟类</w:t>
            </w:r>
            <w:r>
              <w:rPr>
                <w:rFonts w:hint="eastAsia"/>
                <w:b/>
                <w:bCs/>
                <w:sz w:val="24"/>
              </w:rPr>
              <w:t>干扰</w:t>
            </w:r>
            <w:r>
              <w:rPr>
                <w:b/>
                <w:bCs/>
                <w:sz w:val="24"/>
              </w:rPr>
              <w:t>影响</w:t>
            </w:r>
          </w:p>
          <w:p w14:paraId="6B2F9657">
            <w:pPr>
              <w:widowControl/>
              <w:adjustRightInd w:val="0"/>
              <w:snapToGrid w:val="0"/>
              <w:spacing w:line="480" w:lineRule="exact"/>
              <w:ind w:firstLine="480" w:firstLineChars="200"/>
              <w:rPr>
                <w:sz w:val="24"/>
              </w:rPr>
            </w:pPr>
            <w:r>
              <w:rPr>
                <w:sz w:val="24"/>
              </w:rPr>
              <w:t>风机的运行会对鸟类活动产生干扰，破坏鸟类适宜的繁殖、栖息和觅食生境。已有研究表明，风机基础所占地面积较小，因其直接占地导致的危害有限。但是其间接影响涉及较大范围。有研究认为风机半径800 m内（取决于鸟的种类）的候鸟受影响较大，候鸟更倾向于利用距离风机较远的陆地进行栖息和觅食。然而，相关研究结果也存在争议，有证据显示陆上风电场对鸟类的影响范围要小得多，有的甚至认为距离300m以内对鸟类的繁殖都没有显著的影响。其实这可能与水鸟的生理特性和生活习性有关。此外，有观点认为，鸟类能够逐渐适应风机存在的环境，因而风机对其栖息和觅食影响有限。当然，鸟类受风机干扰的大小可能与种类关系密切，部分敏感种类可能会难以适应此类环境。但目前对类似风电场的观察评估发现，在风机附近鸟类一般能够正常地觅食和栖息。</w:t>
            </w:r>
          </w:p>
          <w:p w14:paraId="2A2B46A5">
            <w:pPr>
              <w:widowControl/>
              <w:adjustRightInd w:val="0"/>
              <w:snapToGrid w:val="0"/>
              <w:spacing w:line="480" w:lineRule="exact"/>
              <w:ind w:firstLine="482" w:firstLineChars="200"/>
              <w:rPr>
                <w:b/>
                <w:bCs/>
                <w:sz w:val="24"/>
              </w:rPr>
            </w:pPr>
            <w:r>
              <w:rPr>
                <w:rFonts w:hint="eastAsia"/>
                <w:b/>
                <w:bCs/>
                <w:sz w:val="24"/>
              </w:rPr>
              <w:t>1.2输电线路对鸟类的干扰</w:t>
            </w:r>
          </w:p>
          <w:p w14:paraId="34FB7D78">
            <w:pPr>
              <w:widowControl/>
              <w:adjustRightInd w:val="0"/>
              <w:snapToGrid w:val="0"/>
              <w:spacing w:line="480" w:lineRule="exact"/>
              <w:ind w:firstLine="480" w:firstLineChars="200"/>
              <w:rPr>
                <w:sz w:val="24"/>
              </w:rPr>
            </w:pPr>
            <w:r>
              <w:rPr>
                <w:rFonts w:hint="eastAsia"/>
                <w:sz w:val="24"/>
              </w:rPr>
              <w:t>高空输电网络对鸟类的影响体现在多个层面，其危害方式主要包括撞击线路、短路电击、生境丧失与破碎化、栖息地利用减少等方面。</w:t>
            </w:r>
          </w:p>
          <w:p w14:paraId="19EE3983">
            <w:pPr>
              <w:widowControl/>
              <w:adjustRightInd w:val="0"/>
              <w:snapToGrid w:val="0"/>
              <w:spacing w:line="480" w:lineRule="exact"/>
              <w:ind w:firstLine="482" w:firstLineChars="200"/>
              <w:rPr>
                <w:b/>
                <w:bCs/>
                <w:sz w:val="24"/>
              </w:rPr>
            </w:pPr>
            <w:bookmarkStart w:id="21" w:name="_Toc192768233"/>
            <w:r>
              <w:rPr>
                <w:rFonts w:hint="eastAsia"/>
                <w:b/>
                <w:bCs/>
                <w:sz w:val="24"/>
              </w:rPr>
              <w:t>（1）线路撞击</w:t>
            </w:r>
            <w:bookmarkEnd w:id="21"/>
          </w:p>
          <w:p w14:paraId="6C41E6E8">
            <w:pPr>
              <w:widowControl/>
              <w:adjustRightInd w:val="0"/>
              <w:snapToGrid w:val="0"/>
              <w:spacing w:line="480" w:lineRule="exact"/>
              <w:ind w:firstLine="480" w:firstLineChars="200"/>
              <w:rPr>
                <w:sz w:val="24"/>
              </w:rPr>
            </w:pPr>
            <w:r>
              <w:rPr>
                <w:rFonts w:hint="eastAsia"/>
                <w:sz w:val="24"/>
              </w:rPr>
              <w:t>本项目全线采用架空与电缆结合方式。集电线路全长约223.058km，其中架空线路长度约183.953km，电缆敷设路径长度约39.105km，电缆敷设方式采用直埋敷设、非开挖拉管敷设两种为主。</w:t>
            </w:r>
          </w:p>
          <w:p w14:paraId="7A763BB0">
            <w:pPr>
              <w:widowControl/>
              <w:adjustRightInd w:val="0"/>
              <w:snapToGrid w:val="0"/>
              <w:spacing w:line="480" w:lineRule="exact"/>
              <w:ind w:firstLine="480" w:firstLineChars="200"/>
              <w:rPr>
                <w:sz w:val="24"/>
              </w:rPr>
            </w:pPr>
            <w:r>
              <w:rPr>
                <w:rFonts w:hint="eastAsia"/>
                <w:sz w:val="24"/>
              </w:rPr>
              <w:t>高空输电线路对飞行鸟类具有屏障作用，当鸟类视线不佳或躲避不及时即发生撞击。近年来，伴随高空输电网络的发展，飞行过程中撞击输电线路（以下简称为撞线）已对鸟类生存产生了威胁，是输电线路危害鸟类生存的主要原因之一。据估计，每年全球范围内因撞线导致鸟类的死亡数量甚至可能超过十亿。对于数量稀少的濒危物种而言，如此高的撞线风险可能造成的后果更为严重。如卫星跟踪数据显示，撞线是导致我国甘肃盐池湾国家级自然保护区内黑颈鹤幼鸟死亡的主要原因之一，2019年撞击死亡率甚至高达83.3%。</w:t>
            </w:r>
          </w:p>
          <w:p w14:paraId="667A4A6C">
            <w:pPr>
              <w:widowControl/>
              <w:adjustRightInd w:val="0"/>
              <w:snapToGrid w:val="0"/>
              <w:spacing w:line="480" w:lineRule="exact"/>
              <w:ind w:firstLine="480" w:firstLineChars="200"/>
              <w:rPr>
                <w:sz w:val="24"/>
              </w:rPr>
            </w:pPr>
            <w:r>
              <w:rPr>
                <w:rFonts w:hint="eastAsia"/>
                <w:sz w:val="24"/>
              </w:rPr>
              <w:t>因此，项目区内架空线路可能对区域内鸟类的生存、迁徙、繁殖等活动造成干扰，并增加撞击导致的伤亡风险。</w:t>
            </w:r>
          </w:p>
          <w:p w14:paraId="0A53AEC5">
            <w:pPr>
              <w:widowControl/>
              <w:adjustRightInd w:val="0"/>
              <w:snapToGrid w:val="0"/>
              <w:spacing w:line="480" w:lineRule="exact"/>
              <w:ind w:firstLine="482" w:firstLineChars="200"/>
              <w:rPr>
                <w:b/>
                <w:bCs/>
                <w:sz w:val="24"/>
              </w:rPr>
            </w:pPr>
            <w:bookmarkStart w:id="22" w:name="_Toc192768234"/>
            <w:r>
              <w:rPr>
                <w:rFonts w:hint="eastAsia"/>
                <w:b/>
                <w:bCs/>
                <w:sz w:val="24"/>
              </w:rPr>
              <w:t>（2） 短路电击</w:t>
            </w:r>
            <w:bookmarkEnd w:id="22"/>
          </w:p>
          <w:p w14:paraId="1081A7B6">
            <w:pPr>
              <w:widowControl/>
              <w:adjustRightInd w:val="0"/>
              <w:snapToGrid w:val="0"/>
              <w:spacing w:line="480" w:lineRule="exact"/>
              <w:ind w:firstLine="480" w:firstLineChars="200"/>
              <w:rPr>
                <w:sz w:val="24"/>
              </w:rPr>
            </w:pPr>
            <w:r>
              <w:rPr>
                <w:rFonts w:hint="eastAsia"/>
                <w:sz w:val="24"/>
              </w:rPr>
              <w:t>当鸟类在输电设施附近活动时，若同时接触两个相导体或一个导体和一个接地装置时就可能引起线路短路。与此同时，引起故障的个体通常也会由于电击造成伤亡。据估计，欧洲每年至少有数以千只鸟类个体死于短路电击，对鸟类安全造成了较大威胁。与撞线的影响对象更为广谱不同，短路电击的威胁对象一般为大型鸟类，如鹳形目的大型水鸟、以及鹰形目、鸮形目的大型猛禽等。鉴于评价区内有东方白鹳、大鵟、白腹鹞等易感鸟类分布，项目实施可能会提高对此类鸟种的电击风险。</w:t>
            </w:r>
          </w:p>
          <w:p w14:paraId="35D1AE7C">
            <w:pPr>
              <w:widowControl/>
              <w:adjustRightInd w:val="0"/>
              <w:snapToGrid w:val="0"/>
              <w:spacing w:line="480" w:lineRule="exact"/>
              <w:ind w:firstLine="482" w:firstLineChars="200"/>
              <w:rPr>
                <w:b/>
                <w:bCs/>
                <w:sz w:val="24"/>
              </w:rPr>
            </w:pPr>
            <w:bookmarkStart w:id="23" w:name="_Toc192768235"/>
            <w:r>
              <w:rPr>
                <w:rFonts w:hint="eastAsia"/>
                <w:b/>
                <w:bCs/>
                <w:sz w:val="24"/>
              </w:rPr>
              <w:t>（3）生境破碎化</w:t>
            </w:r>
            <w:bookmarkEnd w:id="23"/>
          </w:p>
          <w:p w14:paraId="3366853C">
            <w:pPr>
              <w:widowControl/>
              <w:adjustRightInd w:val="0"/>
              <w:snapToGrid w:val="0"/>
              <w:spacing w:line="480" w:lineRule="exact"/>
              <w:ind w:firstLine="480" w:firstLineChars="200"/>
              <w:rPr>
                <w:sz w:val="24"/>
              </w:rPr>
            </w:pPr>
            <w:r>
              <w:rPr>
                <w:rFonts w:hint="eastAsia"/>
                <w:sz w:val="24"/>
              </w:rPr>
              <w:t>尽管项目风机、升压站和输电线路等的占地面积较小，对一般地域而言所引起的生境丧失效应较为轻微，但输电线路所形成的廊道可对所处环境起到一定的分割作用，引起生境破碎化。生境的破碎化和岛屿化会压缩生境范围、提高边缘效应、削弱生境斑块的稳定性、并阻断生物的迁移，从而影响动物在不同生境斑块中的流动，对于生境广度要求较高、活动范围较大的物种而言，生境的破碎化则可能直接威胁到其生存。另外，以上效应对鸟类的干扰作用也常可叠加，项目建设对当地生境的分割作用可能增加栖息地破碎化程度，从而一定程度上对鸟类活动造成干扰。</w:t>
            </w:r>
          </w:p>
          <w:p w14:paraId="757DC573">
            <w:pPr>
              <w:widowControl/>
              <w:adjustRightInd w:val="0"/>
              <w:snapToGrid w:val="0"/>
              <w:spacing w:line="480" w:lineRule="exact"/>
              <w:ind w:firstLine="482" w:firstLineChars="200"/>
              <w:rPr>
                <w:b/>
                <w:bCs/>
                <w:sz w:val="24"/>
              </w:rPr>
            </w:pPr>
            <w:bookmarkStart w:id="24" w:name="_Toc192768236"/>
            <w:r>
              <w:rPr>
                <w:rFonts w:hint="eastAsia"/>
                <w:b/>
                <w:bCs/>
                <w:sz w:val="24"/>
              </w:rPr>
              <w:t>（4）栖息地利用</w:t>
            </w:r>
            <w:bookmarkEnd w:id="24"/>
          </w:p>
          <w:p w14:paraId="1ED08216">
            <w:pPr>
              <w:widowControl/>
              <w:adjustRightInd w:val="0"/>
              <w:snapToGrid w:val="0"/>
              <w:spacing w:line="480" w:lineRule="exact"/>
              <w:ind w:firstLine="480" w:firstLineChars="200"/>
              <w:rPr>
                <w:sz w:val="24"/>
              </w:rPr>
            </w:pPr>
            <w:r>
              <w:rPr>
                <w:rFonts w:hint="eastAsia"/>
                <w:sz w:val="24"/>
              </w:rPr>
              <w:t>有证据显示，高空输电线路还会影响鸟类栖息地选择，导致其放弃繁殖地、越冬地或停歇地中的部分适宜生境。如有研究显示，高空输电线会改变大鸨、小鸨等鸟类的飞行方向，虽然这种方式可一定程度上降低撞线风险，但也同样会造成适宜觅食、繁殖生境的浪费，从而降低环境的生物容量，限制种群个体数的增加和分布地域的扩张，这种效应对于个体数量少或分布区狭窄的濒危物种而言影响更为显著。</w:t>
            </w:r>
          </w:p>
          <w:p w14:paraId="51EB87BC">
            <w:pPr>
              <w:widowControl/>
              <w:adjustRightInd w:val="0"/>
              <w:snapToGrid w:val="0"/>
              <w:spacing w:line="480" w:lineRule="exact"/>
              <w:ind w:firstLine="482" w:firstLineChars="200"/>
              <w:rPr>
                <w:b/>
                <w:bCs/>
                <w:sz w:val="24"/>
              </w:rPr>
            </w:pPr>
            <w:r>
              <w:rPr>
                <w:rFonts w:hint="eastAsia"/>
                <w:b/>
                <w:bCs/>
                <w:sz w:val="24"/>
              </w:rPr>
              <w:t>1.3鸟类影响综合评价</w:t>
            </w:r>
          </w:p>
          <w:p w14:paraId="1140507E">
            <w:pPr>
              <w:widowControl/>
              <w:adjustRightInd w:val="0"/>
              <w:snapToGrid w:val="0"/>
              <w:spacing w:line="480" w:lineRule="exact"/>
              <w:ind w:firstLine="480" w:firstLineChars="200"/>
              <w:rPr>
                <w:sz w:val="24"/>
              </w:rPr>
            </w:pPr>
            <w:r>
              <w:rPr>
                <w:rFonts w:hint="eastAsia"/>
                <w:sz w:val="24"/>
              </w:rPr>
              <w:t>风电场的施工和运营对栖息地的破坏程度有限，且均为农用地，项目占地附近也有大片相似可替代生境，因此该项目对鸟类栖息生境的影响程度不大。</w:t>
            </w:r>
          </w:p>
          <w:p w14:paraId="47F8951C">
            <w:pPr>
              <w:widowControl/>
              <w:adjustRightInd w:val="0"/>
              <w:snapToGrid w:val="0"/>
              <w:spacing w:line="480" w:lineRule="exact"/>
              <w:ind w:firstLine="480" w:firstLineChars="200"/>
              <w:rPr>
                <w:sz w:val="24"/>
              </w:rPr>
            </w:pPr>
            <w:r>
              <w:rPr>
                <w:rFonts w:hint="eastAsia"/>
                <w:sz w:val="24"/>
              </w:rPr>
              <w:t>项目建设与运营期间各种活动排放的污染物种类和数量也有限，对鸟类及其生境的影响较小。</w:t>
            </w:r>
          </w:p>
          <w:p w14:paraId="2E2A12B1">
            <w:pPr>
              <w:widowControl/>
              <w:adjustRightInd w:val="0"/>
              <w:snapToGrid w:val="0"/>
              <w:spacing w:line="480" w:lineRule="exact"/>
              <w:ind w:firstLine="480" w:firstLineChars="200"/>
              <w:rPr>
                <w:sz w:val="24"/>
              </w:rPr>
            </w:pPr>
            <w:r>
              <w:rPr>
                <w:rFonts w:hint="eastAsia"/>
                <w:sz w:val="24"/>
              </w:rPr>
              <w:t>风机叶片转动和架空输电线路会对鸟类产生屏障、干扰和撞击影响。多数迁徙鸟类的飞行高度高于风机，且鸟类会采取一定的避让行为，因此发生撞击的概率不大。鸟类避让风机可一定程度上增加其飞行过程中的能量消耗，风机也会改变临近的气流走向和速度使其上空及周边形成紊流，但避让风机导致的额外能量消耗有限，且鸟类可以适应气流变化，因而影响也不显著，但风机运行可能会产生一定的驱离效应。</w:t>
            </w:r>
          </w:p>
          <w:p w14:paraId="27BB6FA6">
            <w:pPr>
              <w:widowControl/>
              <w:adjustRightInd w:val="0"/>
              <w:snapToGrid w:val="0"/>
              <w:spacing w:line="480" w:lineRule="exact"/>
              <w:ind w:firstLine="480" w:firstLineChars="200"/>
              <w:rPr>
                <w:sz w:val="24"/>
              </w:rPr>
            </w:pPr>
            <w:r>
              <w:rPr>
                <w:rFonts w:hint="eastAsia"/>
                <w:sz w:val="24"/>
              </w:rPr>
              <w:t>项目施工和运行过程中产生的废气、废水、噪声、固废可能对鸟类产生干扰，但施工期的影响是暂时的、可逆的，且可通过调整施工方式和作业时间来降低影响。而运营期废水、废气、噪声和固废均采取了相应的环保治理措施，环境影响较小。且鸟类可产生一定适应性，所以以上影响应在可控范围内。</w:t>
            </w:r>
          </w:p>
          <w:p w14:paraId="4B260E3D">
            <w:pPr>
              <w:widowControl/>
              <w:adjustRightInd w:val="0"/>
              <w:snapToGrid w:val="0"/>
              <w:spacing w:line="480" w:lineRule="exact"/>
              <w:ind w:firstLine="480" w:firstLineChars="200"/>
              <w:rPr>
                <w:sz w:val="24"/>
              </w:rPr>
            </w:pPr>
            <w:r>
              <w:rPr>
                <w:rFonts w:hint="eastAsia"/>
                <w:sz w:val="24"/>
              </w:rPr>
              <w:t>升压站和风机产生的电磁辐射可能对鸟类有一定的影响，但由于相关电力设施都采用了适当的防护，且鸟类在附近区域停留时间短暂，因而影响也不显著。</w:t>
            </w:r>
          </w:p>
          <w:p w14:paraId="707F2301">
            <w:pPr>
              <w:widowControl/>
              <w:adjustRightInd w:val="0"/>
              <w:snapToGrid w:val="0"/>
              <w:spacing w:line="480" w:lineRule="exact"/>
              <w:ind w:firstLine="480" w:firstLineChars="200"/>
              <w:rPr>
                <w:sz w:val="24"/>
              </w:rPr>
            </w:pPr>
            <w:r>
              <w:rPr>
                <w:rFonts w:hint="eastAsia"/>
                <w:sz w:val="24"/>
              </w:rPr>
              <w:t>人工照明会使夜行性鸟类的活动时间推迟或变短，导致生存压力增加。此外，人工光源还会影响鸟类迁徙。鸟类夜间飞行主要依靠星光和月光导航，人工照明常使它们迷失方向，且容易吸引鸟类导致发生撞击，特别是在大雾、降雨、强逆风或无月时影响更强。本项目在建设、运行期间尽量避免夜间施工和照明，从而规避光照对鸟类的影响。工期紧张或必须使用光源时，可采取降低光强、避免使用对鸟影响较大的红色光源等措施来减弱光照对鸟类的干扰。</w:t>
            </w:r>
          </w:p>
          <w:p w14:paraId="17CA968A">
            <w:pPr>
              <w:widowControl/>
              <w:adjustRightInd w:val="0"/>
              <w:snapToGrid w:val="0"/>
              <w:spacing w:line="480" w:lineRule="exact"/>
              <w:ind w:firstLine="480" w:firstLineChars="200"/>
              <w:rPr>
                <w:sz w:val="24"/>
              </w:rPr>
            </w:pPr>
            <w:r>
              <w:rPr>
                <w:rFonts w:hint="eastAsia"/>
                <w:sz w:val="24"/>
              </w:rPr>
              <w:t>风电场对部分优势种和重点保护鸟类可能具有较强潜在干扰，从干扰程度来看，留鸟&gt;冬候鸟、夏候鸟&gt;旅鸟。本区域优势留鸟均为种群基数大、对环境适应能力强的种类，可适应风机的影响或适宜生境远离风机，因此项目对优势种的影响不大。在重点保护鸟种中，鸿雁、小天鹅、大天鹅、斑头秋沙鸭、白腹鹞、白尾鹞在项目区域属旅鸟，停留时间较短，大鵟、普通鵟为冬候鸟，长耳鸮为夏候鸟，受影响程度稍强，留鸟松雀鹰、红隼和云雀飞行灵活敏捷，与风电间的冲突也不激烈。</w:t>
            </w:r>
          </w:p>
          <w:p w14:paraId="5FE349C3">
            <w:pPr>
              <w:widowControl/>
              <w:adjustRightInd w:val="0"/>
              <w:snapToGrid w:val="0"/>
              <w:spacing w:line="480" w:lineRule="exact"/>
              <w:ind w:firstLine="480" w:firstLineChars="200"/>
              <w:rPr>
                <w:sz w:val="24"/>
              </w:rPr>
            </w:pPr>
            <w:r>
              <w:rPr>
                <w:rFonts w:hint="eastAsia"/>
                <w:sz w:val="24"/>
              </w:rPr>
              <w:t>综上，本区域风电的建设运行对鸟类多样性的影响应在可控范围内。</w:t>
            </w:r>
          </w:p>
          <w:p w14:paraId="34FFE08B">
            <w:pPr>
              <w:widowControl/>
              <w:adjustRightInd w:val="0"/>
              <w:snapToGrid w:val="0"/>
              <w:spacing w:line="480" w:lineRule="exact"/>
              <w:ind w:firstLine="482" w:firstLineChars="200"/>
              <w:rPr>
                <w:sz w:val="24"/>
              </w:rPr>
            </w:pPr>
            <w:r>
              <w:rPr>
                <w:b/>
                <w:bCs/>
                <w:sz w:val="24"/>
              </w:rPr>
              <w:t>2、大气环境影响分析</w:t>
            </w:r>
          </w:p>
          <w:p w14:paraId="5189709C">
            <w:pPr>
              <w:widowControl/>
              <w:spacing w:line="480" w:lineRule="exact"/>
              <w:ind w:firstLine="480" w:firstLineChars="200"/>
              <w:jc w:val="left"/>
              <w:rPr>
                <w:sz w:val="24"/>
              </w:rPr>
            </w:pPr>
            <w:r>
              <w:rPr>
                <w:kern w:val="0"/>
                <w:sz w:val="24"/>
              </w:rPr>
              <w:t>本项目运营期废气主要为食堂油烟。</w:t>
            </w:r>
          </w:p>
          <w:p w14:paraId="0F8273FE">
            <w:pPr>
              <w:adjustRightInd w:val="0"/>
              <w:snapToGrid w:val="0"/>
              <w:spacing w:line="480" w:lineRule="exact"/>
              <w:ind w:firstLine="480" w:firstLineChars="200"/>
              <w:rPr>
                <w:kern w:val="24"/>
                <w:sz w:val="24"/>
              </w:rPr>
            </w:pPr>
            <w:r>
              <w:rPr>
                <w:kern w:val="24"/>
                <w:sz w:val="24"/>
              </w:rPr>
              <w:t>食堂油烟主要成分为动植物油烟雾等。升压站内食堂设2个燃气灶头，属小型规模，提供全站14人就餐。</w:t>
            </w:r>
          </w:p>
          <w:p w14:paraId="024465C5">
            <w:pPr>
              <w:adjustRightInd w:val="0"/>
              <w:snapToGrid w:val="0"/>
              <w:spacing w:line="480" w:lineRule="exact"/>
              <w:ind w:firstLine="480" w:firstLineChars="200"/>
              <w:rPr>
                <w:b/>
                <w:bCs/>
                <w:sz w:val="24"/>
              </w:rPr>
            </w:pPr>
            <w:r>
              <w:rPr>
                <w:kern w:val="24"/>
                <w:sz w:val="24"/>
              </w:rPr>
              <w:t>本项目食堂燃料为天然气，用量较少</w:t>
            </w:r>
            <w:r>
              <w:rPr>
                <w:sz w:val="24"/>
              </w:rPr>
              <w:t>，且属于清洁能源，燃烧产生的污染物量较少，因此本项目天然气燃烧产生的废气可以直接排放。</w:t>
            </w:r>
          </w:p>
          <w:p w14:paraId="33E77F08">
            <w:pPr>
              <w:widowControl/>
              <w:adjustRightInd w:val="0"/>
              <w:snapToGrid w:val="0"/>
              <w:spacing w:line="480" w:lineRule="exact"/>
              <w:ind w:firstLine="480" w:firstLineChars="200"/>
              <w:rPr>
                <w:kern w:val="24"/>
                <w:sz w:val="24"/>
              </w:rPr>
            </w:pPr>
            <w:r>
              <w:rPr>
                <w:kern w:val="24"/>
                <w:sz w:val="24"/>
              </w:rPr>
              <w:t>食堂食用油消耗量按每人每餐消耗食用油10g，每天三餐，每餐炊事时间为2h，一般油烟挥发量占总耗油量的2～4%，平均为2.81%，油烟产生量为1.967g/h，产生浓度为0.49mg/m</w:t>
            </w:r>
            <w:r>
              <w:rPr>
                <w:kern w:val="24"/>
                <w:sz w:val="24"/>
                <w:vertAlign w:val="superscript"/>
              </w:rPr>
              <w:t>3</w:t>
            </w:r>
            <w:r>
              <w:rPr>
                <w:kern w:val="24"/>
                <w:sz w:val="24"/>
              </w:rPr>
              <w:t>（风量为4000m</w:t>
            </w:r>
            <w:r>
              <w:rPr>
                <w:kern w:val="24"/>
                <w:sz w:val="24"/>
                <w:vertAlign w:val="superscript"/>
              </w:rPr>
              <w:t>3</w:t>
            </w:r>
            <w:r>
              <w:rPr>
                <w:kern w:val="24"/>
                <w:sz w:val="24"/>
              </w:rPr>
              <w:t>/h）。根据《饮食业油烟排放标准（试行）》（GB18483-2001）中的有关规定，建设单位拟安装处理效率不低于60%的油烟净化器对油烟进行净化，通过专用排气筒排放，排气筒出口朝向应避免易受影响的建筑物。经处理后的油烟浓度为0.20mg/m</w:t>
            </w:r>
            <w:r>
              <w:rPr>
                <w:kern w:val="24"/>
                <w:sz w:val="24"/>
                <w:vertAlign w:val="superscript"/>
              </w:rPr>
              <w:t>3</w:t>
            </w:r>
            <w:r>
              <w:rPr>
                <w:kern w:val="24"/>
                <w:sz w:val="24"/>
              </w:rPr>
              <w:t>，可满足</w:t>
            </w:r>
            <w:r>
              <w:rPr>
                <w:sz w:val="24"/>
              </w:rPr>
              <w:t>《餐饮业大气污染物排放标准》（DB13/5808-2023) 小型规模油烟最高允许排放浓度油烟1.5mg/m</w:t>
            </w:r>
            <w:r>
              <w:rPr>
                <w:sz w:val="24"/>
                <w:vertAlign w:val="superscript"/>
              </w:rPr>
              <w:t>3</w:t>
            </w:r>
            <w:r>
              <w:rPr>
                <w:sz w:val="24"/>
              </w:rPr>
              <w:t>的要求</w:t>
            </w:r>
            <w:r>
              <w:rPr>
                <w:kern w:val="24"/>
                <w:sz w:val="24"/>
              </w:rPr>
              <w:t>和</w:t>
            </w:r>
            <w:r>
              <w:rPr>
                <w:sz w:val="24"/>
              </w:rPr>
              <w:t>《唐山市餐饮油烟污染治理专项方案》  (唐气领办[2021]58号) ：油烟≤1mg/m</w:t>
            </w:r>
            <w:r>
              <w:rPr>
                <w:sz w:val="24"/>
                <w:vertAlign w:val="superscript"/>
              </w:rPr>
              <w:t>3</w:t>
            </w:r>
            <w:r>
              <w:rPr>
                <w:kern w:val="24"/>
                <w:sz w:val="24"/>
              </w:rPr>
              <w:t>的要求。</w:t>
            </w:r>
          </w:p>
          <w:p w14:paraId="6431A3B4">
            <w:pPr>
              <w:spacing w:line="480" w:lineRule="exact"/>
              <w:ind w:firstLine="482" w:firstLineChars="200"/>
              <w:outlineLvl w:val="1"/>
              <w:rPr>
                <w:b/>
                <w:bCs/>
                <w:kern w:val="0"/>
                <w:sz w:val="24"/>
              </w:rPr>
            </w:pPr>
            <w:r>
              <w:rPr>
                <w:b/>
                <w:bCs/>
                <w:kern w:val="0"/>
                <w:sz w:val="24"/>
              </w:rPr>
              <w:t>3、废水环境影响分析</w:t>
            </w:r>
          </w:p>
          <w:p w14:paraId="54B5ED51">
            <w:pPr>
              <w:widowControl/>
              <w:adjustRightInd w:val="0"/>
              <w:snapToGrid w:val="0"/>
              <w:spacing w:line="480" w:lineRule="exact"/>
              <w:ind w:firstLine="480" w:firstLineChars="200"/>
              <w:rPr>
                <w:sz w:val="24"/>
              </w:rPr>
            </w:pPr>
            <w:r>
              <w:rPr>
                <w:sz w:val="24"/>
              </w:rPr>
              <w:t>本项目运营期废水主要为升压站内职工生活污水。</w:t>
            </w:r>
          </w:p>
          <w:p w14:paraId="49C5F01D">
            <w:pPr>
              <w:widowControl/>
              <w:adjustRightInd w:val="0"/>
              <w:snapToGrid w:val="0"/>
              <w:spacing w:line="480" w:lineRule="exact"/>
              <w:ind w:firstLine="480" w:firstLineChars="200"/>
              <w:rPr>
                <w:sz w:val="24"/>
              </w:rPr>
            </w:pPr>
            <w:r>
              <w:rPr>
                <w:sz w:val="24"/>
              </w:rPr>
              <w:t>升压站内设有食堂、宿舍、洗浴设施，生活污水产生量1.344m</w:t>
            </w:r>
            <w:r>
              <w:rPr>
                <w:sz w:val="24"/>
                <w:vertAlign w:val="superscript"/>
              </w:rPr>
              <w:t>3</w:t>
            </w:r>
            <w:r>
              <w:rPr>
                <w:sz w:val="24"/>
              </w:rPr>
              <w:t>/d（490.56m</w:t>
            </w:r>
            <w:r>
              <w:rPr>
                <w:sz w:val="24"/>
                <w:vertAlign w:val="superscript"/>
              </w:rPr>
              <w:t>3</w:t>
            </w:r>
            <w:r>
              <w:rPr>
                <w:sz w:val="24"/>
              </w:rPr>
              <w:t>/a）。食堂废水采用隔油池处理后与其他生活污水共同排入化粪池，定期清掏，不外排。</w:t>
            </w:r>
          </w:p>
          <w:p w14:paraId="56C7FB26">
            <w:pPr>
              <w:widowControl/>
              <w:adjustRightInd w:val="0"/>
              <w:snapToGrid w:val="0"/>
              <w:spacing w:line="480" w:lineRule="exact"/>
              <w:ind w:firstLine="480" w:firstLineChars="200"/>
              <w:rPr>
                <w:sz w:val="24"/>
              </w:rPr>
            </w:pPr>
            <w:r>
              <w:rPr>
                <w:sz w:val="24"/>
              </w:rPr>
              <w:t>因此，本项目对周边地表水环境无明显不利影响。</w:t>
            </w:r>
          </w:p>
          <w:p w14:paraId="45437F74">
            <w:pPr>
              <w:spacing w:line="480" w:lineRule="exact"/>
              <w:ind w:firstLine="482" w:firstLineChars="200"/>
              <w:outlineLvl w:val="1"/>
              <w:rPr>
                <w:b/>
                <w:bCs/>
                <w:kern w:val="0"/>
                <w:sz w:val="24"/>
              </w:rPr>
            </w:pPr>
            <w:r>
              <w:rPr>
                <w:b/>
                <w:bCs/>
                <w:kern w:val="0"/>
                <w:sz w:val="24"/>
              </w:rPr>
              <w:t>4、声环境影响分析</w:t>
            </w:r>
          </w:p>
          <w:p w14:paraId="165A0FE3">
            <w:pPr>
              <w:spacing w:line="480" w:lineRule="exact"/>
              <w:ind w:firstLine="482" w:firstLineChars="200"/>
              <w:outlineLvl w:val="2"/>
              <w:rPr>
                <w:b/>
                <w:bCs/>
                <w:kern w:val="0"/>
                <w:sz w:val="24"/>
              </w:rPr>
            </w:pPr>
            <w:r>
              <w:rPr>
                <w:b/>
                <w:bCs/>
                <w:kern w:val="0"/>
                <w:sz w:val="24"/>
              </w:rPr>
              <w:t>4.1噪声源</w:t>
            </w:r>
          </w:p>
          <w:p w14:paraId="66DE9091">
            <w:pPr>
              <w:spacing w:line="480" w:lineRule="exact"/>
              <w:ind w:firstLine="480" w:firstLineChars="200"/>
              <w:rPr>
                <w:sz w:val="24"/>
              </w:rPr>
            </w:pPr>
            <w:r>
              <w:rPr>
                <w:sz w:val="24"/>
              </w:rPr>
              <w:t>本项目运营期主要噪声源为升压站内2台180MVA主变压器、SVG风机和风场内46台风机。</w:t>
            </w:r>
          </w:p>
          <w:p w14:paraId="7B122F73">
            <w:pPr>
              <w:spacing w:line="480" w:lineRule="exact"/>
              <w:ind w:firstLine="482" w:firstLineChars="200"/>
              <w:outlineLvl w:val="2"/>
              <w:rPr>
                <w:b/>
                <w:bCs/>
                <w:kern w:val="0"/>
                <w:sz w:val="24"/>
              </w:rPr>
            </w:pPr>
            <w:r>
              <w:rPr>
                <w:b/>
                <w:bCs/>
                <w:kern w:val="0"/>
                <w:sz w:val="24"/>
              </w:rPr>
              <w:t>4.2升压站噪声预测</w:t>
            </w:r>
          </w:p>
          <w:p w14:paraId="60F413D5">
            <w:pPr>
              <w:spacing w:line="480" w:lineRule="exact"/>
              <w:ind w:firstLine="480" w:firstLineChars="200"/>
              <w:rPr>
                <w:sz w:val="24"/>
              </w:rPr>
            </w:pPr>
            <w:r>
              <w:rPr>
                <w:sz w:val="24"/>
              </w:rPr>
              <w:t>本项目主变压器为油浸自冷型，不设散热风机。根据国家电力行业标准《变电站噪声控制技术导则》（DL/T1518-2016）附录B.1，220kV油浸自冷主变压器距离设备1.0m 处的声压级为65.2dB（A），声功率级为88.5dB（A），本次评价变压器噪声源强按声压级65.2dB（A）进行预测。根据无功补偿（SVG）设备厂家提供的资料，SVG风机距离设备1.0m处的声压级为62dB（A）。</w:t>
            </w:r>
          </w:p>
          <w:p w14:paraId="42A587F3">
            <w:pPr>
              <w:spacing w:line="480" w:lineRule="exact"/>
              <w:ind w:firstLine="480" w:firstLineChars="200"/>
              <w:rPr>
                <w:sz w:val="24"/>
              </w:rPr>
            </w:pPr>
            <w:r>
              <w:rPr>
                <w:sz w:val="24"/>
              </w:rPr>
              <w:t>本项目升压站噪声源及噪声值见表。</w:t>
            </w:r>
          </w:p>
          <w:p w14:paraId="797735B1">
            <w:pPr>
              <w:spacing w:line="480" w:lineRule="exact"/>
              <w:jc w:val="center"/>
              <w:outlineLvl w:val="3"/>
              <w:rPr>
                <w:b/>
                <w:bCs/>
                <w:szCs w:val="21"/>
              </w:rPr>
            </w:pPr>
            <w:r>
              <w:rPr>
                <w:b/>
                <w:bCs/>
                <w:szCs w:val="21"/>
              </w:rPr>
              <w:t>表4-</w:t>
            </w:r>
            <w:r>
              <w:rPr>
                <w:rFonts w:hint="eastAsia"/>
                <w:b/>
                <w:bCs/>
                <w:szCs w:val="21"/>
              </w:rPr>
              <w:t>4</w:t>
            </w:r>
            <w:r>
              <w:rPr>
                <w:b/>
                <w:bCs/>
                <w:szCs w:val="21"/>
              </w:rPr>
              <w:t xml:space="preserve">    本项目升压站噪声源调查清单</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05"/>
              <w:gridCol w:w="918"/>
              <w:gridCol w:w="744"/>
              <w:gridCol w:w="744"/>
              <w:gridCol w:w="749"/>
              <w:gridCol w:w="1266"/>
              <w:gridCol w:w="1916"/>
              <w:gridCol w:w="528"/>
            </w:tblGrid>
            <w:tr w14:paraId="2D101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342" w:type="pct"/>
                  <w:vMerge w:val="restart"/>
                  <w:tcBorders>
                    <w:tl2br w:val="nil"/>
                    <w:tr2bl w:val="nil"/>
                  </w:tcBorders>
                  <w:vAlign w:val="center"/>
                </w:tcPr>
                <w:p w14:paraId="428EE6A3">
                  <w:pPr>
                    <w:adjustRightInd w:val="0"/>
                    <w:jc w:val="center"/>
                    <w:textAlignment w:val="baseline"/>
                    <w:rPr>
                      <w:kern w:val="0"/>
                      <w:szCs w:val="21"/>
                    </w:rPr>
                  </w:pPr>
                  <w:r>
                    <w:rPr>
                      <w:kern w:val="0"/>
                      <w:szCs w:val="21"/>
                    </w:rPr>
                    <w:t>序号</w:t>
                  </w:r>
                </w:p>
              </w:tc>
              <w:tc>
                <w:tcPr>
                  <w:tcW w:w="622" w:type="pct"/>
                  <w:vMerge w:val="restart"/>
                  <w:tcBorders>
                    <w:tl2br w:val="nil"/>
                    <w:tr2bl w:val="nil"/>
                  </w:tcBorders>
                  <w:vAlign w:val="center"/>
                </w:tcPr>
                <w:p w14:paraId="19CEE73F">
                  <w:pPr>
                    <w:adjustRightInd w:val="0"/>
                    <w:jc w:val="center"/>
                    <w:textAlignment w:val="baseline"/>
                    <w:rPr>
                      <w:kern w:val="0"/>
                      <w:szCs w:val="21"/>
                    </w:rPr>
                  </w:pPr>
                  <w:r>
                    <w:rPr>
                      <w:kern w:val="0"/>
                      <w:szCs w:val="21"/>
                    </w:rPr>
                    <w:t>声源名称</w:t>
                  </w:r>
                </w:p>
              </w:tc>
              <w:tc>
                <w:tcPr>
                  <w:tcW w:w="1518" w:type="pct"/>
                  <w:gridSpan w:val="3"/>
                  <w:tcBorders>
                    <w:tl2br w:val="nil"/>
                    <w:tr2bl w:val="nil"/>
                  </w:tcBorders>
                  <w:vAlign w:val="center"/>
                </w:tcPr>
                <w:p w14:paraId="513132C7">
                  <w:pPr>
                    <w:adjustRightInd w:val="0"/>
                    <w:jc w:val="center"/>
                    <w:textAlignment w:val="baseline"/>
                    <w:rPr>
                      <w:kern w:val="0"/>
                      <w:szCs w:val="21"/>
                    </w:rPr>
                  </w:pPr>
                  <w:r>
                    <w:rPr>
                      <w:kern w:val="0"/>
                      <w:szCs w:val="21"/>
                    </w:rPr>
                    <w:t>空间相对位置/m</w:t>
                  </w:r>
                </w:p>
              </w:tc>
              <w:tc>
                <w:tcPr>
                  <w:tcW w:w="858" w:type="pct"/>
                  <w:vMerge w:val="restart"/>
                  <w:tcBorders>
                    <w:tl2br w:val="nil"/>
                    <w:tr2bl w:val="nil"/>
                  </w:tcBorders>
                  <w:vAlign w:val="center"/>
                </w:tcPr>
                <w:p w14:paraId="7175D4F6">
                  <w:pPr>
                    <w:adjustRightInd w:val="0"/>
                    <w:jc w:val="center"/>
                    <w:textAlignment w:val="baseline"/>
                    <w:rPr>
                      <w:kern w:val="0"/>
                      <w:szCs w:val="21"/>
                    </w:rPr>
                  </w:pPr>
                  <w:r>
                    <w:rPr>
                      <w:kern w:val="0"/>
                      <w:szCs w:val="21"/>
                    </w:rPr>
                    <w:t>声源源强（dB(A)）</w:t>
                  </w:r>
                </w:p>
              </w:tc>
              <w:tc>
                <w:tcPr>
                  <w:tcW w:w="1299" w:type="pct"/>
                  <w:vMerge w:val="restart"/>
                  <w:tcBorders>
                    <w:tl2br w:val="nil"/>
                    <w:tr2bl w:val="nil"/>
                  </w:tcBorders>
                  <w:vAlign w:val="center"/>
                </w:tcPr>
                <w:p w14:paraId="796CED11">
                  <w:pPr>
                    <w:adjustRightInd w:val="0"/>
                    <w:jc w:val="center"/>
                    <w:textAlignment w:val="baseline"/>
                    <w:rPr>
                      <w:kern w:val="0"/>
                      <w:szCs w:val="21"/>
                    </w:rPr>
                  </w:pPr>
                  <w:r>
                    <w:rPr>
                      <w:kern w:val="0"/>
                      <w:szCs w:val="21"/>
                    </w:rPr>
                    <w:t>声源控制措施</w:t>
                  </w:r>
                </w:p>
              </w:tc>
              <w:tc>
                <w:tcPr>
                  <w:tcW w:w="358" w:type="pct"/>
                  <w:vMerge w:val="restart"/>
                  <w:tcBorders>
                    <w:tl2br w:val="nil"/>
                    <w:tr2bl w:val="nil"/>
                  </w:tcBorders>
                  <w:vAlign w:val="center"/>
                </w:tcPr>
                <w:p w14:paraId="07FE7D5F">
                  <w:pPr>
                    <w:adjustRightInd w:val="0"/>
                    <w:jc w:val="center"/>
                    <w:textAlignment w:val="baseline"/>
                    <w:rPr>
                      <w:kern w:val="0"/>
                      <w:szCs w:val="21"/>
                    </w:rPr>
                  </w:pPr>
                  <w:r>
                    <w:rPr>
                      <w:kern w:val="0"/>
                      <w:szCs w:val="21"/>
                    </w:rPr>
                    <w:t>运行时段</w:t>
                  </w:r>
                </w:p>
              </w:tc>
            </w:tr>
            <w:tr w14:paraId="165F0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342" w:type="pct"/>
                  <w:vMerge w:val="continue"/>
                  <w:tcBorders>
                    <w:tl2br w:val="nil"/>
                    <w:tr2bl w:val="nil"/>
                  </w:tcBorders>
                  <w:vAlign w:val="center"/>
                </w:tcPr>
                <w:p w14:paraId="7135F9A8">
                  <w:pPr>
                    <w:adjustRightInd w:val="0"/>
                    <w:jc w:val="center"/>
                    <w:textAlignment w:val="baseline"/>
                    <w:rPr>
                      <w:kern w:val="0"/>
                      <w:szCs w:val="21"/>
                    </w:rPr>
                  </w:pPr>
                </w:p>
              </w:tc>
              <w:tc>
                <w:tcPr>
                  <w:tcW w:w="622" w:type="pct"/>
                  <w:vMerge w:val="continue"/>
                  <w:tcBorders>
                    <w:tl2br w:val="nil"/>
                    <w:tr2bl w:val="nil"/>
                  </w:tcBorders>
                  <w:vAlign w:val="center"/>
                </w:tcPr>
                <w:p w14:paraId="3ADA7BB4">
                  <w:pPr>
                    <w:adjustRightInd w:val="0"/>
                    <w:jc w:val="center"/>
                    <w:textAlignment w:val="baseline"/>
                    <w:rPr>
                      <w:kern w:val="0"/>
                      <w:szCs w:val="21"/>
                    </w:rPr>
                  </w:pPr>
                </w:p>
              </w:tc>
              <w:tc>
                <w:tcPr>
                  <w:tcW w:w="505" w:type="pct"/>
                  <w:tcBorders>
                    <w:tl2br w:val="nil"/>
                    <w:tr2bl w:val="nil"/>
                  </w:tcBorders>
                  <w:vAlign w:val="center"/>
                </w:tcPr>
                <w:p w14:paraId="096E99FA">
                  <w:pPr>
                    <w:adjustRightInd w:val="0"/>
                    <w:jc w:val="center"/>
                    <w:textAlignment w:val="baseline"/>
                    <w:rPr>
                      <w:kern w:val="0"/>
                      <w:szCs w:val="21"/>
                    </w:rPr>
                  </w:pPr>
                  <w:r>
                    <w:rPr>
                      <w:kern w:val="0"/>
                      <w:szCs w:val="21"/>
                    </w:rPr>
                    <w:t>X</w:t>
                  </w:r>
                </w:p>
              </w:tc>
              <w:tc>
                <w:tcPr>
                  <w:tcW w:w="505" w:type="pct"/>
                  <w:tcBorders>
                    <w:tl2br w:val="nil"/>
                    <w:tr2bl w:val="nil"/>
                  </w:tcBorders>
                  <w:vAlign w:val="center"/>
                </w:tcPr>
                <w:p w14:paraId="50F6FFAA">
                  <w:pPr>
                    <w:adjustRightInd w:val="0"/>
                    <w:jc w:val="center"/>
                    <w:textAlignment w:val="baseline"/>
                    <w:rPr>
                      <w:kern w:val="0"/>
                      <w:szCs w:val="21"/>
                    </w:rPr>
                  </w:pPr>
                  <w:r>
                    <w:rPr>
                      <w:kern w:val="0"/>
                      <w:szCs w:val="21"/>
                    </w:rPr>
                    <w:t>Y</w:t>
                  </w:r>
                </w:p>
              </w:tc>
              <w:tc>
                <w:tcPr>
                  <w:tcW w:w="507" w:type="pct"/>
                  <w:tcBorders>
                    <w:tl2br w:val="nil"/>
                    <w:tr2bl w:val="nil"/>
                  </w:tcBorders>
                  <w:vAlign w:val="center"/>
                </w:tcPr>
                <w:p w14:paraId="3808F2DC">
                  <w:pPr>
                    <w:adjustRightInd w:val="0"/>
                    <w:jc w:val="center"/>
                    <w:textAlignment w:val="baseline"/>
                    <w:rPr>
                      <w:kern w:val="0"/>
                      <w:szCs w:val="21"/>
                    </w:rPr>
                  </w:pPr>
                  <w:r>
                    <w:rPr>
                      <w:kern w:val="0"/>
                      <w:szCs w:val="21"/>
                    </w:rPr>
                    <w:t>Z</w:t>
                  </w:r>
                </w:p>
              </w:tc>
              <w:tc>
                <w:tcPr>
                  <w:tcW w:w="858" w:type="pct"/>
                  <w:vMerge w:val="continue"/>
                  <w:tcBorders>
                    <w:tl2br w:val="nil"/>
                    <w:tr2bl w:val="nil"/>
                  </w:tcBorders>
                  <w:vAlign w:val="center"/>
                </w:tcPr>
                <w:p w14:paraId="793BA1D5">
                  <w:pPr>
                    <w:adjustRightInd w:val="0"/>
                    <w:jc w:val="center"/>
                    <w:textAlignment w:val="baseline"/>
                    <w:rPr>
                      <w:kern w:val="0"/>
                      <w:szCs w:val="21"/>
                    </w:rPr>
                  </w:pPr>
                </w:p>
              </w:tc>
              <w:tc>
                <w:tcPr>
                  <w:tcW w:w="1299" w:type="pct"/>
                  <w:vMerge w:val="continue"/>
                  <w:tcBorders>
                    <w:tl2br w:val="nil"/>
                    <w:tr2bl w:val="nil"/>
                  </w:tcBorders>
                  <w:vAlign w:val="center"/>
                </w:tcPr>
                <w:p w14:paraId="1AC0BBEE">
                  <w:pPr>
                    <w:adjustRightInd w:val="0"/>
                    <w:jc w:val="center"/>
                    <w:textAlignment w:val="baseline"/>
                    <w:rPr>
                      <w:kern w:val="0"/>
                      <w:szCs w:val="21"/>
                    </w:rPr>
                  </w:pPr>
                </w:p>
              </w:tc>
              <w:tc>
                <w:tcPr>
                  <w:tcW w:w="358" w:type="pct"/>
                  <w:vMerge w:val="continue"/>
                  <w:tcBorders>
                    <w:tl2br w:val="nil"/>
                    <w:tr2bl w:val="nil"/>
                  </w:tcBorders>
                  <w:vAlign w:val="center"/>
                </w:tcPr>
                <w:p w14:paraId="0A4BE58F">
                  <w:pPr>
                    <w:adjustRightInd w:val="0"/>
                    <w:jc w:val="center"/>
                    <w:textAlignment w:val="baseline"/>
                    <w:rPr>
                      <w:kern w:val="0"/>
                      <w:szCs w:val="21"/>
                    </w:rPr>
                  </w:pPr>
                </w:p>
              </w:tc>
            </w:tr>
            <w:tr w14:paraId="533FE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4B1DC8D5">
                  <w:pPr>
                    <w:adjustRightInd w:val="0"/>
                    <w:jc w:val="center"/>
                    <w:textAlignment w:val="baseline"/>
                    <w:rPr>
                      <w:kern w:val="0"/>
                      <w:szCs w:val="21"/>
                    </w:rPr>
                  </w:pPr>
                  <w:r>
                    <w:rPr>
                      <w:kern w:val="0"/>
                      <w:szCs w:val="21"/>
                    </w:rPr>
                    <w:t>1</w:t>
                  </w:r>
                </w:p>
              </w:tc>
              <w:tc>
                <w:tcPr>
                  <w:tcW w:w="622" w:type="pct"/>
                  <w:vMerge w:val="restart"/>
                  <w:tcBorders>
                    <w:tl2br w:val="nil"/>
                    <w:tr2bl w:val="nil"/>
                  </w:tcBorders>
                  <w:vAlign w:val="center"/>
                </w:tcPr>
                <w:p w14:paraId="66A9DB13">
                  <w:pPr>
                    <w:adjustRightInd w:val="0"/>
                    <w:jc w:val="center"/>
                    <w:textAlignment w:val="baseline"/>
                    <w:rPr>
                      <w:kern w:val="0"/>
                      <w:szCs w:val="21"/>
                    </w:rPr>
                  </w:pPr>
                  <w:r>
                    <w:rPr>
                      <w:kern w:val="0"/>
                      <w:szCs w:val="21"/>
                    </w:rPr>
                    <w:t>变压器</w:t>
                  </w:r>
                </w:p>
              </w:tc>
              <w:tc>
                <w:tcPr>
                  <w:tcW w:w="505" w:type="pct"/>
                  <w:tcBorders>
                    <w:tl2br w:val="nil"/>
                    <w:tr2bl w:val="nil"/>
                  </w:tcBorders>
                  <w:vAlign w:val="center"/>
                </w:tcPr>
                <w:p w14:paraId="09468CBD">
                  <w:pPr>
                    <w:adjustRightInd w:val="0"/>
                    <w:jc w:val="center"/>
                    <w:textAlignment w:val="baseline"/>
                    <w:rPr>
                      <w:kern w:val="0"/>
                      <w:szCs w:val="21"/>
                    </w:rPr>
                  </w:pPr>
                  <w:r>
                    <w:rPr>
                      <w:kern w:val="0"/>
                      <w:szCs w:val="21"/>
                    </w:rPr>
                    <w:t>143.86</w:t>
                  </w:r>
                </w:p>
              </w:tc>
              <w:tc>
                <w:tcPr>
                  <w:tcW w:w="505" w:type="pct"/>
                  <w:tcBorders>
                    <w:tl2br w:val="nil"/>
                    <w:tr2bl w:val="nil"/>
                  </w:tcBorders>
                  <w:vAlign w:val="center"/>
                </w:tcPr>
                <w:p w14:paraId="2246C49D">
                  <w:pPr>
                    <w:adjustRightInd w:val="0"/>
                    <w:jc w:val="center"/>
                    <w:textAlignment w:val="baseline"/>
                    <w:rPr>
                      <w:kern w:val="0"/>
                      <w:szCs w:val="21"/>
                    </w:rPr>
                  </w:pPr>
                  <w:r>
                    <w:rPr>
                      <w:kern w:val="0"/>
                      <w:szCs w:val="21"/>
                    </w:rPr>
                    <w:t>51.78</w:t>
                  </w:r>
                </w:p>
              </w:tc>
              <w:tc>
                <w:tcPr>
                  <w:tcW w:w="507" w:type="pct"/>
                  <w:tcBorders>
                    <w:tl2br w:val="nil"/>
                    <w:tr2bl w:val="nil"/>
                  </w:tcBorders>
                  <w:vAlign w:val="center"/>
                </w:tcPr>
                <w:p w14:paraId="677C5877">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33FF114C">
                  <w:pPr>
                    <w:adjustRightInd w:val="0"/>
                    <w:jc w:val="center"/>
                    <w:textAlignment w:val="baseline"/>
                    <w:rPr>
                      <w:kern w:val="0"/>
                      <w:szCs w:val="21"/>
                    </w:rPr>
                  </w:pPr>
                  <w:r>
                    <w:rPr>
                      <w:kern w:val="0"/>
                      <w:szCs w:val="21"/>
                    </w:rPr>
                    <w:t>65.2</w:t>
                  </w:r>
                </w:p>
              </w:tc>
              <w:tc>
                <w:tcPr>
                  <w:tcW w:w="1299" w:type="pct"/>
                  <w:vMerge w:val="restart"/>
                  <w:tcBorders>
                    <w:tl2br w:val="nil"/>
                    <w:tr2bl w:val="nil"/>
                  </w:tcBorders>
                  <w:vAlign w:val="center"/>
                </w:tcPr>
                <w:p w14:paraId="15C3335A">
                  <w:pPr>
                    <w:adjustRightInd w:val="0"/>
                    <w:jc w:val="center"/>
                    <w:textAlignment w:val="baseline"/>
                    <w:rPr>
                      <w:kern w:val="0"/>
                      <w:szCs w:val="21"/>
                    </w:rPr>
                  </w:pPr>
                  <w:r>
                    <w:rPr>
                      <w:kern w:val="0"/>
                      <w:szCs w:val="21"/>
                    </w:rPr>
                    <w:t>合理布局及选型、基础减振、围墙隔声</w:t>
                  </w:r>
                </w:p>
              </w:tc>
              <w:tc>
                <w:tcPr>
                  <w:tcW w:w="358" w:type="pct"/>
                  <w:vMerge w:val="restart"/>
                  <w:tcBorders>
                    <w:tl2br w:val="nil"/>
                    <w:tr2bl w:val="nil"/>
                  </w:tcBorders>
                  <w:vAlign w:val="center"/>
                </w:tcPr>
                <w:p w14:paraId="3565FF71">
                  <w:pPr>
                    <w:adjustRightInd w:val="0"/>
                    <w:jc w:val="center"/>
                    <w:textAlignment w:val="baseline"/>
                    <w:rPr>
                      <w:kern w:val="0"/>
                      <w:szCs w:val="21"/>
                    </w:rPr>
                  </w:pPr>
                  <w:r>
                    <w:rPr>
                      <w:kern w:val="0"/>
                      <w:szCs w:val="21"/>
                    </w:rPr>
                    <w:t>24h</w:t>
                  </w:r>
                </w:p>
              </w:tc>
            </w:tr>
            <w:tr w14:paraId="5C21C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6917349E">
                  <w:pPr>
                    <w:adjustRightInd w:val="0"/>
                    <w:jc w:val="center"/>
                    <w:textAlignment w:val="baseline"/>
                    <w:rPr>
                      <w:kern w:val="0"/>
                      <w:szCs w:val="21"/>
                    </w:rPr>
                  </w:pPr>
                  <w:r>
                    <w:rPr>
                      <w:kern w:val="0"/>
                      <w:szCs w:val="21"/>
                    </w:rPr>
                    <w:t>2</w:t>
                  </w:r>
                </w:p>
              </w:tc>
              <w:tc>
                <w:tcPr>
                  <w:tcW w:w="622" w:type="pct"/>
                  <w:vMerge w:val="continue"/>
                  <w:tcBorders>
                    <w:tl2br w:val="nil"/>
                    <w:tr2bl w:val="nil"/>
                  </w:tcBorders>
                  <w:vAlign w:val="center"/>
                </w:tcPr>
                <w:p w14:paraId="1C0B6325">
                  <w:pPr>
                    <w:adjustRightInd w:val="0"/>
                    <w:jc w:val="center"/>
                    <w:textAlignment w:val="baseline"/>
                    <w:rPr>
                      <w:kern w:val="0"/>
                      <w:szCs w:val="21"/>
                    </w:rPr>
                  </w:pPr>
                </w:p>
              </w:tc>
              <w:tc>
                <w:tcPr>
                  <w:tcW w:w="505" w:type="pct"/>
                  <w:tcBorders>
                    <w:tl2br w:val="nil"/>
                    <w:tr2bl w:val="nil"/>
                  </w:tcBorders>
                  <w:vAlign w:val="center"/>
                </w:tcPr>
                <w:p w14:paraId="451C8913">
                  <w:pPr>
                    <w:adjustRightInd w:val="0"/>
                    <w:jc w:val="center"/>
                    <w:textAlignment w:val="baseline"/>
                    <w:rPr>
                      <w:kern w:val="0"/>
                      <w:szCs w:val="21"/>
                    </w:rPr>
                  </w:pPr>
                  <w:r>
                    <w:rPr>
                      <w:kern w:val="0"/>
                      <w:szCs w:val="21"/>
                    </w:rPr>
                    <w:t>123.18</w:t>
                  </w:r>
                </w:p>
              </w:tc>
              <w:tc>
                <w:tcPr>
                  <w:tcW w:w="505" w:type="pct"/>
                  <w:tcBorders>
                    <w:tl2br w:val="nil"/>
                    <w:tr2bl w:val="nil"/>
                  </w:tcBorders>
                  <w:vAlign w:val="center"/>
                </w:tcPr>
                <w:p w14:paraId="179FA71E">
                  <w:pPr>
                    <w:adjustRightInd w:val="0"/>
                    <w:jc w:val="center"/>
                    <w:textAlignment w:val="baseline"/>
                    <w:rPr>
                      <w:kern w:val="0"/>
                      <w:szCs w:val="21"/>
                    </w:rPr>
                  </w:pPr>
                  <w:r>
                    <w:rPr>
                      <w:kern w:val="0"/>
                      <w:szCs w:val="21"/>
                    </w:rPr>
                    <w:t>51.78</w:t>
                  </w:r>
                </w:p>
              </w:tc>
              <w:tc>
                <w:tcPr>
                  <w:tcW w:w="507" w:type="pct"/>
                  <w:tcBorders>
                    <w:tl2br w:val="nil"/>
                    <w:tr2bl w:val="nil"/>
                  </w:tcBorders>
                  <w:vAlign w:val="center"/>
                </w:tcPr>
                <w:p w14:paraId="79D56AB4">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096B8560">
                  <w:pPr>
                    <w:adjustRightInd w:val="0"/>
                    <w:jc w:val="center"/>
                    <w:textAlignment w:val="baseline"/>
                    <w:rPr>
                      <w:kern w:val="0"/>
                      <w:szCs w:val="21"/>
                    </w:rPr>
                  </w:pPr>
                  <w:r>
                    <w:rPr>
                      <w:kern w:val="0"/>
                      <w:szCs w:val="21"/>
                    </w:rPr>
                    <w:t>65.2</w:t>
                  </w:r>
                </w:p>
              </w:tc>
              <w:tc>
                <w:tcPr>
                  <w:tcW w:w="1299" w:type="pct"/>
                  <w:vMerge w:val="continue"/>
                  <w:tcBorders>
                    <w:tl2br w:val="nil"/>
                    <w:tr2bl w:val="nil"/>
                  </w:tcBorders>
                  <w:vAlign w:val="center"/>
                </w:tcPr>
                <w:p w14:paraId="7BE90E62">
                  <w:pPr>
                    <w:adjustRightInd w:val="0"/>
                    <w:jc w:val="center"/>
                    <w:textAlignment w:val="baseline"/>
                    <w:rPr>
                      <w:kern w:val="0"/>
                      <w:szCs w:val="21"/>
                    </w:rPr>
                  </w:pPr>
                </w:p>
              </w:tc>
              <w:tc>
                <w:tcPr>
                  <w:tcW w:w="358" w:type="pct"/>
                  <w:vMerge w:val="continue"/>
                  <w:tcBorders>
                    <w:tl2br w:val="nil"/>
                    <w:tr2bl w:val="nil"/>
                  </w:tcBorders>
                  <w:vAlign w:val="center"/>
                </w:tcPr>
                <w:p w14:paraId="1D4021C4">
                  <w:pPr>
                    <w:adjustRightInd w:val="0"/>
                    <w:jc w:val="center"/>
                    <w:textAlignment w:val="baseline"/>
                    <w:rPr>
                      <w:kern w:val="0"/>
                      <w:szCs w:val="21"/>
                    </w:rPr>
                  </w:pPr>
                </w:p>
              </w:tc>
            </w:tr>
            <w:tr w14:paraId="3BB90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007D960D">
                  <w:pPr>
                    <w:adjustRightInd w:val="0"/>
                    <w:jc w:val="center"/>
                    <w:textAlignment w:val="baseline"/>
                    <w:rPr>
                      <w:kern w:val="0"/>
                      <w:szCs w:val="21"/>
                    </w:rPr>
                  </w:pPr>
                  <w:r>
                    <w:rPr>
                      <w:kern w:val="0"/>
                      <w:szCs w:val="21"/>
                    </w:rPr>
                    <w:t>3</w:t>
                  </w:r>
                </w:p>
              </w:tc>
              <w:tc>
                <w:tcPr>
                  <w:tcW w:w="622" w:type="pct"/>
                  <w:vMerge w:val="restart"/>
                  <w:tcBorders>
                    <w:tl2br w:val="nil"/>
                    <w:tr2bl w:val="nil"/>
                  </w:tcBorders>
                  <w:vAlign w:val="center"/>
                </w:tcPr>
                <w:p w14:paraId="45DC5AB2">
                  <w:pPr>
                    <w:adjustRightInd w:val="0"/>
                    <w:jc w:val="center"/>
                    <w:textAlignment w:val="baseline"/>
                    <w:rPr>
                      <w:kern w:val="0"/>
                      <w:szCs w:val="21"/>
                    </w:rPr>
                  </w:pPr>
                  <w:r>
                    <w:rPr>
                      <w:kern w:val="0"/>
                      <w:szCs w:val="21"/>
                    </w:rPr>
                    <w:t>SVG风机</w:t>
                  </w:r>
                </w:p>
              </w:tc>
              <w:tc>
                <w:tcPr>
                  <w:tcW w:w="505" w:type="pct"/>
                  <w:tcBorders>
                    <w:tl2br w:val="nil"/>
                    <w:tr2bl w:val="nil"/>
                  </w:tcBorders>
                  <w:vAlign w:val="center"/>
                </w:tcPr>
                <w:p w14:paraId="69341859">
                  <w:pPr>
                    <w:adjustRightInd w:val="0"/>
                    <w:jc w:val="center"/>
                    <w:textAlignment w:val="baseline"/>
                    <w:rPr>
                      <w:kern w:val="0"/>
                      <w:szCs w:val="21"/>
                    </w:rPr>
                  </w:pPr>
                  <w:r>
                    <w:rPr>
                      <w:kern w:val="0"/>
                      <w:szCs w:val="21"/>
                    </w:rPr>
                    <w:t>147.04</w:t>
                  </w:r>
                </w:p>
              </w:tc>
              <w:tc>
                <w:tcPr>
                  <w:tcW w:w="505" w:type="pct"/>
                  <w:tcBorders>
                    <w:tl2br w:val="nil"/>
                    <w:tr2bl w:val="nil"/>
                  </w:tcBorders>
                  <w:vAlign w:val="center"/>
                </w:tcPr>
                <w:p w14:paraId="7F829202">
                  <w:pPr>
                    <w:adjustRightInd w:val="0"/>
                    <w:jc w:val="center"/>
                    <w:textAlignment w:val="baseline"/>
                    <w:rPr>
                      <w:kern w:val="0"/>
                      <w:szCs w:val="21"/>
                    </w:rPr>
                  </w:pPr>
                  <w:r>
                    <w:rPr>
                      <w:kern w:val="0"/>
                      <w:szCs w:val="21"/>
                    </w:rPr>
                    <w:t>21.82</w:t>
                  </w:r>
                </w:p>
              </w:tc>
              <w:tc>
                <w:tcPr>
                  <w:tcW w:w="507" w:type="pct"/>
                  <w:tcBorders>
                    <w:tl2br w:val="nil"/>
                    <w:tr2bl w:val="nil"/>
                  </w:tcBorders>
                  <w:vAlign w:val="center"/>
                </w:tcPr>
                <w:p w14:paraId="7B7DBE7A">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50B83F9D">
                  <w:pPr>
                    <w:adjustRightInd w:val="0"/>
                    <w:jc w:val="center"/>
                    <w:textAlignment w:val="baseline"/>
                    <w:rPr>
                      <w:kern w:val="0"/>
                      <w:szCs w:val="21"/>
                    </w:rPr>
                  </w:pPr>
                  <w:r>
                    <w:rPr>
                      <w:kern w:val="0"/>
                      <w:szCs w:val="21"/>
                    </w:rPr>
                    <w:t>62</w:t>
                  </w:r>
                </w:p>
              </w:tc>
              <w:tc>
                <w:tcPr>
                  <w:tcW w:w="1299" w:type="pct"/>
                  <w:vMerge w:val="restart"/>
                  <w:tcBorders>
                    <w:tl2br w:val="nil"/>
                    <w:tr2bl w:val="nil"/>
                  </w:tcBorders>
                  <w:vAlign w:val="center"/>
                </w:tcPr>
                <w:p w14:paraId="65CE1922">
                  <w:pPr>
                    <w:adjustRightInd w:val="0"/>
                    <w:jc w:val="center"/>
                    <w:textAlignment w:val="baseline"/>
                    <w:rPr>
                      <w:kern w:val="0"/>
                      <w:szCs w:val="21"/>
                    </w:rPr>
                  </w:pPr>
                  <w:r>
                    <w:rPr>
                      <w:kern w:val="0"/>
                      <w:szCs w:val="21"/>
                    </w:rPr>
                    <w:t>合理布局及选型、基础减振、围墙隔声</w:t>
                  </w:r>
                </w:p>
              </w:tc>
              <w:tc>
                <w:tcPr>
                  <w:tcW w:w="358" w:type="pct"/>
                  <w:vMerge w:val="restart"/>
                  <w:tcBorders>
                    <w:tl2br w:val="nil"/>
                    <w:tr2bl w:val="nil"/>
                  </w:tcBorders>
                  <w:vAlign w:val="center"/>
                </w:tcPr>
                <w:p w14:paraId="384493AB">
                  <w:pPr>
                    <w:adjustRightInd w:val="0"/>
                    <w:jc w:val="center"/>
                    <w:textAlignment w:val="baseline"/>
                    <w:rPr>
                      <w:kern w:val="0"/>
                      <w:szCs w:val="21"/>
                    </w:rPr>
                  </w:pPr>
                  <w:r>
                    <w:rPr>
                      <w:kern w:val="0"/>
                      <w:szCs w:val="21"/>
                    </w:rPr>
                    <w:t>24h</w:t>
                  </w:r>
                </w:p>
              </w:tc>
            </w:tr>
            <w:tr w14:paraId="79C7E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447596FC">
                  <w:pPr>
                    <w:adjustRightInd w:val="0"/>
                    <w:jc w:val="center"/>
                    <w:textAlignment w:val="baseline"/>
                    <w:rPr>
                      <w:kern w:val="0"/>
                      <w:szCs w:val="21"/>
                    </w:rPr>
                  </w:pPr>
                  <w:r>
                    <w:rPr>
                      <w:kern w:val="0"/>
                      <w:szCs w:val="21"/>
                    </w:rPr>
                    <w:t>4</w:t>
                  </w:r>
                </w:p>
              </w:tc>
              <w:tc>
                <w:tcPr>
                  <w:tcW w:w="622" w:type="pct"/>
                  <w:vMerge w:val="continue"/>
                  <w:tcBorders>
                    <w:tl2br w:val="nil"/>
                    <w:tr2bl w:val="nil"/>
                  </w:tcBorders>
                  <w:vAlign w:val="center"/>
                </w:tcPr>
                <w:p w14:paraId="60BDC789">
                  <w:pPr>
                    <w:adjustRightInd w:val="0"/>
                    <w:jc w:val="center"/>
                    <w:textAlignment w:val="baseline"/>
                    <w:rPr>
                      <w:kern w:val="0"/>
                      <w:szCs w:val="21"/>
                    </w:rPr>
                  </w:pPr>
                </w:p>
              </w:tc>
              <w:tc>
                <w:tcPr>
                  <w:tcW w:w="505" w:type="pct"/>
                  <w:tcBorders>
                    <w:tl2br w:val="nil"/>
                    <w:tr2bl w:val="nil"/>
                  </w:tcBorders>
                  <w:vAlign w:val="center"/>
                </w:tcPr>
                <w:p w14:paraId="2A4DBFAD">
                  <w:pPr>
                    <w:adjustRightInd w:val="0"/>
                    <w:jc w:val="center"/>
                    <w:textAlignment w:val="baseline"/>
                    <w:rPr>
                      <w:kern w:val="0"/>
                      <w:szCs w:val="21"/>
                    </w:rPr>
                  </w:pPr>
                  <w:r>
                    <w:rPr>
                      <w:kern w:val="0"/>
                      <w:szCs w:val="21"/>
                    </w:rPr>
                    <w:t>145.93</w:t>
                  </w:r>
                </w:p>
              </w:tc>
              <w:tc>
                <w:tcPr>
                  <w:tcW w:w="505" w:type="pct"/>
                  <w:tcBorders>
                    <w:tl2br w:val="nil"/>
                    <w:tr2bl w:val="nil"/>
                  </w:tcBorders>
                  <w:vAlign w:val="center"/>
                </w:tcPr>
                <w:p w14:paraId="7115FCD5">
                  <w:pPr>
                    <w:adjustRightInd w:val="0"/>
                    <w:jc w:val="center"/>
                    <w:textAlignment w:val="baseline"/>
                    <w:rPr>
                      <w:kern w:val="0"/>
                      <w:szCs w:val="21"/>
                    </w:rPr>
                  </w:pPr>
                  <w:r>
                    <w:t>21.82</w:t>
                  </w:r>
                </w:p>
              </w:tc>
              <w:tc>
                <w:tcPr>
                  <w:tcW w:w="507" w:type="pct"/>
                  <w:tcBorders>
                    <w:tl2br w:val="nil"/>
                    <w:tr2bl w:val="nil"/>
                  </w:tcBorders>
                  <w:vAlign w:val="center"/>
                </w:tcPr>
                <w:p w14:paraId="1BDE978C">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2A59214E">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2809AD50">
                  <w:pPr>
                    <w:adjustRightInd w:val="0"/>
                    <w:jc w:val="center"/>
                    <w:textAlignment w:val="baseline"/>
                    <w:rPr>
                      <w:kern w:val="0"/>
                      <w:szCs w:val="21"/>
                    </w:rPr>
                  </w:pPr>
                </w:p>
              </w:tc>
              <w:tc>
                <w:tcPr>
                  <w:tcW w:w="358" w:type="pct"/>
                  <w:vMerge w:val="continue"/>
                  <w:tcBorders>
                    <w:tl2br w:val="nil"/>
                    <w:tr2bl w:val="nil"/>
                  </w:tcBorders>
                  <w:vAlign w:val="center"/>
                </w:tcPr>
                <w:p w14:paraId="746CEB17">
                  <w:pPr>
                    <w:adjustRightInd w:val="0"/>
                    <w:jc w:val="center"/>
                    <w:textAlignment w:val="baseline"/>
                    <w:rPr>
                      <w:kern w:val="0"/>
                      <w:szCs w:val="21"/>
                    </w:rPr>
                  </w:pPr>
                </w:p>
              </w:tc>
            </w:tr>
            <w:tr w14:paraId="5AFB7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45E44813">
                  <w:pPr>
                    <w:adjustRightInd w:val="0"/>
                    <w:jc w:val="center"/>
                    <w:textAlignment w:val="baseline"/>
                    <w:rPr>
                      <w:kern w:val="0"/>
                      <w:szCs w:val="21"/>
                    </w:rPr>
                  </w:pPr>
                  <w:r>
                    <w:rPr>
                      <w:kern w:val="0"/>
                      <w:szCs w:val="21"/>
                    </w:rPr>
                    <w:t>5</w:t>
                  </w:r>
                </w:p>
              </w:tc>
              <w:tc>
                <w:tcPr>
                  <w:tcW w:w="622" w:type="pct"/>
                  <w:vMerge w:val="continue"/>
                  <w:tcBorders>
                    <w:tl2br w:val="nil"/>
                    <w:tr2bl w:val="nil"/>
                  </w:tcBorders>
                  <w:vAlign w:val="center"/>
                </w:tcPr>
                <w:p w14:paraId="6EEF48A0">
                  <w:pPr>
                    <w:adjustRightInd w:val="0"/>
                    <w:jc w:val="center"/>
                    <w:textAlignment w:val="baseline"/>
                    <w:rPr>
                      <w:kern w:val="0"/>
                      <w:szCs w:val="21"/>
                    </w:rPr>
                  </w:pPr>
                </w:p>
              </w:tc>
              <w:tc>
                <w:tcPr>
                  <w:tcW w:w="505" w:type="pct"/>
                  <w:tcBorders>
                    <w:tl2br w:val="nil"/>
                    <w:tr2bl w:val="nil"/>
                  </w:tcBorders>
                  <w:vAlign w:val="center"/>
                </w:tcPr>
                <w:p w14:paraId="422CA1CA">
                  <w:pPr>
                    <w:adjustRightInd w:val="0"/>
                    <w:jc w:val="center"/>
                    <w:textAlignment w:val="baseline"/>
                    <w:rPr>
                      <w:kern w:val="0"/>
                      <w:szCs w:val="21"/>
                    </w:rPr>
                  </w:pPr>
                  <w:r>
                    <w:rPr>
                      <w:kern w:val="0"/>
                      <w:szCs w:val="21"/>
                    </w:rPr>
                    <w:t>144.52</w:t>
                  </w:r>
                </w:p>
              </w:tc>
              <w:tc>
                <w:tcPr>
                  <w:tcW w:w="505" w:type="pct"/>
                  <w:tcBorders>
                    <w:tl2br w:val="nil"/>
                    <w:tr2bl w:val="nil"/>
                  </w:tcBorders>
                  <w:vAlign w:val="center"/>
                </w:tcPr>
                <w:p w14:paraId="33BDE2EA">
                  <w:pPr>
                    <w:adjustRightInd w:val="0"/>
                    <w:jc w:val="center"/>
                    <w:textAlignment w:val="baseline"/>
                    <w:rPr>
                      <w:kern w:val="0"/>
                      <w:szCs w:val="21"/>
                    </w:rPr>
                  </w:pPr>
                  <w:r>
                    <w:t>21.82</w:t>
                  </w:r>
                </w:p>
              </w:tc>
              <w:tc>
                <w:tcPr>
                  <w:tcW w:w="507" w:type="pct"/>
                  <w:tcBorders>
                    <w:tl2br w:val="nil"/>
                    <w:tr2bl w:val="nil"/>
                  </w:tcBorders>
                  <w:vAlign w:val="center"/>
                </w:tcPr>
                <w:p w14:paraId="4B774ACD">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45C386D8">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440BBA48">
                  <w:pPr>
                    <w:adjustRightInd w:val="0"/>
                    <w:jc w:val="center"/>
                    <w:textAlignment w:val="baseline"/>
                    <w:rPr>
                      <w:kern w:val="0"/>
                      <w:szCs w:val="21"/>
                    </w:rPr>
                  </w:pPr>
                </w:p>
              </w:tc>
              <w:tc>
                <w:tcPr>
                  <w:tcW w:w="358" w:type="pct"/>
                  <w:vMerge w:val="continue"/>
                  <w:tcBorders>
                    <w:tl2br w:val="nil"/>
                    <w:tr2bl w:val="nil"/>
                  </w:tcBorders>
                  <w:vAlign w:val="center"/>
                </w:tcPr>
                <w:p w14:paraId="5C05C686">
                  <w:pPr>
                    <w:adjustRightInd w:val="0"/>
                    <w:jc w:val="center"/>
                    <w:textAlignment w:val="baseline"/>
                    <w:rPr>
                      <w:kern w:val="0"/>
                      <w:szCs w:val="21"/>
                    </w:rPr>
                  </w:pPr>
                </w:p>
              </w:tc>
            </w:tr>
            <w:tr w14:paraId="05103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737E1B60">
                  <w:pPr>
                    <w:adjustRightInd w:val="0"/>
                    <w:jc w:val="center"/>
                    <w:textAlignment w:val="baseline"/>
                    <w:rPr>
                      <w:kern w:val="0"/>
                      <w:szCs w:val="21"/>
                    </w:rPr>
                  </w:pPr>
                  <w:r>
                    <w:rPr>
                      <w:kern w:val="0"/>
                      <w:szCs w:val="21"/>
                    </w:rPr>
                    <w:t>6</w:t>
                  </w:r>
                </w:p>
              </w:tc>
              <w:tc>
                <w:tcPr>
                  <w:tcW w:w="622" w:type="pct"/>
                  <w:vMerge w:val="continue"/>
                  <w:tcBorders>
                    <w:tl2br w:val="nil"/>
                    <w:tr2bl w:val="nil"/>
                  </w:tcBorders>
                  <w:vAlign w:val="center"/>
                </w:tcPr>
                <w:p w14:paraId="3A601B32">
                  <w:pPr>
                    <w:adjustRightInd w:val="0"/>
                    <w:jc w:val="center"/>
                    <w:textAlignment w:val="baseline"/>
                    <w:rPr>
                      <w:kern w:val="0"/>
                      <w:szCs w:val="21"/>
                    </w:rPr>
                  </w:pPr>
                </w:p>
              </w:tc>
              <w:tc>
                <w:tcPr>
                  <w:tcW w:w="505" w:type="pct"/>
                  <w:tcBorders>
                    <w:tl2br w:val="nil"/>
                    <w:tr2bl w:val="nil"/>
                  </w:tcBorders>
                  <w:vAlign w:val="center"/>
                </w:tcPr>
                <w:p w14:paraId="25274CBC">
                  <w:pPr>
                    <w:adjustRightInd w:val="0"/>
                    <w:jc w:val="center"/>
                    <w:textAlignment w:val="baseline"/>
                    <w:rPr>
                      <w:kern w:val="0"/>
                      <w:szCs w:val="21"/>
                    </w:rPr>
                  </w:pPr>
                  <w:r>
                    <w:rPr>
                      <w:kern w:val="0"/>
                      <w:szCs w:val="21"/>
                    </w:rPr>
                    <w:t>120.38</w:t>
                  </w:r>
                </w:p>
              </w:tc>
              <w:tc>
                <w:tcPr>
                  <w:tcW w:w="505" w:type="pct"/>
                  <w:tcBorders>
                    <w:tl2br w:val="nil"/>
                    <w:tr2bl w:val="nil"/>
                  </w:tcBorders>
                  <w:vAlign w:val="center"/>
                </w:tcPr>
                <w:p w14:paraId="51F80421">
                  <w:pPr>
                    <w:adjustRightInd w:val="0"/>
                    <w:jc w:val="center"/>
                    <w:textAlignment w:val="baseline"/>
                    <w:rPr>
                      <w:kern w:val="0"/>
                      <w:szCs w:val="21"/>
                    </w:rPr>
                  </w:pPr>
                  <w:r>
                    <w:t>21.82</w:t>
                  </w:r>
                </w:p>
              </w:tc>
              <w:tc>
                <w:tcPr>
                  <w:tcW w:w="507" w:type="pct"/>
                  <w:tcBorders>
                    <w:tl2br w:val="nil"/>
                    <w:tr2bl w:val="nil"/>
                  </w:tcBorders>
                  <w:vAlign w:val="center"/>
                </w:tcPr>
                <w:p w14:paraId="136D90BF">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4BE7F5EC">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4728EBDB">
                  <w:pPr>
                    <w:adjustRightInd w:val="0"/>
                    <w:jc w:val="center"/>
                    <w:textAlignment w:val="baseline"/>
                    <w:rPr>
                      <w:kern w:val="0"/>
                      <w:szCs w:val="21"/>
                    </w:rPr>
                  </w:pPr>
                </w:p>
              </w:tc>
              <w:tc>
                <w:tcPr>
                  <w:tcW w:w="358" w:type="pct"/>
                  <w:vMerge w:val="continue"/>
                  <w:tcBorders>
                    <w:tl2br w:val="nil"/>
                    <w:tr2bl w:val="nil"/>
                  </w:tcBorders>
                  <w:vAlign w:val="center"/>
                </w:tcPr>
                <w:p w14:paraId="742DA74B">
                  <w:pPr>
                    <w:adjustRightInd w:val="0"/>
                    <w:jc w:val="center"/>
                    <w:textAlignment w:val="baseline"/>
                    <w:rPr>
                      <w:kern w:val="0"/>
                      <w:szCs w:val="21"/>
                    </w:rPr>
                  </w:pPr>
                </w:p>
              </w:tc>
            </w:tr>
            <w:tr w14:paraId="56DD6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24A4311B">
                  <w:pPr>
                    <w:adjustRightInd w:val="0"/>
                    <w:jc w:val="center"/>
                    <w:textAlignment w:val="baseline"/>
                    <w:rPr>
                      <w:kern w:val="0"/>
                      <w:szCs w:val="21"/>
                    </w:rPr>
                  </w:pPr>
                  <w:r>
                    <w:rPr>
                      <w:kern w:val="0"/>
                      <w:szCs w:val="21"/>
                    </w:rPr>
                    <w:t>7</w:t>
                  </w:r>
                </w:p>
              </w:tc>
              <w:tc>
                <w:tcPr>
                  <w:tcW w:w="622" w:type="pct"/>
                  <w:vMerge w:val="continue"/>
                  <w:tcBorders>
                    <w:tl2br w:val="nil"/>
                    <w:tr2bl w:val="nil"/>
                  </w:tcBorders>
                  <w:vAlign w:val="center"/>
                </w:tcPr>
                <w:p w14:paraId="17C2FE9F">
                  <w:pPr>
                    <w:adjustRightInd w:val="0"/>
                    <w:jc w:val="center"/>
                    <w:textAlignment w:val="baseline"/>
                    <w:rPr>
                      <w:kern w:val="0"/>
                      <w:szCs w:val="21"/>
                    </w:rPr>
                  </w:pPr>
                </w:p>
              </w:tc>
              <w:tc>
                <w:tcPr>
                  <w:tcW w:w="505" w:type="pct"/>
                  <w:tcBorders>
                    <w:tl2br w:val="nil"/>
                    <w:tr2bl w:val="nil"/>
                  </w:tcBorders>
                  <w:vAlign w:val="center"/>
                </w:tcPr>
                <w:p w14:paraId="0990D47D">
                  <w:pPr>
                    <w:adjustRightInd w:val="0"/>
                    <w:jc w:val="center"/>
                    <w:textAlignment w:val="baseline"/>
                    <w:rPr>
                      <w:kern w:val="0"/>
                      <w:szCs w:val="21"/>
                    </w:rPr>
                  </w:pPr>
                  <w:r>
                    <w:rPr>
                      <w:kern w:val="0"/>
                      <w:szCs w:val="21"/>
                    </w:rPr>
                    <w:t>119.37</w:t>
                  </w:r>
                </w:p>
              </w:tc>
              <w:tc>
                <w:tcPr>
                  <w:tcW w:w="505" w:type="pct"/>
                  <w:tcBorders>
                    <w:tl2br w:val="nil"/>
                    <w:tr2bl w:val="nil"/>
                  </w:tcBorders>
                  <w:vAlign w:val="center"/>
                </w:tcPr>
                <w:p w14:paraId="0F330D90">
                  <w:pPr>
                    <w:adjustRightInd w:val="0"/>
                    <w:jc w:val="center"/>
                    <w:textAlignment w:val="baseline"/>
                    <w:rPr>
                      <w:kern w:val="0"/>
                      <w:szCs w:val="21"/>
                    </w:rPr>
                  </w:pPr>
                  <w:r>
                    <w:t>21.82</w:t>
                  </w:r>
                </w:p>
              </w:tc>
              <w:tc>
                <w:tcPr>
                  <w:tcW w:w="507" w:type="pct"/>
                  <w:tcBorders>
                    <w:tl2br w:val="nil"/>
                    <w:tr2bl w:val="nil"/>
                  </w:tcBorders>
                  <w:vAlign w:val="center"/>
                </w:tcPr>
                <w:p w14:paraId="56E19335">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48F63EB6">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114D8E3C">
                  <w:pPr>
                    <w:adjustRightInd w:val="0"/>
                    <w:jc w:val="center"/>
                    <w:textAlignment w:val="baseline"/>
                    <w:rPr>
                      <w:kern w:val="0"/>
                      <w:szCs w:val="21"/>
                    </w:rPr>
                  </w:pPr>
                </w:p>
              </w:tc>
              <w:tc>
                <w:tcPr>
                  <w:tcW w:w="358" w:type="pct"/>
                  <w:vMerge w:val="continue"/>
                  <w:tcBorders>
                    <w:tl2br w:val="nil"/>
                    <w:tr2bl w:val="nil"/>
                  </w:tcBorders>
                  <w:vAlign w:val="center"/>
                </w:tcPr>
                <w:p w14:paraId="59AC8EE3">
                  <w:pPr>
                    <w:adjustRightInd w:val="0"/>
                    <w:jc w:val="center"/>
                    <w:textAlignment w:val="baseline"/>
                    <w:rPr>
                      <w:kern w:val="0"/>
                      <w:szCs w:val="21"/>
                    </w:rPr>
                  </w:pPr>
                </w:p>
              </w:tc>
            </w:tr>
            <w:tr w14:paraId="6F8DC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2" w:type="pct"/>
                  <w:tcBorders>
                    <w:tl2br w:val="nil"/>
                    <w:tr2bl w:val="nil"/>
                  </w:tcBorders>
                  <w:vAlign w:val="center"/>
                </w:tcPr>
                <w:p w14:paraId="4FCAF98B">
                  <w:pPr>
                    <w:adjustRightInd w:val="0"/>
                    <w:jc w:val="center"/>
                    <w:textAlignment w:val="baseline"/>
                    <w:rPr>
                      <w:kern w:val="0"/>
                      <w:szCs w:val="21"/>
                    </w:rPr>
                  </w:pPr>
                  <w:r>
                    <w:rPr>
                      <w:kern w:val="0"/>
                      <w:szCs w:val="21"/>
                    </w:rPr>
                    <w:t>8</w:t>
                  </w:r>
                </w:p>
              </w:tc>
              <w:tc>
                <w:tcPr>
                  <w:tcW w:w="622" w:type="pct"/>
                  <w:vMerge w:val="continue"/>
                  <w:tcBorders>
                    <w:tl2br w:val="nil"/>
                    <w:tr2bl w:val="nil"/>
                  </w:tcBorders>
                  <w:vAlign w:val="center"/>
                </w:tcPr>
                <w:p w14:paraId="158E068E">
                  <w:pPr>
                    <w:adjustRightInd w:val="0"/>
                    <w:jc w:val="center"/>
                    <w:textAlignment w:val="baseline"/>
                    <w:rPr>
                      <w:kern w:val="0"/>
                      <w:szCs w:val="21"/>
                    </w:rPr>
                  </w:pPr>
                </w:p>
              </w:tc>
              <w:tc>
                <w:tcPr>
                  <w:tcW w:w="505" w:type="pct"/>
                  <w:tcBorders>
                    <w:tl2br w:val="nil"/>
                    <w:tr2bl w:val="nil"/>
                  </w:tcBorders>
                  <w:vAlign w:val="center"/>
                </w:tcPr>
                <w:p w14:paraId="0CF0EFFF">
                  <w:pPr>
                    <w:adjustRightInd w:val="0"/>
                    <w:jc w:val="center"/>
                    <w:textAlignment w:val="baseline"/>
                    <w:rPr>
                      <w:kern w:val="0"/>
                      <w:szCs w:val="21"/>
                    </w:rPr>
                  </w:pPr>
                  <w:r>
                    <w:rPr>
                      <w:kern w:val="0"/>
                      <w:szCs w:val="21"/>
                    </w:rPr>
                    <w:t>117.86</w:t>
                  </w:r>
                </w:p>
              </w:tc>
              <w:tc>
                <w:tcPr>
                  <w:tcW w:w="505" w:type="pct"/>
                  <w:tcBorders>
                    <w:tl2br w:val="nil"/>
                    <w:tr2bl w:val="nil"/>
                  </w:tcBorders>
                  <w:vAlign w:val="center"/>
                </w:tcPr>
                <w:p w14:paraId="34DE673E">
                  <w:pPr>
                    <w:adjustRightInd w:val="0"/>
                    <w:jc w:val="center"/>
                    <w:textAlignment w:val="baseline"/>
                    <w:rPr>
                      <w:kern w:val="0"/>
                      <w:szCs w:val="21"/>
                    </w:rPr>
                  </w:pPr>
                  <w:r>
                    <w:t>21.82</w:t>
                  </w:r>
                </w:p>
              </w:tc>
              <w:tc>
                <w:tcPr>
                  <w:tcW w:w="507" w:type="pct"/>
                  <w:tcBorders>
                    <w:tl2br w:val="nil"/>
                    <w:tr2bl w:val="nil"/>
                  </w:tcBorders>
                  <w:vAlign w:val="center"/>
                </w:tcPr>
                <w:p w14:paraId="2F6C32A6">
                  <w:pPr>
                    <w:adjustRightInd w:val="0"/>
                    <w:jc w:val="center"/>
                    <w:textAlignment w:val="baseline"/>
                    <w:rPr>
                      <w:kern w:val="0"/>
                      <w:szCs w:val="21"/>
                    </w:rPr>
                  </w:pPr>
                  <w:r>
                    <w:rPr>
                      <w:kern w:val="0"/>
                      <w:szCs w:val="21"/>
                    </w:rPr>
                    <w:t>1</w:t>
                  </w:r>
                </w:p>
              </w:tc>
              <w:tc>
                <w:tcPr>
                  <w:tcW w:w="858" w:type="pct"/>
                  <w:tcBorders>
                    <w:tl2br w:val="nil"/>
                    <w:tr2bl w:val="nil"/>
                  </w:tcBorders>
                  <w:vAlign w:val="center"/>
                </w:tcPr>
                <w:p w14:paraId="28308B13">
                  <w:pPr>
                    <w:adjustRightInd w:val="0"/>
                    <w:jc w:val="center"/>
                    <w:textAlignment w:val="baseline"/>
                    <w:rPr>
                      <w:kern w:val="0"/>
                      <w:szCs w:val="21"/>
                    </w:rPr>
                  </w:pPr>
                  <w:r>
                    <w:rPr>
                      <w:kern w:val="0"/>
                      <w:szCs w:val="21"/>
                    </w:rPr>
                    <w:t>62</w:t>
                  </w:r>
                </w:p>
              </w:tc>
              <w:tc>
                <w:tcPr>
                  <w:tcW w:w="1299" w:type="pct"/>
                  <w:vMerge w:val="continue"/>
                  <w:tcBorders>
                    <w:tl2br w:val="nil"/>
                    <w:tr2bl w:val="nil"/>
                  </w:tcBorders>
                  <w:vAlign w:val="center"/>
                </w:tcPr>
                <w:p w14:paraId="106D3699">
                  <w:pPr>
                    <w:adjustRightInd w:val="0"/>
                    <w:jc w:val="center"/>
                    <w:textAlignment w:val="baseline"/>
                    <w:rPr>
                      <w:kern w:val="0"/>
                      <w:szCs w:val="21"/>
                    </w:rPr>
                  </w:pPr>
                </w:p>
              </w:tc>
              <w:tc>
                <w:tcPr>
                  <w:tcW w:w="358" w:type="pct"/>
                  <w:vMerge w:val="continue"/>
                  <w:tcBorders>
                    <w:tl2br w:val="nil"/>
                    <w:tr2bl w:val="nil"/>
                  </w:tcBorders>
                  <w:vAlign w:val="center"/>
                </w:tcPr>
                <w:p w14:paraId="74C830A4">
                  <w:pPr>
                    <w:adjustRightInd w:val="0"/>
                    <w:jc w:val="center"/>
                    <w:textAlignment w:val="baseline"/>
                    <w:rPr>
                      <w:kern w:val="0"/>
                      <w:szCs w:val="21"/>
                    </w:rPr>
                  </w:pPr>
                </w:p>
              </w:tc>
            </w:tr>
          </w:tbl>
          <w:p w14:paraId="15EFC35A">
            <w:pPr>
              <w:widowControl/>
              <w:adjustRightInd w:val="0"/>
              <w:snapToGrid w:val="0"/>
              <w:spacing w:line="480" w:lineRule="exact"/>
              <w:ind w:firstLine="588" w:firstLineChars="245"/>
              <w:rPr>
                <w:sz w:val="24"/>
              </w:rPr>
            </w:pPr>
            <w:r>
              <w:rPr>
                <w:sz w:val="24"/>
              </w:rPr>
              <w:t>以升压站西南角为坐标原点，东西向为X轴，南北向为Y轴。</w:t>
            </w:r>
          </w:p>
          <w:p w14:paraId="50C2B666">
            <w:pPr>
              <w:widowControl/>
              <w:adjustRightInd w:val="0"/>
              <w:snapToGrid w:val="0"/>
              <w:spacing w:line="480" w:lineRule="exact"/>
              <w:ind w:firstLine="588" w:firstLineChars="245"/>
              <w:rPr>
                <w:sz w:val="24"/>
              </w:rPr>
            </w:pPr>
            <w:r>
              <w:rPr>
                <w:sz w:val="24"/>
              </w:rPr>
              <w:t>（1）根据《环境影响评价技术导则-声环境》（HJ2.4-2021），将升压站内的噪声源简化为点源，无指向性点声源几何发散衰减的基本公式是：</w:t>
            </w:r>
          </w:p>
          <w:p w14:paraId="2751FC4D">
            <w:pPr>
              <w:spacing w:line="480" w:lineRule="exact"/>
              <w:ind w:firstLine="480" w:firstLineChars="200"/>
              <w:rPr>
                <w:sz w:val="24"/>
              </w:rPr>
            </w:pPr>
            <w:r>
              <w:rPr>
                <w:sz w:val="24"/>
              </w:rPr>
              <w:drawing>
                <wp:anchor distT="0" distB="0" distL="114300" distR="114300" simplePos="0" relativeHeight="251662336" behindDoc="0" locked="0" layoutInCell="1" allowOverlap="1">
                  <wp:simplePos x="0" y="0"/>
                  <wp:positionH relativeFrom="column">
                    <wp:posOffset>1656080</wp:posOffset>
                  </wp:positionH>
                  <wp:positionV relativeFrom="paragraph">
                    <wp:posOffset>63500</wp:posOffset>
                  </wp:positionV>
                  <wp:extent cx="1741805" cy="266700"/>
                  <wp:effectExtent l="0" t="0" r="10795" b="0"/>
                  <wp:wrapTopAndBottom/>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8" cstate="print"/>
                          <a:stretch>
                            <a:fillRect/>
                          </a:stretch>
                        </pic:blipFill>
                        <pic:spPr>
                          <a:xfrm>
                            <a:off x="0" y="0"/>
                            <a:ext cx="1741805" cy="266700"/>
                          </a:xfrm>
                          <a:prstGeom prst="rect">
                            <a:avLst/>
                          </a:prstGeom>
                          <a:noFill/>
                          <a:ln>
                            <a:noFill/>
                          </a:ln>
                        </pic:spPr>
                      </pic:pic>
                    </a:graphicData>
                  </a:graphic>
                </wp:anchor>
              </w:drawing>
            </w:r>
            <w:r>
              <w:rPr>
                <w:sz w:val="24"/>
              </w:rPr>
              <w:t>式中：L</w:t>
            </w:r>
            <w:r>
              <w:rPr>
                <w:sz w:val="24"/>
                <w:vertAlign w:val="subscript"/>
              </w:rPr>
              <w:t>p</w:t>
            </w:r>
            <w:r>
              <w:rPr>
                <w:sz w:val="24"/>
              </w:rPr>
              <w:t>（r）——预测点处声压级，dB；</w:t>
            </w:r>
          </w:p>
          <w:p w14:paraId="262C3F85">
            <w:pPr>
              <w:spacing w:line="480" w:lineRule="exact"/>
              <w:ind w:firstLine="1200" w:firstLineChars="500"/>
              <w:rPr>
                <w:sz w:val="24"/>
              </w:rPr>
            </w:pPr>
            <w:r>
              <w:rPr>
                <w:sz w:val="24"/>
              </w:rPr>
              <w:t>L</w:t>
            </w:r>
            <w:r>
              <w:rPr>
                <w:sz w:val="24"/>
                <w:vertAlign w:val="subscript"/>
              </w:rPr>
              <w:t>p</w:t>
            </w:r>
            <w:r>
              <w:rPr>
                <w:sz w:val="24"/>
              </w:rPr>
              <w:t>（r</w:t>
            </w:r>
            <w:r>
              <w:rPr>
                <w:sz w:val="24"/>
                <w:vertAlign w:val="subscript"/>
              </w:rPr>
              <w:t>0</w:t>
            </w:r>
            <w:r>
              <w:rPr>
                <w:sz w:val="24"/>
              </w:rPr>
              <w:t>）——参考位置r</w:t>
            </w:r>
            <w:r>
              <w:rPr>
                <w:sz w:val="24"/>
                <w:vertAlign w:val="subscript"/>
              </w:rPr>
              <w:t>0</w:t>
            </w:r>
            <w:r>
              <w:rPr>
                <w:sz w:val="24"/>
              </w:rPr>
              <w:t>处的声压级，dB；</w:t>
            </w:r>
          </w:p>
          <w:p w14:paraId="7110A63C">
            <w:pPr>
              <w:spacing w:line="480" w:lineRule="exact"/>
              <w:ind w:firstLine="1200" w:firstLineChars="500"/>
              <w:rPr>
                <w:sz w:val="24"/>
              </w:rPr>
            </w:pPr>
            <w:r>
              <w:rPr>
                <w:sz w:val="24"/>
              </w:rPr>
              <w:t>r——预测点距声源的距离；</w:t>
            </w:r>
          </w:p>
          <w:p w14:paraId="48E0C571">
            <w:pPr>
              <w:spacing w:line="480" w:lineRule="exact"/>
              <w:ind w:firstLine="1200" w:firstLineChars="500"/>
              <w:rPr>
                <w:sz w:val="24"/>
              </w:rPr>
            </w:pPr>
            <w:r>
              <w:rPr>
                <w:sz w:val="24"/>
              </w:rPr>
              <w:t>r</w:t>
            </w:r>
            <w:r>
              <w:rPr>
                <w:sz w:val="24"/>
                <w:vertAlign w:val="subscript"/>
              </w:rPr>
              <w:t>0</w:t>
            </w:r>
            <w:r>
              <w:rPr>
                <w:sz w:val="24"/>
              </w:rPr>
              <w:t>——参考位置距声源的距离。</w:t>
            </w:r>
          </w:p>
          <w:p w14:paraId="0B844489">
            <w:pPr>
              <w:widowControl/>
              <w:adjustRightInd w:val="0"/>
              <w:snapToGrid w:val="0"/>
              <w:spacing w:line="480" w:lineRule="exact"/>
              <w:ind w:firstLine="480" w:firstLineChars="200"/>
              <w:rPr>
                <w:sz w:val="24"/>
              </w:rPr>
            </w:pPr>
            <w:r>
              <w:rPr>
                <w:sz w:val="24"/>
              </w:rPr>
              <w:t>（2）衰减因素选取</w:t>
            </w:r>
          </w:p>
          <w:p w14:paraId="2AB60EEC">
            <w:pPr>
              <w:adjustRightInd w:val="0"/>
              <w:snapToGrid w:val="0"/>
              <w:spacing w:line="480" w:lineRule="exact"/>
              <w:ind w:firstLine="480" w:firstLineChars="200"/>
              <w:outlineLvl w:val="0"/>
              <w:rPr>
                <w:sz w:val="24"/>
              </w:rPr>
            </w:pPr>
            <w:r>
              <w:rPr>
                <w:sz w:val="24"/>
              </w:rPr>
              <w:t>预测计算时，在满足工程所需精度的前提下，采用了较为保守的考虑，在噪声衰减时只考虑距离衰减效应，未考虑声源较远的无声源建（构）筑物之间的衍射和反射衰减、地面反射衰减和绿化树木的声屏障衰减等。</w:t>
            </w:r>
          </w:p>
          <w:p w14:paraId="2E3E3CED">
            <w:pPr>
              <w:spacing w:line="480" w:lineRule="exact"/>
              <w:ind w:firstLine="480" w:firstLineChars="200"/>
              <w:rPr>
                <w:sz w:val="24"/>
              </w:rPr>
            </w:pPr>
            <w:r>
              <w:rPr>
                <w:sz w:val="24"/>
              </w:rPr>
              <w:drawing>
                <wp:anchor distT="0" distB="0" distL="114300" distR="114300" simplePos="0" relativeHeight="251663360" behindDoc="0" locked="0" layoutInCell="1" allowOverlap="1">
                  <wp:simplePos x="0" y="0"/>
                  <wp:positionH relativeFrom="column">
                    <wp:posOffset>1353820</wp:posOffset>
                  </wp:positionH>
                  <wp:positionV relativeFrom="paragraph">
                    <wp:posOffset>334010</wp:posOffset>
                  </wp:positionV>
                  <wp:extent cx="2660015" cy="544830"/>
                  <wp:effectExtent l="0" t="0" r="6985" b="7620"/>
                  <wp:wrapTopAndBottom/>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9" cstate="print"/>
                          <a:stretch>
                            <a:fillRect/>
                          </a:stretch>
                        </pic:blipFill>
                        <pic:spPr>
                          <a:xfrm>
                            <a:off x="0" y="0"/>
                            <a:ext cx="2660015" cy="544830"/>
                          </a:xfrm>
                          <a:prstGeom prst="rect">
                            <a:avLst/>
                          </a:prstGeom>
                          <a:noFill/>
                          <a:ln>
                            <a:noFill/>
                          </a:ln>
                        </pic:spPr>
                      </pic:pic>
                    </a:graphicData>
                  </a:graphic>
                </wp:anchor>
              </w:drawing>
            </w:r>
            <w:r>
              <w:rPr>
                <w:sz w:val="24"/>
              </w:rPr>
              <w:t>（3）噪声贡献值计算公式如下：</w:t>
            </w:r>
          </w:p>
          <w:p w14:paraId="64461636">
            <w:pPr>
              <w:spacing w:line="480" w:lineRule="exact"/>
              <w:ind w:firstLine="480" w:firstLineChars="200"/>
              <w:rPr>
                <w:i/>
                <w:iCs/>
                <w:kern w:val="0"/>
                <w:sz w:val="24"/>
              </w:rPr>
            </w:pPr>
            <w:r>
              <w:rPr>
                <w:kern w:val="0"/>
                <w:sz w:val="24"/>
              </w:rPr>
              <w:t>式中：</w:t>
            </w:r>
            <w:r>
              <w:rPr>
                <w:i/>
                <w:iCs/>
                <w:kern w:val="0"/>
                <w:sz w:val="24"/>
              </w:rPr>
              <w:t>L</w:t>
            </w:r>
            <w:r>
              <w:rPr>
                <w:kern w:val="0"/>
                <w:sz w:val="24"/>
              </w:rPr>
              <w:t>eqg——建设项目声源在预测点产生的噪声贡献值，dB；</w:t>
            </w:r>
          </w:p>
          <w:p w14:paraId="7A6FA4FA">
            <w:pPr>
              <w:spacing w:line="480" w:lineRule="exact"/>
              <w:ind w:firstLine="1200" w:firstLineChars="500"/>
              <w:rPr>
                <w:kern w:val="0"/>
                <w:sz w:val="24"/>
              </w:rPr>
            </w:pPr>
            <w:r>
              <w:rPr>
                <w:i/>
                <w:iCs/>
                <w:kern w:val="0"/>
                <w:sz w:val="24"/>
              </w:rPr>
              <w:t>T</w:t>
            </w:r>
            <w:r>
              <w:rPr>
                <w:kern w:val="0"/>
                <w:sz w:val="24"/>
              </w:rPr>
              <w:t>——用于计算等效声级的时间，s；</w:t>
            </w:r>
          </w:p>
          <w:p w14:paraId="5938CC55">
            <w:pPr>
              <w:spacing w:line="480" w:lineRule="exact"/>
              <w:ind w:firstLine="1200" w:firstLineChars="500"/>
              <w:rPr>
                <w:kern w:val="0"/>
                <w:sz w:val="24"/>
              </w:rPr>
            </w:pPr>
            <w:r>
              <w:rPr>
                <w:i/>
                <w:iCs/>
                <w:kern w:val="0"/>
                <w:sz w:val="24"/>
              </w:rPr>
              <w:t>N</w:t>
            </w:r>
            <w:r>
              <w:rPr>
                <w:kern w:val="0"/>
                <w:sz w:val="24"/>
              </w:rPr>
              <w:t>——室外声源个数；</w:t>
            </w:r>
          </w:p>
          <w:p w14:paraId="58A4DB64">
            <w:pPr>
              <w:spacing w:line="480" w:lineRule="exact"/>
              <w:ind w:firstLine="1200" w:firstLineChars="500"/>
              <w:rPr>
                <w:kern w:val="0"/>
                <w:sz w:val="24"/>
              </w:rPr>
            </w:pPr>
            <w:r>
              <w:rPr>
                <w:i/>
                <w:iCs/>
                <w:kern w:val="0"/>
                <w:sz w:val="24"/>
              </w:rPr>
              <w:t>t</w:t>
            </w:r>
            <w:r>
              <w:rPr>
                <w:i/>
                <w:iCs/>
                <w:kern w:val="0"/>
                <w:sz w:val="24"/>
                <w:vertAlign w:val="subscript"/>
              </w:rPr>
              <w:t>i</w:t>
            </w:r>
            <w:r>
              <w:rPr>
                <w:kern w:val="0"/>
                <w:sz w:val="24"/>
              </w:rPr>
              <w:t>——在</w:t>
            </w:r>
            <w:r>
              <w:rPr>
                <w:i/>
                <w:iCs/>
                <w:kern w:val="0"/>
                <w:sz w:val="24"/>
              </w:rPr>
              <w:t>T</w:t>
            </w:r>
            <w:r>
              <w:rPr>
                <w:kern w:val="0"/>
                <w:sz w:val="24"/>
              </w:rPr>
              <w:t>时间内</w:t>
            </w:r>
            <w:r>
              <w:rPr>
                <w:i/>
                <w:iCs/>
                <w:kern w:val="0"/>
                <w:sz w:val="24"/>
              </w:rPr>
              <w:t>i</w:t>
            </w:r>
            <w:r>
              <w:rPr>
                <w:kern w:val="0"/>
                <w:sz w:val="24"/>
              </w:rPr>
              <w:t>声源工作时间，s；</w:t>
            </w:r>
          </w:p>
          <w:p w14:paraId="25938AD3">
            <w:pPr>
              <w:spacing w:line="480" w:lineRule="exact"/>
              <w:ind w:firstLine="1200" w:firstLineChars="500"/>
              <w:rPr>
                <w:kern w:val="0"/>
                <w:sz w:val="24"/>
              </w:rPr>
            </w:pPr>
            <w:r>
              <w:rPr>
                <w:i/>
                <w:iCs/>
                <w:kern w:val="0"/>
                <w:sz w:val="24"/>
              </w:rPr>
              <w:t>M</w:t>
            </w:r>
            <w:r>
              <w:rPr>
                <w:kern w:val="0"/>
                <w:sz w:val="24"/>
              </w:rPr>
              <w:t>——等效室外声源个数；</w:t>
            </w:r>
          </w:p>
          <w:p w14:paraId="61C40FAE">
            <w:pPr>
              <w:adjustRightInd w:val="0"/>
              <w:snapToGrid w:val="0"/>
              <w:spacing w:line="480" w:lineRule="exact"/>
              <w:ind w:firstLine="1200" w:firstLineChars="500"/>
              <w:rPr>
                <w:sz w:val="24"/>
              </w:rPr>
            </w:pPr>
            <w:r>
              <w:rPr>
                <w:i/>
                <w:iCs/>
                <w:kern w:val="0"/>
                <w:sz w:val="24"/>
              </w:rPr>
              <w:t>t</w:t>
            </w:r>
            <w:r>
              <w:rPr>
                <w:i/>
                <w:iCs/>
                <w:kern w:val="0"/>
                <w:sz w:val="24"/>
                <w:vertAlign w:val="subscript"/>
              </w:rPr>
              <w:t>j</w:t>
            </w:r>
            <w:r>
              <w:rPr>
                <w:kern w:val="0"/>
                <w:sz w:val="24"/>
              </w:rPr>
              <w:t>——在</w:t>
            </w:r>
            <w:r>
              <w:rPr>
                <w:i/>
                <w:iCs/>
                <w:kern w:val="0"/>
                <w:sz w:val="24"/>
              </w:rPr>
              <w:t>T</w:t>
            </w:r>
            <w:r>
              <w:rPr>
                <w:kern w:val="0"/>
                <w:sz w:val="24"/>
              </w:rPr>
              <w:t>时间内</w:t>
            </w:r>
            <w:r>
              <w:rPr>
                <w:i/>
                <w:iCs/>
                <w:kern w:val="0"/>
                <w:sz w:val="24"/>
              </w:rPr>
              <w:t>j</w:t>
            </w:r>
            <w:r>
              <w:rPr>
                <w:kern w:val="0"/>
                <w:sz w:val="24"/>
              </w:rPr>
              <w:t>声源工作时间，s。</w:t>
            </w:r>
          </w:p>
          <w:p w14:paraId="76DCDD97">
            <w:pPr>
              <w:widowControl/>
              <w:adjustRightInd w:val="0"/>
              <w:snapToGrid w:val="0"/>
              <w:spacing w:line="480" w:lineRule="exact"/>
              <w:ind w:firstLine="480" w:firstLineChars="200"/>
              <w:rPr>
                <w:sz w:val="24"/>
              </w:rPr>
            </w:pPr>
            <w:r>
              <w:rPr>
                <w:sz w:val="24"/>
              </w:rPr>
              <w:t>（4）计算结果及评价</w:t>
            </w:r>
          </w:p>
          <w:p w14:paraId="6A8A4D7C">
            <w:pPr>
              <w:widowControl/>
              <w:adjustRightInd w:val="0"/>
              <w:snapToGrid w:val="0"/>
              <w:spacing w:line="480" w:lineRule="exact"/>
              <w:ind w:firstLine="480" w:firstLineChars="200"/>
              <w:rPr>
                <w:sz w:val="24"/>
              </w:rPr>
            </w:pPr>
            <w:r>
              <w:rPr>
                <w:sz w:val="24"/>
              </w:rPr>
              <w:t>运行状态下升压站厂界噪声预测结果见下表。</w:t>
            </w:r>
          </w:p>
          <w:p w14:paraId="7AC8DB63">
            <w:pPr>
              <w:spacing w:line="480" w:lineRule="exact"/>
              <w:jc w:val="center"/>
              <w:outlineLvl w:val="3"/>
              <w:rPr>
                <w:b/>
                <w:bCs/>
                <w:szCs w:val="21"/>
              </w:rPr>
            </w:pPr>
            <w:r>
              <w:rPr>
                <w:b/>
                <w:bCs/>
                <w:szCs w:val="21"/>
              </w:rPr>
              <w:t>表4-</w:t>
            </w:r>
            <w:r>
              <w:rPr>
                <w:rFonts w:hint="eastAsia"/>
                <w:b/>
                <w:bCs/>
                <w:szCs w:val="21"/>
              </w:rPr>
              <w:t>5</w:t>
            </w:r>
            <w:r>
              <w:rPr>
                <w:b/>
                <w:bCs/>
                <w:szCs w:val="21"/>
              </w:rPr>
              <w:t xml:space="preserve">     升压站场界噪声贡献值结果     单位：dB（A）</w:t>
            </w:r>
          </w:p>
          <w:tbl>
            <w:tblPr>
              <w:tblStyle w:val="32"/>
              <w:tblW w:w="73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7"/>
              <w:gridCol w:w="802"/>
              <w:gridCol w:w="782"/>
              <w:gridCol w:w="762"/>
              <w:gridCol w:w="1104"/>
              <w:gridCol w:w="1201"/>
              <w:gridCol w:w="773"/>
              <w:gridCol w:w="1099"/>
            </w:tblGrid>
            <w:tr w14:paraId="261878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0A2F7DA5">
                  <w:pPr>
                    <w:adjustRightInd w:val="0"/>
                    <w:jc w:val="center"/>
                    <w:textAlignment w:val="baseline"/>
                    <w:rPr>
                      <w:kern w:val="0"/>
                      <w:szCs w:val="21"/>
                    </w:rPr>
                  </w:pPr>
                  <w:r>
                    <w:rPr>
                      <w:kern w:val="0"/>
                      <w:szCs w:val="21"/>
                    </w:rPr>
                    <w:t>预测方位</w:t>
                  </w:r>
                </w:p>
              </w:tc>
              <w:tc>
                <w:tcPr>
                  <w:tcW w:w="2569" w:type="dxa"/>
                  <w:gridSpan w:val="3"/>
                  <w:vAlign w:val="center"/>
                </w:tcPr>
                <w:p w14:paraId="04E92FD5">
                  <w:pPr>
                    <w:adjustRightInd w:val="0"/>
                    <w:jc w:val="center"/>
                    <w:textAlignment w:val="baseline"/>
                    <w:rPr>
                      <w:kern w:val="0"/>
                      <w:szCs w:val="21"/>
                    </w:rPr>
                  </w:pPr>
                  <w:r>
                    <w:rPr>
                      <w:kern w:val="0"/>
                      <w:szCs w:val="21"/>
                    </w:rPr>
                    <w:t>空间相对位置</w:t>
                  </w:r>
                </w:p>
              </w:tc>
              <w:tc>
                <w:tcPr>
                  <w:tcW w:w="1325" w:type="dxa"/>
                  <w:vMerge w:val="restart"/>
                  <w:vAlign w:val="center"/>
                </w:tcPr>
                <w:p w14:paraId="2F404D46">
                  <w:pPr>
                    <w:adjustRightInd w:val="0"/>
                    <w:jc w:val="center"/>
                    <w:textAlignment w:val="baseline"/>
                    <w:rPr>
                      <w:kern w:val="0"/>
                      <w:szCs w:val="21"/>
                    </w:rPr>
                  </w:pPr>
                  <w:r>
                    <w:rPr>
                      <w:kern w:val="0"/>
                      <w:szCs w:val="21"/>
                    </w:rPr>
                    <w:t>时段</w:t>
                  </w:r>
                </w:p>
              </w:tc>
              <w:tc>
                <w:tcPr>
                  <w:tcW w:w="1380" w:type="dxa"/>
                  <w:vMerge w:val="restart"/>
                  <w:vAlign w:val="center"/>
                </w:tcPr>
                <w:p w14:paraId="2BCE9CB9">
                  <w:pPr>
                    <w:adjustRightInd w:val="0"/>
                    <w:jc w:val="center"/>
                    <w:textAlignment w:val="baseline"/>
                    <w:rPr>
                      <w:kern w:val="0"/>
                      <w:szCs w:val="21"/>
                    </w:rPr>
                  </w:pPr>
                  <w:r>
                    <w:rPr>
                      <w:kern w:val="0"/>
                      <w:szCs w:val="21"/>
                    </w:rPr>
                    <w:t>噪声贡献值</w:t>
                  </w:r>
                </w:p>
              </w:tc>
              <w:tc>
                <w:tcPr>
                  <w:tcW w:w="911" w:type="dxa"/>
                  <w:vMerge w:val="restart"/>
                  <w:vAlign w:val="center"/>
                </w:tcPr>
                <w:p w14:paraId="40BD7140">
                  <w:pPr>
                    <w:adjustRightInd w:val="0"/>
                    <w:jc w:val="center"/>
                    <w:textAlignment w:val="baseline"/>
                    <w:rPr>
                      <w:kern w:val="0"/>
                      <w:szCs w:val="21"/>
                    </w:rPr>
                  </w:pPr>
                  <w:r>
                    <w:rPr>
                      <w:kern w:val="0"/>
                      <w:szCs w:val="21"/>
                    </w:rPr>
                    <w:t>标准值</w:t>
                  </w:r>
                </w:p>
              </w:tc>
              <w:tc>
                <w:tcPr>
                  <w:tcW w:w="1316" w:type="dxa"/>
                  <w:vMerge w:val="restart"/>
                  <w:vAlign w:val="center"/>
                </w:tcPr>
                <w:p w14:paraId="36011E90">
                  <w:pPr>
                    <w:adjustRightInd w:val="0"/>
                    <w:jc w:val="center"/>
                    <w:textAlignment w:val="baseline"/>
                    <w:rPr>
                      <w:kern w:val="0"/>
                      <w:szCs w:val="21"/>
                    </w:rPr>
                  </w:pPr>
                  <w:r>
                    <w:rPr>
                      <w:kern w:val="0"/>
                      <w:szCs w:val="21"/>
                    </w:rPr>
                    <w:t>达标情况</w:t>
                  </w:r>
                </w:p>
              </w:tc>
            </w:tr>
            <w:tr w14:paraId="6B944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0EF36775">
                  <w:pPr>
                    <w:adjustRightInd w:val="0"/>
                    <w:jc w:val="center"/>
                    <w:textAlignment w:val="baseline"/>
                    <w:rPr>
                      <w:kern w:val="0"/>
                      <w:szCs w:val="21"/>
                    </w:rPr>
                  </w:pPr>
                </w:p>
              </w:tc>
              <w:tc>
                <w:tcPr>
                  <w:tcW w:w="855" w:type="dxa"/>
                  <w:vAlign w:val="center"/>
                </w:tcPr>
                <w:p w14:paraId="28B4FE73">
                  <w:pPr>
                    <w:adjustRightInd w:val="0"/>
                    <w:jc w:val="center"/>
                    <w:textAlignment w:val="baseline"/>
                    <w:rPr>
                      <w:kern w:val="0"/>
                      <w:szCs w:val="21"/>
                    </w:rPr>
                  </w:pPr>
                  <w:r>
                    <w:rPr>
                      <w:kern w:val="0"/>
                      <w:szCs w:val="21"/>
                    </w:rPr>
                    <w:t>X</w:t>
                  </w:r>
                </w:p>
              </w:tc>
              <w:tc>
                <w:tcPr>
                  <w:tcW w:w="830" w:type="dxa"/>
                  <w:vAlign w:val="center"/>
                </w:tcPr>
                <w:p w14:paraId="72FCFA3D">
                  <w:pPr>
                    <w:adjustRightInd w:val="0"/>
                    <w:jc w:val="center"/>
                    <w:textAlignment w:val="baseline"/>
                    <w:rPr>
                      <w:kern w:val="0"/>
                      <w:szCs w:val="21"/>
                    </w:rPr>
                  </w:pPr>
                  <w:r>
                    <w:rPr>
                      <w:kern w:val="0"/>
                      <w:szCs w:val="21"/>
                    </w:rPr>
                    <w:t>Y</w:t>
                  </w:r>
                </w:p>
              </w:tc>
              <w:tc>
                <w:tcPr>
                  <w:tcW w:w="884" w:type="dxa"/>
                  <w:vAlign w:val="center"/>
                </w:tcPr>
                <w:p w14:paraId="34BCA483">
                  <w:pPr>
                    <w:adjustRightInd w:val="0"/>
                    <w:jc w:val="center"/>
                    <w:textAlignment w:val="baseline"/>
                    <w:rPr>
                      <w:kern w:val="0"/>
                      <w:szCs w:val="21"/>
                    </w:rPr>
                  </w:pPr>
                  <w:r>
                    <w:rPr>
                      <w:kern w:val="0"/>
                      <w:szCs w:val="21"/>
                    </w:rPr>
                    <w:t>Z</w:t>
                  </w:r>
                </w:p>
              </w:tc>
              <w:tc>
                <w:tcPr>
                  <w:tcW w:w="1325" w:type="dxa"/>
                  <w:vMerge w:val="continue"/>
                  <w:vAlign w:val="center"/>
                </w:tcPr>
                <w:p w14:paraId="7A206003">
                  <w:pPr>
                    <w:adjustRightInd w:val="0"/>
                    <w:jc w:val="center"/>
                    <w:textAlignment w:val="baseline"/>
                    <w:rPr>
                      <w:kern w:val="0"/>
                      <w:szCs w:val="21"/>
                    </w:rPr>
                  </w:pPr>
                </w:p>
              </w:tc>
              <w:tc>
                <w:tcPr>
                  <w:tcW w:w="1380" w:type="dxa"/>
                  <w:vMerge w:val="continue"/>
                  <w:vAlign w:val="center"/>
                </w:tcPr>
                <w:p w14:paraId="2589DD1C">
                  <w:pPr>
                    <w:adjustRightInd w:val="0"/>
                    <w:jc w:val="center"/>
                    <w:textAlignment w:val="baseline"/>
                    <w:rPr>
                      <w:kern w:val="0"/>
                      <w:szCs w:val="21"/>
                    </w:rPr>
                  </w:pPr>
                </w:p>
              </w:tc>
              <w:tc>
                <w:tcPr>
                  <w:tcW w:w="911" w:type="dxa"/>
                  <w:vMerge w:val="continue"/>
                  <w:vAlign w:val="center"/>
                </w:tcPr>
                <w:p w14:paraId="4E6B4A63">
                  <w:pPr>
                    <w:adjustRightInd w:val="0"/>
                    <w:jc w:val="center"/>
                    <w:textAlignment w:val="baseline"/>
                    <w:rPr>
                      <w:kern w:val="0"/>
                      <w:szCs w:val="21"/>
                    </w:rPr>
                  </w:pPr>
                </w:p>
              </w:tc>
              <w:tc>
                <w:tcPr>
                  <w:tcW w:w="1316" w:type="dxa"/>
                  <w:vMerge w:val="continue"/>
                  <w:vAlign w:val="center"/>
                </w:tcPr>
                <w:p w14:paraId="6CE9643B">
                  <w:pPr>
                    <w:adjustRightInd w:val="0"/>
                    <w:jc w:val="center"/>
                    <w:textAlignment w:val="baseline"/>
                    <w:rPr>
                      <w:kern w:val="0"/>
                      <w:szCs w:val="21"/>
                    </w:rPr>
                  </w:pPr>
                </w:p>
              </w:tc>
            </w:tr>
            <w:tr w14:paraId="4AEF7D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4685122A">
                  <w:pPr>
                    <w:adjustRightInd w:val="0"/>
                    <w:jc w:val="center"/>
                    <w:textAlignment w:val="baseline"/>
                    <w:rPr>
                      <w:kern w:val="0"/>
                      <w:szCs w:val="21"/>
                    </w:rPr>
                  </w:pPr>
                  <w:r>
                    <w:rPr>
                      <w:kern w:val="0"/>
                      <w:szCs w:val="21"/>
                    </w:rPr>
                    <w:t>东厂界</w:t>
                  </w:r>
                </w:p>
              </w:tc>
              <w:tc>
                <w:tcPr>
                  <w:tcW w:w="855" w:type="dxa"/>
                  <w:vAlign w:val="center"/>
                </w:tcPr>
                <w:p w14:paraId="31C5C0CD">
                  <w:pPr>
                    <w:adjustRightInd w:val="0"/>
                    <w:jc w:val="center"/>
                    <w:textAlignment w:val="baseline"/>
                    <w:rPr>
                      <w:kern w:val="0"/>
                      <w:szCs w:val="21"/>
                    </w:rPr>
                  </w:pPr>
                  <w:r>
                    <w:rPr>
                      <w:kern w:val="0"/>
                      <w:szCs w:val="21"/>
                    </w:rPr>
                    <w:t>166.93</w:t>
                  </w:r>
                </w:p>
              </w:tc>
              <w:tc>
                <w:tcPr>
                  <w:tcW w:w="830" w:type="dxa"/>
                  <w:vAlign w:val="center"/>
                </w:tcPr>
                <w:p w14:paraId="0DBFEA6B">
                  <w:pPr>
                    <w:adjustRightInd w:val="0"/>
                    <w:jc w:val="center"/>
                    <w:textAlignment w:val="baseline"/>
                    <w:rPr>
                      <w:kern w:val="0"/>
                      <w:szCs w:val="21"/>
                    </w:rPr>
                  </w:pPr>
                  <w:r>
                    <w:rPr>
                      <w:kern w:val="0"/>
                      <w:szCs w:val="21"/>
                    </w:rPr>
                    <w:t>23.36</w:t>
                  </w:r>
                </w:p>
              </w:tc>
              <w:tc>
                <w:tcPr>
                  <w:tcW w:w="884" w:type="dxa"/>
                  <w:vAlign w:val="center"/>
                </w:tcPr>
                <w:p w14:paraId="759FEFD6">
                  <w:pPr>
                    <w:adjustRightInd w:val="0"/>
                    <w:jc w:val="center"/>
                    <w:textAlignment w:val="baseline"/>
                    <w:rPr>
                      <w:kern w:val="0"/>
                      <w:szCs w:val="21"/>
                    </w:rPr>
                  </w:pPr>
                  <w:r>
                    <w:rPr>
                      <w:kern w:val="0"/>
                      <w:szCs w:val="21"/>
                    </w:rPr>
                    <w:t>1.2</w:t>
                  </w:r>
                </w:p>
              </w:tc>
              <w:tc>
                <w:tcPr>
                  <w:tcW w:w="1325" w:type="dxa"/>
                  <w:vAlign w:val="center"/>
                </w:tcPr>
                <w:p w14:paraId="4C4EE690">
                  <w:pPr>
                    <w:adjustRightInd w:val="0"/>
                    <w:jc w:val="center"/>
                    <w:textAlignment w:val="baseline"/>
                    <w:rPr>
                      <w:kern w:val="0"/>
                      <w:szCs w:val="21"/>
                    </w:rPr>
                  </w:pPr>
                  <w:r>
                    <w:rPr>
                      <w:kern w:val="0"/>
                      <w:szCs w:val="21"/>
                    </w:rPr>
                    <w:t>昼间</w:t>
                  </w:r>
                </w:p>
              </w:tc>
              <w:tc>
                <w:tcPr>
                  <w:tcW w:w="1380" w:type="dxa"/>
                  <w:vAlign w:val="center"/>
                </w:tcPr>
                <w:p w14:paraId="069A061E">
                  <w:pPr>
                    <w:adjustRightInd w:val="0"/>
                    <w:jc w:val="center"/>
                    <w:textAlignment w:val="baseline"/>
                    <w:rPr>
                      <w:kern w:val="0"/>
                      <w:szCs w:val="21"/>
                    </w:rPr>
                  </w:pPr>
                  <w:r>
                    <w:rPr>
                      <w:kern w:val="0"/>
                      <w:szCs w:val="21"/>
                    </w:rPr>
                    <w:t>39.97</w:t>
                  </w:r>
                </w:p>
              </w:tc>
              <w:tc>
                <w:tcPr>
                  <w:tcW w:w="911" w:type="dxa"/>
                  <w:vAlign w:val="center"/>
                </w:tcPr>
                <w:p w14:paraId="38000DC8">
                  <w:pPr>
                    <w:adjustRightInd w:val="0"/>
                    <w:jc w:val="center"/>
                    <w:textAlignment w:val="baseline"/>
                    <w:rPr>
                      <w:kern w:val="0"/>
                      <w:szCs w:val="21"/>
                    </w:rPr>
                  </w:pPr>
                  <w:r>
                    <w:rPr>
                      <w:kern w:val="0"/>
                      <w:szCs w:val="21"/>
                    </w:rPr>
                    <w:t>55</w:t>
                  </w:r>
                </w:p>
              </w:tc>
              <w:tc>
                <w:tcPr>
                  <w:tcW w:w="1316" w:type="dxa"/>
                  <w:vAlign w:val="center"/>
                </w:tcPr>
                <w:p w14:paraId="235ACD54">
                  <w:pPr>
                    <w:adjustRightInd w:val="0"/>
                    <w:jc w:val="center"/>
                    <w:textAlignment w:val="baseline"/>
                    <w:rPr>
                      <w:kern w:val="0"/>
                      <w:szCs w:val="21"/>
                    </w:rPr>
                  </w:pPr>
                  <w:r>
                    <w:rPr>
                      <w:kern w:val="0"/>
                      <w:szCs w:val="21"/>
                    </w:rPr>
                    <w:t>达标</w:t>
                  </w:r>
                </w:p>
              </w:tc>
            </w:tr>
            <w:tr w14:paraId="49643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7AD03CC5">
                  <w:pPr>
                    <w:adjustRightInd w:val="0"/>
                    <w:jc w:val="center"/>
                    <w:textAlignment w:val="baseline"/>
                    <w:rPr>
                      <w:kern w:val="0"/>
                      <w:szCs w:val="21"/>
                    </w:rPr>
                  </w:pPr>
                </w:p>
              </w:tc>
              <w:tc>
                <w:tcPr>
                  <w:tcW w:w="855" w:type="dxa"/>
                  <w:vAlign w:val="center"/>
                </w:tcPr>
                <w:p w14:paraId="1765F57C">
                  <w:pPr>
                    <w:adjustRightInd w:val="0"/>
                    <w:jc w:val="center"/>
                    <w:textAlignment w:val="baseline"/>
                    <w:rPr>
                      <w:kern w:val="0"/>
                      <w:szCs w:val="21"/>
                    </w:rPr>
                  </w:pPr>
                  <w:r>
                    <w:rPr>
                      <w:kern w:val="0"/>
                      <w:szCs w:val="21"/>
                    </w:rPr>
                    <w:t>166.93</w:t>
                  </w:r>
                </w:p>
              </w:tc>
              <w:tc>
                <w:tcPr>
                  <w:tcW w:w="830" w:type="dxa"/>
                  <w:vAlign w:val="center"/>
                </w:tcPr>
                <w:p w14:paraId="6473BC6F">
                  <w:pPr>
                    <w:adjustRightInd w:val="0"/>
                    <w:jc w:val="center"/>
                    <w:textAlignment w:val="baseline"/>
                    <w:rPr>
                      <w:kern w:val="0"/>
                      <w:szCs w:val="21"/>
                    </w:rPr>
                  </w:pPr>
                  <w:r>
                    <w:rPr>
                      <w:kern w:val="0"/>
                      <w:szCs w:val="21"/>
                    </w:rPr>
                    <w:t>23.36</w:t>
                  </w:r>
                </w:p>
              </w:tc>
              <w:tc>
                <w:tcPr>
                  <w:tcW w:w="884" w:type="dxa"/>
                  <w:vAlign w:val="center"/>
                </w:tcPr>
                <w:p w14:paraId="5AF3BE35">
                  <w:pPr>
                    <w:adjustRightInd w:val="0"/>
                    <w:jc w:val="center"/>
                    <w:textAlignment w:val="baseline"/>
                    <w:rPr>
                      <w:kern w:val="0"/>
                      <w:szCs w:val="21"/>
                    </w:rPr>
                  </w:pPr>
                  <w:r>
                    <w:rPr>
                      <w:kern w:val="0"/>
                      <w:szCs w:val="21"/>
                    </w:rPr>
                    <w:t>1.2</w:t>
                  </w:r>
                </w:p>
              </w:tc>
              <w:tc>
                <w:tcPr>
                  <w:tcW w:w="1325" w:type="dxa"/>
                  <w:vAlign w:val="center"/>
                </w:tcPr>
                <w:p w14:paraId="174104A5">
                  <w:pPr>
                    <w:adjustRightInd w:val="0"/>
                    <w:jc w:val="center"/>
                    <w:textAlignment w:val="baseline"/>
                    <w:rPr>
                      <w:kern w:val="0"/>
                      <w:szCs w:val="21"/>
                    </w:rPr>
                  </w:pPr>
                  <w:r>
                    <w:rPr>
                      <w:kern w:val="0"/>
                      <w:szCs w:val="21"/>
                    </w:rPr>
                    <w:t>夜间</w:t>
                  </w:r>
                </w:p>
              </w:tc>
              <w:tc>
                <w:tcPr>
                  <w:tcW w:w="1380" w:type="dxa"/>
                  <w:vAlign w:val="center"/>
                </w:tcPr>
                <w:p w14:paraId="06D348F5">
                  <w:pPr>
                    <w:adjustRightInd w:val="0"/>
                    <w:jc w:val="center"/>
                    <w:textAlignment w:val="baseline"/>
                    <w:rPr>
                      <w:kern w:val="0"/>
                      <w:szCs w:val="21"/>
                    </w:rPr>
                  </w:pPr>
                  <w:r>
                    <w:rPr>
                      <w:kern w:val="0"/>
                      <w:szCs w:val="21"/>
                    </w:rPr>
                    <w:t>39.97</w:t>
                  </w:r>
                </w:p>
              </w:tc>
              <w:tc>
                <w:tcPr>
                  <w:tcW w:w="911" w:type="dxa"/>
                  <w:vAlign w:val="center"/>
                </w:tcPr>
                <w:p w14:paraId="52B7F9DA">
                  <w:pPr>
                    <w:adjustRightInd w:val="0"/>
                    <w:jc w:val="center"/>
                    <w:textAlignment w:val="baseline"/>
                    <w:rPr>
                      <w:kern w:val="0"/>
                      <w:szCs w:val="21"/>
                    </w:rPr>
                  </w:pPr>
                  <w:r>
                    <w:rPr>
                      <w:kern w:val="0"/>
                      <w:szCs w:val="21"/>
                    </w:rPr>
                    <w:t>45</w:t>
                  </w:r>
                </w:p>
              </w:tc>
              <w:tc>
                <w:tcPr>
                  <w:tcW w:w="1316" w:type="dxa"/>
                  <w:vAlign w:val="center"/>
                </w:tcPr>
                <w:p w14:paraId="79D38DE2">
                  <w:pPr>
                    <w:adjustRightInd w:val="0"/>
                    <w:jc w:val="center"/>
                    <w:textAlignment w:val="baseline"/>
                    <w:rPr>
                      <w:kern w:val="0"/>
                      <w:szCs w:val="21"/>
                    </w:rPr>
                  </w:pPr>
                  <w:r>
                    <w:rPr>
                      <w:kern w:val="0"/>
                      <w:szCs w:val="21"/>
                    </w:rPr>
                    <w:t>达标</w:t>
                  </w:r>
                </w:p>
              </w:tc>
            </w:tr>
            <w:tr w14:paraId="32BCC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330B6802">
                  <w:pPr>
                    <w:adjustRightInd w:val="0"/>
                    <w:jc w:val="center"/>
                    <w:textAlignment w:val="baseline"/>
                    <w:rPr>
                      <w:kern w:val="0"/>
                      <w:szCs w:val="21"/>
                    </w:rPr>
                  </w:pPr>
                  <w:r>
                    <w:rPr>
                      <w:kern w:val="0"/>
                      <w:szCs w:val="21"/>
                    </w:rPr>
                    <w:t>南厂界</w:t>
                  </w:r>
                </w:p>
              </w:tc>
              <w:tc>
                <w:tcPr>
                  <w:tcW w:w="855" w:type="dxa"/>
                  <w:vAlign w:val="center"/>
                </w:tcPr>
                <w:p w14:paraId="48D7C9FE">
                  <w:pPr>
                    <w:adjustRightInd w:val="0"/>
                    <w:jc w:val="center"/>
                    <w:textAlignment w:val="baseline"/>
                    <w:rPr>
                      <w:kern w:val="0"/>
                      <w:szCs w:val="21"/>
                    </w:rPr>
                  </w:pPr>
                  <w:r>
                    <w:rPr>
                      <w:kern w:val="0"/>
                      <w:szCs w:val="21"/>
                    </w:rPr>
                    <w:t>127.09</w:t>
                  </w:r>
                </w:p>
              </w:tc>
              <w:tc>
                <w:tcPr>
                  <w:tcW w:w="830" w:type="dxa"/>
                  <w:vAlign w:val="center"/>
                </w:tcPr>
                <w:p w14:paraId="63A0C581">
                  <w:pPr>
                    <w:adjustRightInd w:val="0"/>
                    <w:jc w:val="center"/>
                    <w:textAlignment w:val="baseline"/>
                    <w:rPr>
                      <w:kern w:val="0"/>
                      <w:szCs w:val="21"/>
                    </w:rPr>
                  </w:pPr>
                  <w:r>
                    <w:rPr>
                      <w:kern w:val="0"/>
                      <w:szCs w:val="21"/>
                    </w:rPr>
                    <w:t>-0.51</w:t>
                  </w:r>
                </w:p>
              </w:tc>
              <w:tc>
                <w:tcPr>
                  <w:tcW w:w="884" w:type="dxa"/>
                  <w:vAlign w:val="center"/>
                </w:tcPr>
                <w:p w14:paraId="57BACE41">
                  <w:pPr>
                    <w:adjustRightInd w:val="0"/>
                    <w:jc w:val="center"/>
                    <w:textAlignment w:val="baseline"/>
                    <w:rPr>
                      <w:kern w:val="0"/>
                      <w:szCs w:val="21"/>
                    </w:rPr>
                  </w:pPr>
                  <w:r>
                    <w:rPr>
                      <w:kern w:val="0"/>
                      <w:szCs w:val="21"/>
                    </w:rPr>
                    <w:t>1.2</w:t>
                  </w:r>
                </w:p>
              </w:tc>
              <w:tc>
                <w:tcPr>
                  <w:tcW w:w="1325" w:type="dxa"/>
                  <w:vAlign w:val="center"/>
                </w:tcPr>
                <w:p w14:paraId="0EAE2308">
                  <w:pPr>
                    <w:adjustRightInd w:val="0"/>
                    <w:jc w:val="center"/>
                    <w:textAlignment w:val="baseline"/>
                    <w:rPr>
                      <w:kern w:val="0"/>
                      <w:szCs w:val="21"/>
                    </w:rPr>
                  </w:pPr>
                  <w:r>
                    <w:rPr>
                      <w:kern w:val="0"/>
                      <w:szCs w:val="21"/>
                    </w:rPr>
                    <w:t>昼间</w:t>
                  </w:r>
                </w:p>
              </w:tc>
              <w:tc>
                <w:tcPr>
                  <w:tcW w:w="1380" w:type="dxa"/>
                  <w:vAlign w:val="center"/>
                </w:tcPr>
                <w:p w14:paraId="49830E1D">
                  <w:pPr>
                    <w:adjustRightInd w:val="0"/>
                    <w:jc w:val="center"/>
                    <w:textAlignment w:val="baseline"/>
                    <w:rPr>
                      <w:kern w:val="0"/>
                      <w:szCs w:val="21"/>
                    </w:rPr>
                  </w:pPr>
                  <w:r>
                    <w:rPr>
                      <w:kern w:val="0"/>
                      <w:szCs w:val="21"/>
                    </w:rPr>
                    <w:t>39.57</w:t>
                  </w:r>
                </w:p>
              </w:tc>
              <w:tc>
                <w:tcPr>
                  <w:tcW w:w="911" w:type="dxa"/>
                  <w:vAlign w:val="center"/>
                </w:tcPr>
                <w:p w14:paraId="661FF185">
                  <w:pPr>
                    <w:adjustRightInd w:val="0"/>
                    <w:jc w:val="center"/>
                    <w:textAlignment w:val="baseline"/>
                    <w:rPr>
                      <w:kern w:val="0"/>
                      <w:szCs w:val="21"/>
                    </w:rPr>
                  </w:pPr>
                  <w:r>
                    <w:rPr>
                      <w:kern w:val="0"/>
                      <w:szCs w:val="21"/>
                    </w:rPr>
                    <w:t>55</w:t>
                  </w:r>
                </w:p>
              </w:tc>
              <w:tc>
                <w:tcPr>
                  <w:tcW w:w="1316" w:type="dxa"/>
                  <w:vAlign w:val="center"/>
                </w:tcPr>
                <w:p w14:paraId="105319AB">
                  <w:pPr>
                    <w:adjustRightInd w:val="0"/>
                    <w:jc w:val="center"/>
                    <w:textAlignment w:val="baseline"/>
                    <w:rPr>
                      <w:kern w:val="0"/>
                      <w:szCs w:val="21"/>
                    </w:rPr>
                  </w:pPr>
                  <w:r>
                    <w:rPr>
                      <w:kern w:val="0"/>
                      <w:szCs w:val="21"/>
                    </w:rPr>
                    <w:t>达标</w:t>
                  </w:r>
                </w:p>
              </w:tc>
            </w:tr>
            <w:tr w14:paraId="1089C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583CE957">
                  <w:pPr>
                    <w:adjustRightInd w:val="0"/>
                    <w:jc w:val="center"/>
                    <w:textAlignment w:val="baseline"/>
                    <w:rPr>
                      <w:kern w:val="0"/>
                      <w:szCs w:val="21"/>
                    </w:rPr>
                  </w:pPr>
                </w:p>
              </w:tc>
              <w:tc>
                <w:tcPr>
                  <w:tcW w:w="855" w:type="dxa"/>
                  <w:vAlign w:val="center"/>
                </w:tcPr>
                <w:p w14:paraId="35A5E480">
                  <w:pPr>
                    <w:adjustRightInd w:val="0"/>
                    <w:jc w:val="center"/>
                    <w:textAlignment w:val="baseline"/>
                    <w:rPr>
                      <w:kern w:val="0"/>
                      <w:szCs w:val="21"/>
                    </w:rPr>
                  </w:pPr>
                  <w:r>
                    <w:rPr>
                      <w:kern w:val="0"/>
                      <w:szCs w:val="21"/>
                    </w:rPr>
                    <w:t>127.09</w:t>
                  </w:r>
                </w:p>
              </w:tc>
              <w:tc>
                <w:tcPr>
                  <w:tcW w:w="830" w:type="dxa"/>
                  <w:vAlign w:val="center"/>
                </w:tcPr>
                <w:p w14:paraId="07C04743">
                  <w:pPr>
                    <w:adjustRightInd w:val="0"/>
                    <w:jc w:val="center"/>
                    <w:textAlignment w:val="baseline"/>
                    <w:rPr>
                      <w:kern w:val="0"/>
                      <w:szCs w:val="21"/>
                    </w:rPr>
                  </w:pPr>
                  <w:r>
                    <w:rPr>
                      <w:kern w:val="0"/>
                      <w:szCs w:val="21"/>
                    </w:rPr>
                    <w:t>-0.51</w:t>
                  </w:r>
                </w:p>
              </w:tc>
              <w:tc>
                <w:tcPr>
                  <w:tcW w:w="884" w:type="dxa"/>
                  <w:vAlign w:val="center"/>
                </w:tcPr>
                <w:p w14:paraId="087BAFA0">
                  <w:pPr>
                    <w:adjustRightInd w:val="0"/>
                    <w:jc w:val="center"/>
                    <w:textAlignment w:val="baseline"/>
                    <w:rPr>
                      <w:kern w:val="0"/>
                      <w:szCs w:val="21"/>
                    </w:rPr>
                  </w:pPr>
                  <w:r>
                    <w:rPr>
                      <w:kern w:val="0"/>
                      <w:szCs w:val="21"/>
                    </w:rPr>
                    <w:t>1.2</w:t>
                  </w:r>
                </w:p>
              </w:tc>
              <w:tc>
                <w:tcPr>
                  <w:tcW w:w="1325" w:type="dxa"/>
                  <w:vAlign w:val="center"/>
                </w:tcPr>
                <w:p w14:paraId="1F4C9536">
                  <w:pPr>
                    <w:adjustRightInd w:val="0"/>
                    <w:jc w:val="center"/>
                    <w:textAlignment w:val="baseline"/>
                    <w:rPr>
                      <w:kern w:val="0"/>
                      <w:szCs w:val="21"/>
                    </w:rPr>
                  </w:pPr>
                  <w:r>
                    <w:rPr>
                      <w:kern w:val="0"/>
                      <w:szCs w:val="21"/>
                    </w:rPr>
                    <w:t>夜间</w:t>
                  </w:r>
                </w:p>
              </w:tc>
              <w:tc>
                <w:tcPr>
                  <w:tcW w:w="1380" w:type="dxa"/>
                  <w:vAlign w:val="center"/>
                </w:tcPr>
                <w:p w14:paraId="713E9B1B">
                  <w:pPr>
                    <w:adjustRightInd w:val="0"/>
                    <w:jc w:val="center"/>
                    <w:textAlignment w:val="baseline"/>
                    <w:rPr>
                      <w:kern w:val="0"/>
                      <w:szCs w:val="21"/>
                    </w:rPr>
                  </w:pPr>
                  <w:r>
                    <w:rPr>
                      <w:kern w:val="0"/>
                      <w:szCs w:val="21"/>
                    </w:rPr>
                    <w:t>39.57</w:t>
                  </w:r>
                </w:p>
              </w:tc>
              <w:tc>
                <w:tcPr>
                  <w:tcW w:w="911" w:type="dxa"/>
                  <w:vAlign w:val="center"/>
                </w:tcPr>
                <w:p w14:paraId="390E0F89">
                  <w:pPr>
                    <w:adjustRightInd w:val="0"/>
                    <w:jc w:val="center"/>
                    <w:textAlignment w:val="baseline"/>
                    <w:rPr>
                      <w:kern w:val="0"/>
                      <w:szCs w:val="21"/>
                    </w:rPr>
                  </w:pPr>
                  <w:r>
                    <w:rPr>
                      <w:kern w:val="0"/>
                      <w:szCs w:val="21"/>
                    </w:rPr>
                    <w:t>45</w:t>
                  </w:r>
                </w:p>
              </w:tc>
              <w:tc>
                <w:tcPr>
                  <w:tcW w:w="1316" w:type="dxa"/>
                  <w:vAlign w:val="center"/>
                </w:tcPr>
                <w:p w14:paraId="402C4666">
                  <w:pPr>
                    <w:adjustRightInd w:val="0"/>
                    <w:jc w:val="center"/>
                    <w:textAlignment w:val="baseline"/>
                    <w:rPr>
                      <w:kern w:val="0"/>
                      <w:szCs w:val="21"/>
                    </w:rPr>
                  </w:pPr>
                  <w:r>
                    <w:rPr>
                      <w:kern w:val="0"/>
                      <w:szCs w:val="21"/>
                    </w:rPr>
                    <w:t>达标</w:t>
                  </w:r>
                </w:p>
              </w:tc>
            </w:tr>
            <w:tr w14:paraId="57607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2819884A">
                  <w:pPr>
                    <w:adjustRightInd w:val="0"/>
                    <w:jc w:val="center"/>
                    <w:textAlignment w:val="baseline"/>
                    <w:rPr>
                      <w:kern w:val="0"/>
                      <w:szCs w:val="21"/>
                    </w:rPr>
                  </w:pPr>
                  <w:r>
                    <w:rPr>
                      <w:kern w:val="0"/>
                      <w:szCs w:val="21"/>
                    </w:rPr>
                    <w:t>西厂界</w:t>
                  </w:r>
                </w:p>
              </w:tc>
              <w:tc>
                <w:tcPr>
                  <w:tcW w:w="855" w:type="dxa"/>
                  <w:vAlign w:val="center"/>
                </w:tcPr>
                <w:p w14:paraId="6F6463AC">
                  <w:pPr>
                    <w:adjustRightInd w:val="0"/>
                    <w:jc w:val="center"/>
                    <w:textAlignment w:val="baseline"/>
                    <w:rPr>
                      <w:kern w:val="0"/>
                      <w:szCs w:val="21"/>
                    </w:rPr>
                  </w:pPr>
                  <w:r>
                    <w:rPr>
                      <w:kern w:val="0"/>
                      <w:szCs w:val="21"/>
                    </w:rPr>
                    <w:t>0.22</w:t>
                  </w:r>
                </w:p>
              </w:tc>
              <w:tc>
                <w:tcPr>
                  <w:tcW w:w="830" w:type="dxa"/>
                  <w:vAlign w:val="center"/>
                </w:tcPr>
                <w:p w14:paraId="4CE3AA3B">
                  <w:pPr>
                    <w:adjustRightInd w:val="0"/>
                    <w:jc w:val="center"/>
                    <w:textAlignment w:val="baseline"/>
                    <w:rPr>
                      <w:kern w:val="0"/>
                      <w:szCs w:val="21"/>
                    </w:rPr>
                  </w:pPr>
                  <w:r>
                    <w:rPr>
                      <w:kern w:val="0"/>
                      <w:szCs w:val="21"/>
                    </w:rPr>
                    <w:t>29.80</w:t>
                  </w:r>
                </w:p>
              </w:tc>
              <w:tc>
                <w:tcPr>
                  <w:tcW w:w="884" w:type="dxa"/>
                  <w:vAlign w:val="center"/>
                </w:tcPr>
                <w:p w14:paraId="73373234">
                  <w:pPr>
                    <w:adjustRightInd w:val="0"/>
                    <w:jc w:val="center"/>
                    <w:textAlignment w:val="baseline"/>
                    <w:rPr>
                      <w:kern w:val="0"/>
                      <w:szCs w:val="21"/>
                    </w:rPr>
                  </w:pPr>
                  <w:r>
                    <w:rPr>
                      <w:kern w:val="0"/>
                      <w:szCs w:val="21"/>
                    </w:rPr>
                    <w:t>1.2</w:t>
                  </w:r>
                </w:p>
              </w:tc>
              <w:tc>
                <w:tcPr>
                  <w:tcW w:w="1325" w:type="dxa"/>
                  <w:vAlign w:val="center"/>
                </w:tcPr>
                <w:p w14:paraId="40D89D67">
                  <w:pPr>
                    <w:adjustRightInd w:val="0"/>
                    <w:jc w:val="center"/>
                    <w:textAlignment w:val="baseline"/>
                    <w:rPr>
                      <w:kern w:val="0"/>
                      <w:szCs w:val="21"/>
                    </w:rPr>
                  </w:pPr>
                  <w:r>
                    <w:rPr>
                      <w:kern w:val="0"/>
                      <w:szCs w:val="21"/>
                    </w:rPr>
                    <w:t>昼间</w:t>
                  </w:r>
                </w:p>
              </w:tc>
              <w:tc>
                <w:tcPr>
                  <w:tcW w:w="1380" w:type="dxa"/>
                  <w:vAlign w:val="center"/>
                </w:tcPr>
                <w:p w14:paraId="6E7C30C0">
                  <w:pPr>
                    <w:adjustRightInd w:val="0"/>
                    <w:jc w:val="center"/>
                    <w:textAlignment w:val="baseline"/>
                    <w:rPr>
                      <w:kern w:val="0"/>
                      <w:szCs w:val="21"/>
                    </w:rPr>
                  </w:pPr>
                  <w:r>
                    <w:rPr>
                      <w:kern w:val="0"/>
                      <w:szCs w:val="21"/>
                    </w:rPr>
                    <w:t>24.90</w:t>
                  </w:r>
                </w:p>
              </w:tc>
              <w:tc>
                <w:tcPr>
                  <w:tcW w:w="911" w:type="dxa"/>
                  <w:vAlign w:val="center"/>
                </w:tcPr>
                <w:p w14:paraId="49CCC26C">
                  <w:pPr>
                    <w:adjustRightInd w:val="0"/>
                    <w:jc w:val="center"/>
                    <w:textAlignment w:val="baseline"/>
                    <w:rPr>
                      <w:kern w:val="0"/>
                      <w:szCs w:val="21"/>
                    </w:rPr>
                  </w:pPr>
                  <w:r>
                    <w:rPr>
                      <w:kern w:val="0"/>
                      <w:szCs w:val="21"/>
                    </w:rPr>
                    <w:t>55</w:t>
                  </w:r>
                </w:p>
              </w:tc>
              <w:tc>
                <w:tcPr>
                  <w:tcW w:w="1316" w:type="dxa"/>
                  <w:vAlign w:val="center"/>
                </w:tcPr>
                <w:p w14:paraId="49570C51">
                  <w:pPr>
                    <w:adjustRightInd w:val="0"/>
                    <w:jc w:val="center"/>
                    <w:textAlignment w:val="baseline"/>
                    <w:rPr>
                      <w:kern w:val="0"/>
                      <w:szCs w:val="21"/>
                    </w:rPr>
                  </w:pPr>
                  <w:r>
                    <w:rPr>
                      <w:kern w:val="0"/>
                      <w:szCs w:val="21"/>
                    </w:rPr>
                    <w:t>达标</w:t>
                  </w:r>
                </w:p>
              </w:tc>
            </w:tr>
            <w:tr w14:paraId="5023B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55E09BD8">
                  <w:pPr>
                    <w:adjustRightInd w:val="0"/>
                    <w:jc w:val="center"/>
                    <w:textAlignment w:val="baseline"/>
                    <w:rPr>
                      <w:kern w:val="0"/>
                      <w:szCs w:val="21"/>
                    </w:rPr>
                  </w:pPr>
                </w:p>
              </w:tc>
              <w:tc>
                <w:tcPr>
                  <w:tcW w:w="855" w:type="dxa"/>
                  <w:vAlign w:val="center"/>
                </w:tcPr>
                <w:p w14:paraId="6322E4C8">
                  <w:pPr>
                    <w:adjustRightInd w:val="0"/>
                    <w:jc w:val="center"/>
                    <w:textAlignment w:val="baseline"/>
                    <w:rPr>
                      <w:kern w:val="0"/>
                      <w:szCs w:val="21"/>
                    </w:rPr>
                  </w:pPr>
                  <w:r>
                    <w:rPr>
                      <w:kern w:val="0"/>
                      <w:szCs w:val="21"/>
                    </w:rPr>
                    <w:t>0.22</w:t>
                  </w:r>
                </w:p>
              </w:tc>
              <w:tc>
                <w:tcPr>
                  <w:tcW w:w="830" w:type="dxa"/>
                  <w:vAlign w:val="center"/>
                </w:tcPr>
                <w:p w14:paraId="0FD7E9B5">
                  <w:pPr>
                    <w:adjustRightInd w:val="0"/>
                    <w:jc w:val="center"/>
                    <w:textAlignment w:val="baseline"/>
                    <w:rPr>
                      <w:kern w:val="0"/>
                      <w:szCs w:val="21"/>
                    </w:rPr>
                  </w:pPr>
                  <w:r>
                    <w:rPr>
                      <w:kern w:val="0"/>
                      <w:szCs w:val="21"/>
                    </w:rPr>
                    <w:t>29.80</w:t>
                  </w:r>
                </w:p>
              </w:tc>
              <w:tc>
                <w:tcPr>
                  <w:tcW w:w="884" w:type="dxa"/>
                  <w:vAlign w:val="center"/>
                </w:tcPr>
                <w:p w14:paraId="61CB5FF3">
                  <w:pPr>
                    <w:adjustRightInd w:val="0"/>
                    <w:jc w:val="center"/>
                    <w:textAlignment w:val="baseline"/>
                    <w:rPr>
                      <w:kern w:val="0"/>
                      <w:szCs w:val="21"/>
                    </w:rPr>
                  </w:pPr>
                  <w:r>
                    <w:rPr>
                      <w:kern w:val="0"/>
                      <w:szCs w:val="21"/>
                    </w:rPr>
                    <w:t>1.2</w:t>
                  </w:r>
                </w:p>
              </w:tc>
              <w:tc>
                <w:tcPr>
                  <w:tcW w:w="1325" w:type="dxa"/>
                  <w:vAlign w:val="center"/>
                </w:tcPr>
                <w:p w14:paraId="7A0B14F9">
                  <w:pPr>
                    <w:adjustRightInd w:val="0"/>
                    <w:jc w:val="center"/>
                    <w:textAlignment w:val="baseline"/>
                    <w:rPr>
                      <w:kern w:val="0"/>
                      <w:szCs w:val="21"/>
                    </w:rPr>
                  </w:pPr>
                  <w:r>
                    <w:rPr>
                      <w:kern w:val="0"/>
                      <w:szCs w:val="21"/>
                    </w:rPr>
                    <w:t>夜间</w:t>
                  </w:r>
                </w:p>
              </w:tc>
              <w:tc>
                <w:tcPr>
                  <w:tcW w:w="1380" w:type="dxa"/>
                  <w:vAlign w:val="center"/>
                </w:tcPr>
                <w:p w14:paraId="4906C49E">
                  <w:pPr>
                    <w:adjustRightInd w:val="0"/>
                    <w:jc w:val="center"/>
                    <w:textAlignment w:val="baseline"/>
                    <w:rPr>
                      <w:kern w:val="0"/>
                      <w:szCs w:val="21"/>
                    </w:rPr>
                  </w:pPr>
                  <w:r>
                    <w:rPr>
                      <w:kern w:val="0"/>
                      <w:szCs w:val="21"/>
                    </w:rPr>
                    <w:t>24.90</w:t>
                  </w:r>
                </w:p>
              </w:tc>
              <w:tc>
                <w:tcPr>
                  <w:tcW w:w="911" w:type="dxa"/>
                  <w:vAlign w:val="center"/>
                </w:tcPr>
                <w:p w14:paraId="176892B4">
                  <w:pPr>
                    <w:adjustRightInd w:val="0"/>
                    <w:jc w:val="center"/>
                    <w:textAlignment w:val="baseline"/>
                    <w:rPr>
                      <w:kern w:val="0"/>
                      <w:szCs w:val="21"/>
                    </w:rPr>
                  </w:pPr>
                  <w:r>
                    <w:rPr>
                      <w:kern w:val="0"/>
                      <w:szCs w:val="21"/>
                    </w:rPr>
                    <w:t>45</w:t>
                  </w:r>
                </w:p>
              </w:tc>
              <w:tc>
                <w:tcPr>
                  <w:tcW w:w="1316" w:type="dxa"/>
                  <w:vAlign w:val="center"/>
                </w:tcPr>
                <w:p w14:paraId="5E427D71">
                  <w:pPr>
                    <w:adjustRightInd w:val="0"/>
                    <w:jc w:val="center"/>
                    <w:textAlignment w:val="baseline"/>
                    <w:rPr>
                      <w:kern w:val="0"/>
                      <w:szCs w:val="21"/>
                    </w:rPr>
                  </w:pPr>
                  <w:r>
                    <w:rPr>
                      <w:kern w:val="0"/>
                      <w:szCs w:val="21"/>
                    </w:rPr>
                    <w:t>达标</w:t>
                  </w:r>
                </w:p>
              </w:tc>
            </w:tr>
            <w:tr w14:paraId="23CC9F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restart"/>
                  <w:vAlign w:val="center"/>
                </w:tcPr>
                <w:p w14:paraId="42EE58C9">
                  <w:pPr>
                    <w:adjustRightInd w:val="0"/>
                    <w:jc w:val="center"/>
                    <w:textAlignment w:val="baseline"/>
                    <w:rPr>
                      <w:kern w:val="0"/>
                      <w:szCs w:val="21"/>
                    </w:rPr>
                  </w:pPr>
                  <w:r>
                    <w:rPr>
                      <w:kern w:val="0"/>
                      <w:szCs w:val="21"/>
                    </w:rPr>
                    <w:t>北厂界</w:t>
                  </w:r>
                </w:p>
              </w:tc>
              <w:tc>
                <w:tcPr>
                  <w:tcW w:w="855" w:type="dxa"/>
                  <w:vAlign w:val="center"/>
                </w:tcPr>
                <w:p w14:paraId="4FD301C3">
                  <w:pPr>
                    <w:adjustRightInd w:val="0"/>
                    <w:jc w:val="center"/>
                    <w:textAlignment w:val="baseline"/>
                    <w:rPr>
                      <w:kern w:val="0"/>
                      <w:szCs w:val="21"/>
                    </w:rPr>
                  </w:pPr>
                  <w:r>
                    <w:rPr>
                      <w:kern w:val="0"/>
                      <w:szCs w:val="21"/>
                    </w:rPr>
                    <w:t>130.28</w:t>
                  </w:r>
                </w:p>
              </w:tc>
              <w:tc>
                <w:tcPr>
                  <w:tcW w:w="830" w:type="dxa"/>
                  <w:vAlign w:val="center"/>
                </w:tcPr>
                <w:p w14:paraId="7684AE0E">
                  <w:pPr>
                    <w:adjustRightInd w:val="0"/>
                    <w:jc w:val="center"/>
                    <w:textAlignment w:val="baseline"/>
                    <w:rPr>
                      <w:kern w:val="0"/>
                      <w:szCs w:val="21"/>
                    </w:rPr>
                  </w:pPr>
                  <w:r>
                    <w:rPr>
                      <w:kern w:val="0"/>
                      <w:szCs w:val="21"/>
                    </w:rPr>
                    <w:t>103.52</w:t>
                  </w:r>
                </w:p>
              </w:tc>
              <w:tc>
                <w:tcPr>
                  <w:tcW w:w="884" w:type="dxa"/>
                  <w:vAlign w:val="center"/>
                </w:tcPr>
                <w:p w14:paraId="52C71C0F">
                  <w:pPr>
                    <w:adjustRightInd w:val="0"/>
                    <w:jc w:val="center"/>
                    <w:textAlignment w:val="baseline"/>
                    <w:rPr>
                      <w:kern w:val="0"/>
                      <w:szCs w:val="21"/>
                    </w:rPr>
                  </w:pPr>
                  <w:r>
                    <w:rPr>
                      <w:kern w:val="0"/>
                      <w:szCs w:val="21"/>
                    </w:rPr>
                    <w:t>1.2</w:t>
                  </w:r>
                </w:p>
              </w:tc>
              <w:tc>
                <w:tcPr>
                  <w:tcW w:w="1325" w:type="dxa"/>
                  <w:vAlign w:val="center"/>
                </w:tcPr>
                <w:p w14:paraId="59C45253">
                  <w:pPr>
                    <w:adjustRightInd w:val="0"/>
                    <w:jc w:val="center"/>
                    <w:textAlignment w:val="baseline"/>
                    <w:rPr>
                      <w:kern w:val="0"/>
                      <w:szCs w:val="21"/>
                    </w:rPr>
                  </w:pPr>
                  <w:r>
                    <w:rPr>
                      <w:kern w:val="0"/>
                      <w:szCs w:val="21"/>
                    </w:rPr>
                    <w:t>昼间</w:t>
                  </w:r>
                </w:p>
              </w:tc>
              <w:tc>
                <w:tcPr>
                  <w:tcW w:w="1380" w:type="dxa"/>
                  <w:vAlign w:val="center"/>
                </w:tcPr>
                <w:p w14:paraId="0FC1DA97">
                  <w:pPr>
                    <w:adjustRightInd w:val="0"/>
                    <w:jc w:val="center"/>
                    <w:textAlignment w:val="baseline"/>
                    <w:rPr>
                      <w:kern w:val="0"/>
                      <w:szCs w:val="21"/>
                    </w:rPr>
                  </w:pPr>
                  <w:r>
                    <w:rPr>
                      <w:kern w:val="0"/>
                      <w:szCs w:val="21"/>
                    </w:rPr>
                    <w:t>31.61</w:t>
                  </w:r>
                </w:p>
              </w:tc>
              <w:tc>
                <w:tcPr>
                  <w:tcW w:w="911" w:type="dxa"/>
                  <w:vAlign w:val="center"/>
                </w:tcPr>
                <w:p w14:paraId="582AE7F0">
                  <w:pPr>
                    <w:adjustRightInd w:val="0"/>
                    <w:jc w:val="center"/>
                    <w:textAlignment w:val="baseline"/>
                    <w:rPr>
                      <w:kern w:val="0"/>
                      <w:szCs w:val="21"/>
                    </w:rPr>
                  </w:pPr>
                  <w:r>
                    <w:rPr>
                      <w:kern w:val="0"/>
                      <w:szCs w:val="21"/>
                    </w:rPr>
                    <w:t>55</w:t>
                  </w:r>
                </w:p>
              </w:tc>
              <w:tc>
                <w:tcPr>
                  <w:tcW w:w="1316" w:type="dxa"/>
                  <w:vAlign w:val="center"/>
                </w:tcPr>
                <w:p w14:paraId="4DFF2404">
                  <w:pPr>
                    <w:adjustRightInd w:val="0"/>
                    <w:jc w:val="center"/>
                    <w:textAlignment w:val="baseline"/>
                    <w:rPr>
                      <w:kern w:val="0"/>
                      <w:szCs w:val="21"/>
                    </w:rPr>
                  </w:pPr>
                  <w:r>
                    <w:rPr>
                      <w:kern w:val="0"/>
                      <w:szCs w:val="21"/>
                    </w:rPr>
                    <w:t>达标</w:t>
                  </w:r>
                </w:p>
              </w:tc>
            </w:tr>
            <w:tr w14:paraId="4631C5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03" w:type="dxa"/>
                  <w:vMerge w:val="continue"/>
                  <w:vAlign w:val="center"/>
                </w:tcPr>
                <w:p w14:paraId="486006E9">
                  <w:pPr>
                    <w:adjustRightInd w:val="0"/>
                    <w:jc w:val="center"/>
                    <w:textAlignment w:val="baseline"/>
                    <w:rPr>
                      <w:kern w:val="0"/>
                      <w:szCs w:val="21"/>
                    </w:rPr>
                  </w:pPr>
                </w:p>
              </w:tc>
              <w:tc>
                <w:tcPr>
                  <w:tcW w:w="855" w:type="dxa"/>
                  <w:vAlign w:val="center"/>
                </w:tcPr>
                <w:p w14:paraId="2D8A6AC6">
                  <w:pPr>
                    <w:adjustRightInd w:val="0"/>
                    <w:jc w:val="center"/>
                    <w:textAlignment w:val="baseline"/>
                    <w:rPr>
                      <w:kern w:val="0"/>
                      <w:szCs w:val="21"/>
                    </w:rPr>
                  </w:pPr>
                  <w:r>
                    <w:rPr>
                      <w:kern w:val="0"/>
                      <w:szCs w:val="21"/>
                    </w:rPr>
                    <w:t>130.28</w:t>
                  </w:r>
                </w:p>
              </w:tc>
              <w:tc>
                <w:tcPr>
                  <w:tcW w:w="830" w:type="dxa"/>
                  <w:vAlign w:val="center"/>
                </w:tcPr>
                <w:p w14:paraId="31B19973">
                  <w:pPr>
                    <w:adjustRightInd w:val="0"/>
                    <w:jc w:val="center"/>
                    <w:textAlignment w:val="baseline"/>
                    <w:rPr>
                      <w:kern w:val="0"/>
                      <w:szCs w:val="21"/>
                    </w:rPr>
                  </w:pPr>
                  <w:r>
                    <w:rPr>
                      <w:kern w:val="0"/>
                      <w:szCs w:val="21"/>
                    </w:rPr>
                    <w:t>103.52</w:t>
                  </w:r>
                </w:p>
              </w:tc>
              <w:tc>
                <w:tcPr>
                  <w:tcW w:w="884" w:type="dxa"/>
                  <w:vAlign w:val="center"/>
                </w:tcPr>
                <w:p w14:paraId="0DEBD628">
                  <w:pPr>
                    <w:adjustRightInd w:val="0"/>
                    <w:jc w:val="center"/>
                    <w:textAlignment w:val="baseline"/>
                    <w:rPr>
                      <w:kern w:val="0"/>
                      <w:szCs w:val="21"/>
                    </w:rPr>
                  </w:pPr>
                  <w:r>
                    <w:rPr>
                      <w:kern w:val="0"/>
                      <w:szCs w:val="21"/>
                    </w:rPr>
                    <w:t>1.2</w:t>
                  </w:r>
                </w:p>
              </w:tc>
              <w:tc>
                <w:tcPr>
                  <w:tcW w:w="1325" w:type="dxa"/>
                  <w:vAlign w:val="center"/>
                </w:tcPr>
                <w:p w14:paraId="70F31CCF">
                  <w:pPr>
                    <w:adjustRightInd w:val="0"/>
                    <w:jc w:val="center"/>
                    <w:textAlignment w:val="baseline"/>
                    <w:rPr>
                      <w:kern w:val="0"/>
                      <w:szCs w:val="21"/>
                    </w:rPr>
                  </w:pPr>
                  <w:r>
                    <w:rPr>
                      <w:kern w:val="0"/>
                      <w:szCs w:val="21"/>
                    </w:rPr>
                    <w:t>夜间</w:t>
                  </w:r>
                </w:p>
              </w:tc>
              <w:tc>
                <w:tcPr>
                  <w:tcW w:w="1380" w:type="dxa"/>
                  <w:vAlign w:val="center"/>
                </w:tcPr>
                <w:p w14:paraId="45630B67">
                  <w:pPr>
                    <w:adjustRightInd w:val="0"/>
                    <w:jc w:val="center"/>
                    <w:textAlignment w:val="baseline"/>
                    <w:rPr>
                      <w:kern w:val="0"/>
                      <w:szCs w:val="21"/>
                    </w:rPr>
                  </w:pPr>
                  <w:r>
                    <w:rPr>
                      <w:kern w:val="0"/>
                      <w:szCs w:val="21"/>
                    </w:rPr>
                    <w:t>31.61</w:t>
                  </w:r>
                </w:p>
              </w:tc>
              <w:tc>
                <w:tcPr>
                  <w:tcW w:w="911" w:type="dxa"/>
                  <w:vAlign w:val="center"/>
                </w:tcPr>
                <w:p w14:paraId="7AA35E99">
                  <w:pPr>
                    <w:adjustRightInd w:val="0"/>
                    <w:jc w:val="center"/>
                    <w:textAlignment w:val="baseline"/>
                    <w:rPr>
                      <w:kern w:val="0"/>
                      <w:szCs w:val="21"/>
                    </w:rPr>
                  </w:pPr>
                  <w:r>
                    <w:rPr>
                      <w:kern w:val="0"/>
                      <w:szCs w:val="21"/>
                    </w:rPr>
                    <w:t>45</w:t>
                  </w:r>
                </w:p>
              </w:tc>
              <w:tc>
                <w:tcPr>
                  <w:tcW w:w="1316" w:type="dxa"/>
                  <w:vAlign w:val="center"/>
                </w:tcPr>
                <w:p w14:paraId="75EE079E">
                  <w:pPr>
                    <w:adjustRightInd w:val="0"/>
                    <w:jc w:val="center"/>
                    <w:textAlignment w:val="baseline"/>
                    <w:rPr>
                      <w:kern w:val="0"/>
                      <w:szCs w:val="21"/>
                    </w:rPr>
                  </w:pPr>
                  <w:r>
                    <w:rPr>
                      <w:kern w:val="0"/>
                      <w:szCs w:val="21"/>
                    </w:rPr>
                    <w:t>达标</w:t>
                  </w:r>
                </w:p>
              </w:tc>
            </w:tr>
          </w:tbl>
          <w:p w14:paraId="0761DDAD">
            <w:pPr>
              <w:spacing w:line="480" w:lineRule="exact"/>
              <w:ind w:firstLine="480" w:firstLineChars="200"/>
              <w:rPr>
                <w:sz w:val="24"/>
              </w:rPr>
            </w:pPr>
            <w:r>
              <w:rPr>
                <w:sz w:val="24"/>
              </w:rPr>
              <w:t>注：以场区中心为坐标原点，东西向为X轴，南北向为Y轴。</w:t>
            </w:r>
          </w:p>
          <w:p w14:paraId="1AB37F83">
            <w:pPr>
              <w:spacing w:line="480" w:lineRule="exact"/>
              <w:ind w:firstLine="480" w:firstLineChars="200"/>
              <w:rPr>
                <w:sz w:val="24"/>
              </w:rPr>
            </w:pPr>
            <w:r>
              <w:rPr>
                <w:sz w:val="24"/>
              </w:rPr>
              <w:t>综上，本项目运营后，升压站厂界噪声能够满足《工业企业厂界噪声排放标准》（GB12348-2008）1类标准要求。</w:t>
            </w:r>
          </w:p>
          <w:p w14:paraId="218967EC">
            <w:pPr>
              <w:spacing w:line="480" w:lineRule="exact"/>
              <w:ind w:firstLine="482" w:firstLineChars="200"/>
              <w:outlineLvl w:val="2"/>
              <w:rPr>
                <w:b/>
                <w:bCs/>
                <w:kern w:val="0"/>
                <w:sz w:val="24"/>
              </w:rPr>
            </w:pPr>
            <w:r>
              <w:rPr>
                <w:b/>
                <w:bCs/>
                <w:kern w:val="0"/>
                <w:sz w:val="24"/>
              </w:rPr>
              <w:t>4.3风机噪声预测结果与评价</w:t>
            </w:r>
          </w:p>
          <w:p w14:paraId="1B3FF101">
            <w:pPr>
              <w:spacing w:line="480" w:lineRule="exact"/>
              <w:ind w:firstLine="480" w:firstLineChars="200"/>
              <w:rPr>
                <w:sz w:val="24"/>
              </w:rPr>
            </w:pPr>
            <w:r>
              <w:rPr>
                <w:sz w:val="24"/>
              </w:rPr>
              <w:t>本项目风场噪声源及噪声值见下表。</w:t>
            </w:r>
          </w:p>
          <w:p w14:paraId="0146979D">
            <w:pPr>
              <w:jc w:val="center"/>
              <w:outlineLvl w:val="3"/>
              <w:rPr>
                <w:b/>
                <w:bCs/>
                <w:szCs w:val="21"/>
              </w:rPr>
            </w:pPr>
            <w:r>
              <w:rPr>
                <w:b/>
                <w:bCs/>
                <w:szCs w:val="21"/>
              </w:rPr>
              <w:t>表4-</w:t>
            </w:r>
            <w:r>
              <w:rPr>
                <w:rFonts w:hint="eastAsia"/>
                <w:b/>
                <w:bCs/>
                <w:szCs w:val="21"/>
              </w:rPr>
              <w:t>6</w:t>
            </w:r>
            <w:r>
              <w:rPr>
                <w:b/>
                <w:bCs/>
                <w:szCs w:val="21"/>
              </w:rPr>
              <w:t xml:space="preserve">     本项目风电场区噪声源调查清单</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397"/>
              <w:gridCol w:w="1067"/>
              <w:gridCol w:w="490"/>
              <w:gridCol w:w="571"/>
              <w:gridCol w:w="519"/>
              <w:gridCol w:w="979"/>
              <w:gridCol w:w="2469"/>
              <w:gridCol w:w="878"/>
            </w:tblGrid>
            <w:tr w14:paraId="2CA0B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tblHeader/>
                <w:jc w:val="center"/>
              </w:trPr>
              <w:tc>
                <w:tcPr>
                  <w:tcW w:w="278" w:type="pct"/>
                  <w:vMerge w:val="restart"/>
                  <w:tcBorders>
                    <w:tl2br w:val="nil"/>
                    <w:tr2bl w:val="nil"/>
                  </w:tcBorders>
                  <w:vAlign w:val="center"/>
                </w:tcPr>
                <w:p w14:paraId="2A1BFA53">
                  <w:pPr>
                    <w:adjustRightInd w:val="0"/>
                    <w:jc w:val="center"/>
                    <w:textAlignment w:val="baseline"/>
                    <w:rPr>
                      <w:kern w:val="0"/>
                      <w:szCs w:val="21"/>
                    </w:rPr>
                  </w:pPr>
                  <w:r>
                    <w:rPr>
                      <w:kern w:val="0"/>
                      <w:szCs w:val="21"/>
                    </w:rPr>
                    <w:t>序号</w:t>
                  </w:r>
                </w:p>
              </w:tc>
              <w:tc>
                <w:tcPr>
                  <w:tcW w:w="733" w:type="pct"/>
                  <w:vMerge w:val="restart"/>
                  <w:tcBorders>
                    <w:tl2br w:val="nil"/>
                    <w:tr2bl w:val="nil"/>
                  </w:tcBorders>
                  <w:vAlign w:val="center"/>
                </w:tcPr>
                <w:p w14:paraId="129C2EE6">
                  <w:pPr>
                    <w:adjustRightInd w:val="0"/>
                    <w:jc w:val="center"/>
                    <w:textAlignment w:val="baseline"/>
                    <w:rPr>
                      <w:kern w:val="0"/>
                      <w:szCs w:val="21"/>
                    </w:rPr>
                  </w:pPr>
                  <w:r>
                    <w:rPr>
                      <w:kern w:val="0"/>
                      <w:szCs w:val="21"/>
                    </w:rPr>
                    <w:t>声源名称</w:t>
                  </w:r>
                </w:p>
              </w:tc>
              <w:tc>
                <w:tcPr>
                  <w:tcW w:w="1098" w:type="pct"/>
                  <w:gridSpan w:val="3"/>
                  <w:tcBorders>
                    <w:tl2br w:val="nil"/>
                    <w:tr2bl w:val="nil"/>
                  </w:tcBorders>
                  <w:vAlign w:val="center"/>
                </w:tcPr>
                <w:p w14:paraId="472436AD">
                  <w:pPr>
                    <w:adjustRightInd w:val="0"/>
                    <w:jc w:val="center"/>
                    <w:textAlignment w:val="baseline"/>
                    <w:rPr>
                      <w:kern w:val="0"/>
                      <w:szCs w:val="21"/>
                    </w:rPr>
                  </w:pPr>
                  <w:r>
                    <w:rPr>
                      <w:kern w:val="0"/>
                      <w:szCs w:val="21"/>
                    </w:rPr>
                    <w:t>空间相对位置/m</w:t>
                  </w:r>
                </w:p>
              </w:tc>
              <w:tc>
                <w:tcPr>
                  <w:tcW w:w="602" w:type="pct"/>
                  <w:vMerge w:val="restart"/>
                  <w:tcBorders>
                    <w:tl2br w:val="nil"/>
                    <w:tr2bl w:val="nil"/>
                  </w:tcBorders>
                  <w:vAlign w:val="center"/>
                </w:tcPr>
                <w:p w14:paraId="1239F0A2">
                  <w:pPr>
                    <w:adjustRightInd w:val="0"/>
                    <w:jc w:val="center"/>
                    <w:textAlignment w:val="baseline"/>
                    <w:rPr>
                      <w:kern w:val="0"/>
                      <w:szCs w:val="21"/>
                    </w:rPr>
                  </w:pPr>
                  <w:r>
                    <w:rPr>
                      <w:kern w:val="0"/>
                      <w:szCs w:val="21"/>
                    </w:rPr>
                    <w:t>声功率级（dB(A)）</w:t>
                  </w:r>
                </w:p>
              </w:tc>
              <w:tc>
                <w:tcPr>
                  <w:tcW w:w="1682" w:type="pct"/>
                  <w:vMerge w:val="restart"/>
                  <w:tcBorders>
                    <w:tl2br w:val="nil"/>
                    <w:tr2bl w:val="nil"/>
                  </w:tcBorders>
                  <w:vAlign w:val="center"/>
                </w:tcPr>
                <w:p w14:paraId="04715BC6">
                  <w:pPr>
                    <w:adjustRightInd w:val="0"/>
                    <w:jc w:val="center"/>
                    <w:textAlignment w:val="baseline"/>
                    <w:rPr>
                      <w:kern w:val="0"/>
                      <w:szCs w:val="21"/>
                    </w:rPr>
                  </w:pPr>
                  <w:r>
                    <w:rPr>
                      <w:kern w:val="0"/>
                      <w:szCs w:val="21"/>
                    </w:rPr>
                    <w:t>声源控制措施</w:t>
                  </w:r>
                </w:p>
              </w:tc>
              <w:tc>
                <w:tcPr>
                  <w:tcW w:w="604" w:type="pct"/>
                  <w:vMerge w:val="restart"/>
                  <w:tcBorders>
                    <w:tl2br w:val="nil"/>
                    <w:tr2bl w:val="nil"/>
                  </w:tcBorders>
                  <w:vAlign w:val="center"/>
                </w:tcPr>
                <w:p w14:paraId="3FF93917">
                  <w:pPr>
                    <w:adjustRightInd w:val="0"/>
                    <w:jc w:val="center"/>
                    <w:textAlignment w:val="baseline"/>
                    <w:rPr>
                      <w:kern w:val="0"/>
                      <w:szCs w:val="21"/>
                    </w:rPr>
                  </w:pPr>
                  <w:r>
                    <w:rPr>
                      <w:kern w:val="0"/>
                      <w:szCs w:val="21"/>
                    </w:rPr>
                    <w:t>运行时段</w:t>
                  </w:r>
                </w:p>
              </w:tc>
            </w:tr>
            <w:tr w14:paraId="4459E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tblHeader/>
                <w:jc w:val="center"/>
              </w:trPr>
              <w:tc>
                <w:tcPr>
                  <w:tcW w:w="278" w:type="pct"/>
                  <w:vMerge w:val="continue"/>
                  <w:tcBorders>
                    <w:tl2br w:val="nil"/>
                    <w:tr2bl w:val="nil"/>
                  </w:tcBorders>
                  <w:vAlign w:val="center"/>
                </w:tcPr>
                <w:p w14:paraId="0893445C">
                  <w:pPr>
                    <w:adjustRightInd w:val="0"/>
                    <w:jc w:val="center"/>
                    <w:textAlignment w:val="baseline"/>
                    <w:rPr>
                      <w:kern w:val="0"/>
                      <w:szCs w:val="21"/>
                    </w:rPr>
                  </w:pPr>
                </w:p>
              </w:tc>
              <w:tc>
                <w:tcPr>
                  <w:tcW w:w="733" w:type="pct"/>
                  <w:vMerge w:val="continue"/>
                  <w:tcBorders>
                    <w:tl2br w:val="nil"/>
                    <w:tr2bl w:val="nil"/>
                  </w:tcBorders>
                  <w:vAlign w:val="center"/>
                </w:tcPr>
                <w:p w14:paraId="71885EE3">
                  <w:pPr>
                    <w:adjustRightInd w:val="0"/>
                    <w:jc w:val="center"/>
                    <w:textAlignment w:val="baseline"/>
                    <w:rPr>
                      <w:kern w:val="0"/>
                      <w:szCs w:val="21"/>
                    </w:rPr>
                  </w:pPr>
                </w:p>
              </w:tc>
              <w:tc>
                <w:tcPr>
                  <w:tcW w:w="341" w:type="pct"/>
                  <w:tcBorders>
                    <w:tl2br w:val="nil"/>
                    <w:tr2bl w:val="nil"/>
                  </w:tcBorders>
                  <w:vAlign w:val="center"/>
                </w:tcPr>
                <w:p w14:paraId="5F40B113">
                  <w:pPr>
                    <w:adjustRightInd w:val="0"/>
                    <w:jc w:val="center"/>
                    <w:textAlignment w:val="baseline"/>
                    <w:rPr>
                      <w:kern w:val="0"/>
                      <w:szCs w:val="21"/>
                    </w:rPr>
                  </w:pPr>
                  <w:r>
                    <w:rPr>
                      <w:kern w:val="0"/>
                      <w:szCs w:val="21"/>
                    </w:rPr>
                    <w:t>X</w:t>
                  </w:r>
                </w:p>
              </w:tc>
              <w:tc>
                <w:tcPr>
                  <w:tcW w:w="396" w:type="pct"/>
                  <w:tcBorders>
                    <w:tl2br w:val="nil"/>
                    <w:tr2bl w:val="nil"/>
                  </w:tcBorders>
                  <w:vAlign w:val="center"/>
                </w:tcPr>
                <w:p w14:paraId="22331127">
                  <w:pPr>
                    <w:adjustRightInd w:val="0"/>
                    <w:jc w:val="center"/>
                    <w:textAlignment w:val="baseline"/>
                    <w:rPr>
                      <w:kern w:val="0"/>
                      <w:szCs w:val="21"/>
                    </w:rPr>
                  </w:pPr>
                  <w:r>
                    <w:rPr>
                      <w:kern w:val="0"/>
                      <w:szCs w:val="21"/>
                    </w:rPr>
                    <w:t>Y</w:t>
                  </w:r>
                </w:p>
              </w:tc>
              <w:tc>
                <w:tcPr>
                  <w:tcW w:w="360" w:type="pct"/>
                  <w:tcBorders>
                    <w:tl2br w:val="nil"/>
                    <w:tr2bl w:val="nil"/>
                  </w:tcBorders>
                  <w:vAlign w:val="center"/>
                </w:tcPr>
                <w:p w14:paraId="0A9A835E">
                  <w:pPr>
                    <w:adjustRightInd w:val="0"/>
                    <w:jc w:val="center"/>
                    <w:textAlignment w:val="baseline"/>
                    <w:rPr>
                      <w:kern w:val="0"/>
                      <w:szCs w:val="21"/>
                    </w:rPr>
                  </w:pPr>
                  <w:r>
                    <w:rPr>
                      <w:kern w:val="0"/>
                      <w:szCs w:val="21"/>
                    </w:rPr>
                    <w:t>Z</w:t>
                  </w:r>
                </w:p>
              </w:tc>
              <w:tc>
                <w:tcPr>
                  <w:tcW w:w="602" w:type="pct"/>
                  <w:vMerge w:val="continue"/>
                  <w:tcBorders>
                    <w:tl2br w:val="nil"/>
                    <w:tr2bl w:val="nil"/>
                  </w:tcBorders>
                  <w:vAlign w:val="center"/>
                </w:tcPr>
                <w:p w14:paraId="169631D4">
                  <w:pPr>
                    <w:adjustRightInd w:val="0"/>
                    <w:jc w:val="center"/>
                    <w:textAlignment w:val="baseline"/>
                    <w:rPr>
                      <w:kern w:val="0"/>
                      <w:szCs w:val="21"/>
                    </w:rPr>
                  </w:pPr>
                </w:p>
              </w:tc>
              <w:tc>
                <w:tcPr>
                  <w:tcW w:w="1682" w:type="pct"/>
                  <w:vMerge w:val="continue"/>
                  <w:tcBorders>
                    <w:tl2br w:val="nil"/>
                    <w:tr2bl w:val="nil"/>
                  </w:tcBorders>
                  <w:vAlign w:val="center"/>
                </w:tcPr>
                <w:p w14:paraId="0CB5641A">
                  <w:pPr>
                    <w:adjustRightInd w:val="0"/>
                    <w:jc w:val="center"/>
                    <w:textAlignment w:val="baseline"/>
                    <w:rPr>
                      <w:kern w:val="0"/>
                      <w:szCs w:val="21"/>
                    </w:rPr>
                  </w:pPr>
                </w:p>
              </w:tc>
              <w:tc>
                <w:tcPr>
                  <w:tcW w:w="604" w:type="pct"/>
                  <w:vMerge w:val="continue"/>
                  <w:tcBorders>
                    <w:tl2br w:val="nil"/>
                    <w:tr2bl w:val="nil"/>
                  </w:tcBorders>
                  <w:vAlign w:val="center"/>
                </w:tcPr>
                <w:p w14:paraId="5B7F1D2F">
                  <w:pPr>
                    <w:adjustRightInd w:val="0"/>
                    <w:jc w:val="center"/>
                    <w:textAlignment w:val="baseline"/>
                    <w:rPr>
                      <w:kern w:val="0"/>
                      <w:szCs w:val="21"/>
                    </w:rPr>
                  </w:pPr>
                </w:p>
              </w:tc>
            </w:tr>
            <w:tr w14:paraId="33F77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78" w:type="pct"/>
                  <w:tcBorders>
                    <w:tl2br w:val="nil"/>
                    <w:tr2bl w:val="nil"/>
                  </w:tcBorders>
                  <w:vAlign w:val="center"/>
                </w:tcPr>
                <w:p w14:paraId="0E95DF50">
                  <w:pPr>
                    <w:adjustRightInd w:val="0"/>
                    <w:jc w:val="center"/>
                    <w:textAlignment w:val="baseline"/>
                    <w:rPr>
                      <w:kern w:val="0"/>
                      <w:szCs w:val="21"/>
                    </w:rPr>
                  </w:pPr>
                  <w:r>
                    <w:rPr>
                      <w:kern w:val="0"/>
                      <w:szCs w:val="21"/>
                    </w:rPr>
                    <w:t>1</w:t>
                  </w:r>
                </w:p>
              </w:tc>
              <w:tc>
                <w:tcPr>
                  <w:tcW w:w="733" w:type="pct"/>
                  <w:tcBorders>
                    <w:tl2br w:val="nil"/>
                    <w:tr2bl w:val="nil"/>
                  </w:tcBorders>
                  <w:vAlign w:val="center"/>
                </w:tcPr>
                <w:p w14:paraId="7034FA74">
                  <w:pPr>
                    <w:adjustRightInd w:val="0"/>
                    <w:jc w:val="center"/>
                    <w:textAlignment w:val="baseline"/>
                    <w:rPr>
                      <w:kern w:val="0"/>
                      <w:szCs w:val="21"/>
                    </w:rPr>
                  </w:pPr>
                  <w:r>
                    <w:rPr>
                      <w:kern w:val="0"/>
                      <w:szCs w:val="21"/>
                    </w:rPr>
                    <w:t>7.7MW风机</w:t>
                  </w:r>
                </w:p>
              </w:tc>
              <w:tc>
                <w:tcPr>
                  <w:tcW w:w="341" w:type="pct"/>
                  <w:tcBorders>
                    <w:tl2br w:val="nil"/>
                    <w:tr2bl w:val="nil"/>
                  </w:tcBorders>
                  <w:vAlign w:val="center"/>
                </w:tcPr>
                <w:p w14:paraId="63386B4D">
                  <w:pPr>
                    <w:adjustRightInd w:val="0"/>
                    <w:jc w:val="center"/>
                    <w:textAlignment w:val="baseline"/>
                    <w:rPr>
                      <w:kern w:val="0"/>
                      <w:szCs w:val="21"/>
                    </w:rPr>
                  </w:pPr>
                  <w:r>
                    <w:rPr>
                      <w:kern w:val="0"/>
                      <w:szCs w:val="21"/>
                    </w:rPr>
                    <w:t>/</w:t>
                  </w:r>
                </w:p>
              </w:tc>
              <w:tc>
                <w:tcPr>
                  <w:tcW w:w="396" w:type="pct"/>
                  <w:tcBorders>
                    <w:tl2br w:val="nil"/>
                    <w:tr2bl w:val="nil"/>
                  </w:tcBorders>
                  <w:vAlign w:val="center"/>
                </w:tcPr>
                <w:p w14:paraId="695E8498">
                  <w:pPr>
                    <w:adjustRightInd w:val="0"/>
                    <w:jc w:val="center"/>
                    <w:textAlignment w:val="baseline"/>
                    <w:rPr>
                      <w:kern w:val="0"/>
                      <w:szCs w:val="21"/>
                    </w:rPr>
                  </w:pPr>
                  <w:r>
                    <w:rPr>
                      <w:kern w:val="0"/>
                      <w:szCs w:val="21"/>
                    </w:rPr>
                    <w:t>/</w:t>
                  </w:r>
                </w:p>
              </w:tc>
              <w:tc>
                <w:tcPr>
                  <w:tcW w:w="360" w:type="pct"/>
                  <w:tcBorders>
                    <w:tl2br w:val="nil"/>
                    <w:tr2bl w:val="nil"/>
                  </w:tcBorders>
                  <w:vAlign w:val="center"/>
                </w:tcPr>
                <w:p w14:paraId="237C4070">
                  <w:pPr>
                    <w:adjustRightInd w:val="0"/>
                    <w:jc w:val="center"/>
                    <w:textAlignment w:val="baseline"/>
                    <w:rPr>
                      <w:kern w:val="0"/>
                      <w:szCs w:val="21"/>
                    </w:rPr>
                  </w:pPr>
                  <w:r>
                    <w:rPr>
                      <w:kern w:val="0"/>
                      <w:szCs w:val="21"/>
                    </w:rPr>
                    <w:t>175</w:t>
                  </w:r>
                </w:p>
              </w:tc>
              <w:tc>
                <w:tcPr>
                  <w:tcW w:w="602" w:type="pct"/>
                  <w:tcBorders>
                    <w:tl2br w:val="nil"/>
                    <w:tr2bl w:val="nil"/>
                  </w:tcBorders>
                  <w:vAlign w:val="center"/>
                </w:tcPr>
                <w:p w14:paraId="77391256">
                  <w:pPr>
                    <w:adjustRightInd w:val="0"/>
                    <w:jc w:val="center"/>
                    <w:textAlignment w:val="baseline"/>
                    <w:rPr>
                      <w:kern w:val="0"/>
                      <w:szCs w:val="21"/>
                    </w:rPr>
                  </w:pPr>
                  <w:r>
                    <w:rPr>
                      <w:kern w:val="0"/>
                      <w:szCs w:val="21"/>
                    </w:rPr>
                    <w:t>106</w:t>
                  </w:r>
                </w:p>
              </w:tc>
              <w:tc>
                <w:tcPr>
                  <w:tcW w:w="1682" w:type="pct"/>
                  <w:tcBorders>
                    <w:tl2br w:val="nil"/>
                    <w:tr2bl w:val="nil"/>
                  </w:tcBorders>
                  <w:vAlign w:val="center"/>
                </w:tcPr>
                <w:p w14:paraId="6BAC3F0B">
                  <w:pPr>
                    <w:adjustRightInd w:val="0"/>
                    <w:jc w:val="center"/>
                    <w:textAlignment w:val="baseline"/>
                    <w:rPr>
                      <w:kern w:val="0"/>
                      <w:szCs w:val="21"/>
                    </w:rPr>
                  </w:pPr>
                  <w:r>
                    <w:rPr>
                      <w:kern w:val="0"/>
                      <w:szCs w:val="21"/>
                    </w:rPr>
                    <w:t>选用低噪声设备、基础减振，定期对风机进行维护和检修</w:t>
                  </w:r>
                </w:p>
              </w:tc>
              <w:tc>
                <w:tcPr>
                  <w:tcW w:w="604" w:type="pct"/>
                  <w:tcBorders>
                    <w:tl2br w:val="nil"/>
                    <w:tr2bl w:val="nil"/>
                  </w:tcBorders>
                  <w:vAlign w:val="center"/>
                </w:tcPr>
                <w:p w14:paraId="47C71F6A">
                  <w:pPr>
                    <w:adjustRightInd w:val="0"/>
                    <w:jc w:val="center"/>
                    <w:textAlignment w:val="baseline"/>
                    <w:rPr>
                      <w:kern w:val="0"/>
                      <w:szCs w:val="21"/>
                    </w:rPr>
                  </w:pPr>
                  <w:r>
                    <w:rPr>
                      <w:kern w:val="0"/>
                      <w:szCs w:val="21"/>
                    </w:rPr>
                    <w:t>24h</w:t>
                  </w:r>
                </w:p>
              </w:tc>
            </w:tr>
          </w:tbl>
          <w:p w14:paraId="6F366AF3">
            <w:pPr>
              <w:spacing w:line="480" w:lineRule="exact"/>
              <w:ind w:firstLine="480" w:firstLineChars="200"/>
              <w:rPr>
                <w:sz w:val="24"/>
              </w:rPr>
            </w:pPr>
            <w:r>
              <w:rPr>
                <w:sz w:val="24"/>
              </w:rPr>
              <w:t>风力发电机组在运转过程中产生的噪声来自于风轮叶片旋转时产生的空气动力噪声和发电机等部件发出的机械噪声，其中以机组内部的机械噪声为主。运营期噪声由于风力机组间相距较远，每个风力发电机可视为一个点声源，对单台风电机噪声衰减进行预测。</w:t>
            </w:r>
          </w:p>
          <w:p w14:paraId="25BC7D5F">
            <w:pPr>
              <w:spacing w:line="480" w:lineRule="exact"/>
              <w:ind w:firstLine="480" w:firstLineChars="200"/>
              <w:rPr>
                <w:sz w:val="24"/>
              </w:rPr>
            </w:pPr>
            <w:r>
              <w:rPr>
                <w:sz w:val="24"/>
              </w:rPr>
              <w:t>根据风机厂家提供资料，10MW风电机组轮毂高度处标准风速7m/s时声功率级不大于106dB，本项目所用7.7MW风电机组（轮毂高度处年平均风速6.91m/s）声功率级不大于106dB，根据《环境影响评价技术导则声环境》(HJ2.4-2021)，由于风机四周地形开阔，周围村庄距离较远，风机高度较高，在不考虑地面植被等引起的噪声衰减作用，将风电机组简化为点声源、以自由声场计算分析。计算公式如下：</w:t>
            </w:r>
          </w:p>
          <w:p w14:paraId="7A195BB4">
            <w:pPr>
              <w:widowControl/>
              <w:adjustRightInd w:val="0"/>
              <w:snapToGrid w:val="0"/>
              <w:spacing w:line="480" w:lineRule="exact"/>
              <w:ind w:firstLine="480" w:firstLineChars="200"/>
              <w:jc w:val="center"/>
              <w:rPr>
                <w:sz w:val="24"/>
              </w:rPr>
            </w:pPr>
            <w:r>
              <w:rPr>
                <w:sz w:val="24"/>
              </w:rPr>
              <w:t>L</w:t>
            </w:r>
            <w:r>
              <w:rPr>
                <w:sz w:val="24"/>
                <w:vertAlign w:val="subscript"/>
              </w:rPr>
              <w:t>A(r)</w:t>
            </w:r>
            <w:r>
              <w:rPr>
                <w:sz w:val="24"/>
              </w:rPr>
              <w:t>=L</w:t>
            </w:r>
            <w:r>
              <w:rPr>
                <w:sz w:val="24"/>
                <w:vertAlign w:val="subscript"/>
              </w:rPr>
              <w:t>AW</w:t>
            </w:r>
            <w:r>
              <w:rPr>
                <w:sz w:val="24"/>
              </w:rPr>
              <w:t>-20Lg(r)-11</w:t>
            </w:r>
          </w:p>
          <w:p w14:paraId="0CC240BE">
            <w:pPr>
              <w:spacing w:line="480" w:lineRule="exact"/>
              <w:ind w:firstLine="480" w:firstLineChars="200"/>
              <w:rPr>
                <w:sz w:val="24"/>
              </w:rPr>
            </w:pPr>
            <w:r>
              <w:rPr>
                <w:sz w:val="24"/>
              </w:rPr>
              <w:t>式中：L</w:t>
            </w:r>
            <w:r>
              <w:rPr>
                <w:sz w:val="24"/>
                <w:vertAlign w:val="subscript"/>
              </w:rPr>
              <w:t>A</w:t>
            </w:r>
            <w:r>
              <w:rPr>
                <w:sz w:val="24"/>
              </w:rPr>
              <w:t>（r）—预测点处声压级，dB(A)；</w:t>
            </w:r>
            <w:r>
              <w:rPr>
                <w:sz w:val="24"/>
              </w:rPr>
              <w:tab/>
            </w:r>
          </w:p>
          <w:p w14:paraId="6E934A2E">
            <w:pPr>
              <w:adjustRightInd w:val="0"/>
              <w:snapToGrid w:val="0"/>
              <w:spacing w:line="480" w:lineRule="exact"/>
              <w:ind w:firstLine="1200" w:firstLineChars="500"/>
              <w:outlineLvl w:val="0"/>
              <w:rPr>
                <w:sz w:val="24"/>
              </w:rPr>
            </w:pPr>
            <w:bookmarkStart w:id="25" w:name="_Toc12936"/>
            <w:r>
              <w:rPr>
                <w:sz w:val="24"/>
              </w:rPr>
              <w:t>L</w:t>
            </w:r>
            <w:r>
              <w:rPr>
                <w:sz w:val="24"/>
                <w:vertAlign w:val="subscript"/>
              </w:rPr>
              <w:t>Aw</w:t>
            </w:r>
            <w:r>
              <w:rPr>
                <w:sz w:val="24"/>
              </w:rPr>
              <w:t>—由点声源产生的倍频带声功率级，dB(A)；</w:t>
            </w:r>
            <w:bookmarkEnd w:id="25"/>
          </w:p>
          <w:p w14:paraId="497DE5E0">
            <w:pPr>
              <w:adjustRightInd w:val="0"/>
              <w:snapToGrid w:val="0"/>
              <w:spacing w:line="480" w:lineRule="exact"/>
              <w:ind w:firstLine="1200" w:firstLineChars="500"/>
              <w:outlineLvl w:val="0"/>
              <w:rPr>
                <w:sz w:val="24"/>
              </w:rPr>
            </w:pPr>
            <w:bookmarkStart w:id="26" w:name="_Toc24286"/>
            <w:r>
              <w:rPr>
                <w:sz w:val="24"/>
              </w:rPr>
              <w:t>r—预测点距声源的距离。</w:t>
            </w:r>
            <w:bookmarkEnd w:id="26"/>
          </w:p>
          <w:p w14:paraId="46DE4479">
            <w:pPr>
              <w:spacing w:line="480" w:lineRule="exact"/>
              <w:ind w:firstLine="480" w:firstLineChars="200"/>
              <w:rPr>
                <w:sz w:val="24"/>
              </w:rPr>
            </w:pPr>
            <w:r>
              <w:rPr>
                <w:sz w:val="24"/>
              </w:rPr>
              <w:t>点声源风机不同距离噪声值见下表。</w:t>
            </w:r>
          </w:p>
          <w:p w14:paraId="73511783">
            <w:pPr>
              <w:spacing w:line="480" w:lineRule="exact"/>
              <w:jc w:val="center"/>
              <w:outlineLvl w:val="3"/>
              <w:rPr>
                <w:b/>
                <w:bCs/>
                <w:szCs w:val="21"/>
              </w:rPr>
            </w:pPr>
            <w:r>
              <w:rPr>
                <w:b/>
                <w:bCs/>
                <w:szCs w:val="21"/>
              </w:rPr>
              <w:t>表4-</w:t>
            </w:r>
            <w:r>
              <w:rPr>
                <w:rFonts w:hint="eastAsia"/>
                <w:b/>
                <w:bCs/>
                <w:szCs w:val="21"/>
              </w:rPr>
              <w:t>7</w:t>
            </w:r>
            <w:r>
              <w:rPr>
                <w:b/>
                <w:bCs/>
                <w:szCs w:val="21"/>
              </w:rPr>
              <w:t xml:space="preserve">     不同距离噪声值一览表     单位：dB（A）</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03"/>
              <w:gridCol w:w="656"/>
              <w:gridCol w:w="656"/>
              <w:gridCol w:w="656"/>
              <w:gridCol w:w="656"/>
              <w:gridCol w:w="656"/>
              <w:gridCol w:w="656"/>
              <w:gridCol w:w="656"/>
              <w:gridCol w:w="656"/>
              <w:gridCol w:w="656"/>
              <w:gridCol w:w="663"/>
            </w:tblGrid>
            <w:tr w14:paraId="7FEF1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vMerge w:val="restart"/>
                  <w:tcBorders>
                    <w:tl2br w:val="nil"/>
                    <w:tr2bl w:val="nil"/>
                  </w:tcBorders>
                  <w:vAlign w:val="center"/>
                </w:tcPr>
                <w:p w14:paraId="08F929CD">
                  <w:pPr>
                    <w:adjustRightInd w:val="0"/>
                    <w:jc w:val="center"/>
                    <w:textAlignment w:val="baseline"/>
                    <w:rPr>
                      <w:kern w:val="0"/>
                      <w:szCs w:val="21"/>
                    </w:rPr>
                  </w:pPr>
                  <w:r>
                    <w:rPr>
                      <w:kern w:val="0"/>
                      <w:szCs w:val="21"/>
                    </w:rPr>
                    <w:t>风机</w:t>
                  </w:r>
                </w:p>
              </w:tc>
              <w:tc>
                <w:tcPr>
                  <w:tcW w:w="4455" w:type="pct"/>
                  <w:gridSpan w:val="10"/>
                  <w:tcBorders>
                    <w:tl2br w:val="nil"/>
                    <w:tr2bl w:val="nil"/>
                  </w:tcBorders>
                  <w:vAlign w:val="center"/>
                </w:tcPr>
                <w:p w14:paraId="663627A8">
                  <w:pPr>
                    <w:adjustRightInd w:val="0"/>
                    <w:jc w:val="center"/>
                    <w:textAlignment w:val="baseline"/>
                    <w:rPr>
                      <w:kern w:val="0"/>
                      <w:szCs w:val="21"/>
                    </w:rPr>
                  </w:pPr>
                  <w:r>
                    <w:rPr>
                      <w:kern w:val="0"/>
                      <w:szCs w:val="21"/>
                    </w:rPr>
                    <w:t>距离厂界距离（m）</w:t>
                  </w:r>
                </w:p>
              </w:tc>
            </w:tr>
            <w:tr w14:paraId="4000F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vMerge w:val="continue"/>
                  <w:tcBorders>
                    <w:tl2br w:val="nil"/>
                    <w:tr2bl w:val="nil"/>
                  </w:tcBorders>
                  <w:vAlign w:val="center"/>
                </w:tcPr>
                <w:p w14:paraId="1FBEF944">
                  <w:pPr>
                    <w:adjustRightInd w:val="0"/>
                    <w:jc w:val="center"/>
                    <w:textAlignment w:val="baseline"/>
                    <w:rPr>
                      <w:kern w:val="0"/>
                      <w:szCs w:val="21"/>
                    </w:rPr>
                  </w:pPr>
                </w:p>
              </w:tc>
              <w:tc>
                <w:tcPr>
                  <w:tcW w:w="445" w:type="pct"/>
                  <w:tcBorders>
                    <w:tl2br w:val="nil"/>
                    <w:tr2bl w:val="nil"/>
                  </w:tcBorders>
                  <w:vAlign w:val="center"/>
                </w:tcPr>
                <w:p w14:paraId="2CEB1D02">
                  <w:pPr>
                    <w:adjustRightInd w:val="0"/>
                    <w:jc w:val="center"/>
                    <w:textAlignment w:val="baseline"/>
                    <w:rPr>
                      <w:kern w:val="0"/>
                      <w:szCs w:val="21"/>
                    </w:rPr>
                  </w:pPr>
                  <w:r>
                    <w:rPr>
                      <w:kern w:val="0"/>
                      <w:szCs w:val="21"/>
                    </w:rPr>
                    <w:t>50</w:t>
                  </w:r>
                </w:p>
              </w:tc>
              <w:tc>
                <w:tcPr>
                  <w:tcW w:w="445" w:type="pct"/>
                  <w:tcBorders>
                    <w:tl2br w:val="nil"/>
                    <w:tr2bl w:val="nil"/>
                  </w:tcBorders>
                  <w:vAlign w:val="center"/>
                </w:tcPr>
                <w:p w14:paraId="50CEFBC4">
                  <w:pPr>
                    <w:adjustRightInd w:val="0"/>
                    <w:jc w:val="center"/>
                    <w:textAlignment w:val="baseline"/>
                    <w:rPr>
                      <w:kern w:val="0"/>
                      <w:szCs w:val="21"/>
                    </w:rPr>
                  </w:pPr>
                  <w:r>
                    <w:rPr>
                      <w:kern w:val="0"/>
                      <w:szCs w:val="21"/>
                    </w:rPr>
                    <w:t>100</w:t>
                  </w:r>
                </w:p>
              </w:tc>
              <w:tc>
                <w:tcPr>
                  <w:tcW w:w="445" w:type="pct"/>
                  <w:tcBorders>
                    <w:tl2br w:val="nil"/>
                    <w:tr2bl w:val="nil"/>
                  </w:tcBorders>
                  <w:vAlign w:val="center"/>
                </w:tcPr>
                <w:p w14:paraId="2239FFB9">
                  <w:pPr>
                    <w:adjustRightInd w:val="0"/>
                    <w:jc w:val="center"/>
                    <w:textAlignment w:val="baseline"/>
                    <w:rPr>
                      <w:kern w:val="0"/>
                      <w:szCs w:val="21"/>
                    </w:rPr>
                  </w:pPr>
                  <w:r>
                    <w:rPr>
                      <w:kern w:val="0"/>
                      <w:szCs w:val="21"/>
                    </w:rPr>
                    <w:t>150</w:t>
                  </w:r>
                </w:p>
              </w:tc>
              <w:tc>
                <w:tcPr>
                  <w:tcW w:w="445" w:type="pct"/>
                  <w:tcBorders>
                    <w:tl2br w:val="nil"/>
                    <w:tr2bl w:val="nil"/>
                  </w:tcBorders>
                  <w:vAlign w:val="center"/>
                </w:tcPr>
                <w:p w14:paraId="6CF32F3A">
                  <w:pPr>
                    <w:adjustRightInd w:val="0"/>
                    <w:jc w:val="center"/>
                    <w:textAlignment w:val="baseline"/>
                    <w:rPr>
                      <w:kern w:val="0"/>
                      <w:szCs w:val="21"/>
                    </w:rPr>
                  </w:pPr>
                  <w:r>
                    <w:rPr>
                      <w:kern w:val="0"/>
                      <w:szCs w:val="21"/>
                    </w:rPr>
                    <w:t>200</w:t>
                  </w:r>
                </w:p>
              </w:tc>
              <w:tc>
                <w:tcPr>
                  <w:tcW w:w="445" w:type="pct"/>
                  <w:tcBorders>
                    <w:tl2br w:val="nil"/>
                    <w:tr2bl w:val="nil"/>
                  </w:tcBorders>
                  <w:vAlign w:val="center"/>
                </w:tcPr>
                <w:p w14:paraId="63814705">
                  <w:pPr>
                    <w:adjustRightInd w:val="0"/>
                    <w:jc w:val="center"/>
                    <w:textAlignment w:val="baseline"/>
                    <w:rPr>
                      <w:kern w:val="0"/>
                      <w:szCs w:val="21"/>
                    </w:rPr>
                  </w:pPr>
                  <w:r>
                    <w:rPr>
                      <w:kern w:val="0"/>
                      <w:szCs w:val="21"/>
                    </w:rPr>
                    <w:t>250</w:t>
                  </w:r>
                </w:p>
              </w:tc>
              <w:tc>
                <w:tcPr>
                  <w:tcW w:w="445" w:type="pct"/>
                  <w:tcBorders>
                    <w:tl2br w:val="nil"/>
                    <w:tr2bl w:val="nil"/>
                  </w:tcBorders>
                  <w:vAlign w:val="center"/>
                </w:tcPr>
                <w:p w14:paraId="7E71BF59">
                  <w:pPr>
                    <w:adjustRightInd w:val="0"/>
                    <w:jc w:val="center"/>
                    <w:textAlignment w:val="baseline"/>
                    <w:rPr>
                      <w:kern w:val="0"/>
                      <w:szCs w:val="21"/>
                    </w:rPr>
                  </w:pPr>
                  <w:r>
                    <w:rPr>
                      <w:kern w:val="0"/>
                      <w:szCs w:val="21"/>
                    </w:rPr>
                    <w:t>300</w:t>
                  </w:r>
                </w:p>
              </w:tc>
              <w:tc>
                <w:tcPr>
                  <w:tcW w:w="445" w:type="pct"/>
                  <w:tcBorders>
                    <w:tl2br w:val="nil"/>
                    <w:tr2bl w:val="nil"/>
                  </w:tcBorders>
                  <w:vAlign w:val="center"/>
                </w:tcPr>
                <w:p w14:paraId="280ED639">
                  <w:pPr>
                    <w:adjustRightInd w:val="0"/>
                    <w:jc w:val="center"/>
                    <w:textAlignment w:val="baseline"/>
                    <w:rPr>
                      <w:kern w:val="0"/>
                      <w:szCs w:val="21"/>
                    </w:rPr>
                  </w:pPr>
                  <w:r>
                    <w:rPr>
                      <w:kern w:val="0"/>
                      <w:szCs w:val="21"/>
                    </w:rPr>
                    <w:t>350</w:t>
                  </w:r>
                </w:p>
              </w:tc>
              <w:tc>
                <w:tcPr>
                  <w:tcW w:w="445" w:type="pct"/>
                  <w:tcBorders>
                    <w:tl2br w:val="nil"/>
                    <w:tr2bl w:val="nil"/>
                  </w:tcBorders>
                  <w:vAlign w:val="center"/>
                </w:tcPr>
                <w:p w14:paraId="6552BB05">
                  <w:pPr>
                    <w:adjustRightInd w:val="0"/>
                    <w:jc w:val="center"/>
                    <w:textAlignment w:val="baseline"/>
                    <w:rPr>
                      <w:kern w:val="0"/>
                      <w:szCs w:val="21"/>
                    </w:rPr>
                  </w:pPr>
                  <w:r>
                    <w:rPr>
                      <w:kern w:val="0"/>
                      <w:szCs w:val="21"/>
                    </w:rPr>
                    <w:t>400</w:t>
                  </w:r>
                </w:p>
              </w:tc>
              <w:tc>
                <w:tcPr>
                  <w:tcW w:w="445" w:type="pct"/>
                  <w:tcBorders>
                    <w:tl2br w:val="nil"/>
                    <w:tr2bl w:val="nil"/>
                  </w:tcBorders>
                  <w:vAlign w:val="center"/>
                </w:tcPr>
                <w:p w14:paraId="1EA87606">
                  <w:pPr>
                    <w:adjustRightInd w:val="0"/>
                    <w:jc w:val="center"/>
                    <w:textAlignment w:val="baseline"/>
                    <w:rPr>
                      <w:kern w:val="0"/>
                      <w:szCs w:val="21"/>
                    </w:rPr>
                  </w:pPr>
                  <w:r>
                    <w:rPr>
                      <w:kern w:val="0"/>
                      <w:szCs w:val="21"/>
                    </w:rPr>
                    <w:t>450</w:t>
                  </w:r>
                </w:p>
              </w:tc>
              <w:tc>
                <w:tcPr>
                  <w:tcW w:w="449" w:type="pct"/>
                  <w:tcBorders>
                    <w:tl2br w:val="nil"/>
                    <w:tr2bl w:val="nil"/>
                  </w:tcBorders>
                  <w:vAlign w:val="center"/>
                </w:tcPr>
                <w:p w14:paraId="381E7896">
                  <w:pPr>
                    <w:adjustRightInd w:val="0"/>
                    <w:jc w:val="center"/>
                    <w:textAlignment w:val="baseline"/>
                    <w:rPr>
                      <w:kern w:val="0"/>
                      <w:szCs w:val="21"/>
                    </w:rPr>
                  </w:pPr>
                  <w:r>
                    <w:rPr>
                      <w:kern w:val="0"/>
                      <w:szCs w:val="21"/>
                    </w:rPr>
                    <w:t>500</w:t>
                  </w:r>
                </w:p>
              </w:tc>
            </w:tr>
            <w:tr w14:paraId="5E0FE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544" w:type="pct"/>
                  <w:tcBorders>
                    <w:tl2br w:val="nil"/>
                    <w:tr2bl w:val="nil"/>
                  </w:tcBorders>
                  <w:vAlign w:val="center"/>
                </w:tcPr>
                <w:p w14:paraId="15BEB8C8">
                  <w:pPr>
                    <w:adjustRightInd w:val="0"/>
                    <w:jc w:val="center"/>
                    <w:textAlignment w:val="baseline"/>
                    <w:rPr>
                      <w:kern w:val="0"/>
                      <w:szCs w:val="21"/>
                    </w:rPr>
                  </w:pPr>
                  <w:r>
                    <w:rPr>
                      <w:kern w:val="0"/>
                      <w:szCs w:val="21"/>
                    </w:rPr>
                    <w:t>噪声值</w:t>
                  </w:r>
                </w:p>
              </w:tc>
              <w:tc>
                <w:tcPr>
                  <w:tcW w:w="656" w:type="dxa"/>
                  <w:tcBorders>
                    <w:tl2br w:val="nil"/>
                    <w:tr2bl w:val="nil"/>
                  </w:tcBorders>
                  <w:vAlign w:val="center"/>
                </w:tcPr>
                <w:p w14:paraId="73820B5A">
                  <w:pPr>
                    <w:adjustRightInd w:val="0"/>
                    <w:jc w:val="center"/>
                    <w:textAlignment w:val="baseline"/>
                    <w:rPr>
                      <w:kern w:val="0"/>
                      <w:szCs w:val="21"/>
                    </w:rPr>
                  </w:pPr>
                  <w:r>
                    <w:rPr>
                      <w:rFonts w:hint="eastAsia"/>
                      <w:kern w:val="0"/>
                      <w:szCs w:val="21"/>
                    </w:rPr>
                    <w:t>49.80</w:t>
                  </w:r>
                </w:p>
              </w:tc>
              <w:tc>
                <w:tcPr>
                  <w:tcW w:w="656" w:type="dxa"/>
                  <w:tcBorders>
                    <w:tl2br w:val="nil"/>
                    <w:tr2bl w:val="nil"/>
                  </w:tcBorders>
                  <w:vAlign w:val="center"/>
                </w:tcPr>
                <w:p w14:paraId="5CC9E826">
                  <w:pPr>
                    <w:adjustRightInd w:val="0"/>
                    <w:jc w:val="center"/>
                    <w:textAlignment w:val="baseline"/>
                    <w:rPr>
                      <w:kern w:val="0"/>
                      <w:szCs w:val="21"/>
                    </w:rPr>
                  </w:pPr>
                  <w:r>
                    <w:rPr>
                      <w:rFonts w:hint="eastAsia"/>
                      <w:kern w:val="0"/>
                      <w:szCs w:val="21"/>
                    </w:rPr>
                    <w:t>48.91</w:t>
                  </w:r>
                </w:p>
              </w:tc>
              <w:tc>
                <w:tcPr>
                  <w:tcW w:w="656" w:type="dxa"/>
                  <w:tcBorders>
                    <w:tl2br w:val="nil"/>
                    <w:tr2bl w:val="nil"/>
                  </w:tcBorders>
                  <w:vAlign w:val="center"/>
                </w:tcPr>
                <w:p w14:paraId="101384EE">
                  <w:pPr>
                    <w:adjustRightInd w:val="0"/>
                    <w:jc w:val="center"/>
                    <w:textAlignment w:val="baseline"/>
                    <w:rPr>
                      <w:kern w:val="0"/>
                      <w:szCs w:val="21"/>
                    </w:rPr>
                  </w:pPr>
                  <w:r>
                    <w:rPr>
                      <w:rFonts w:hint="eastAsia"/>
                      <w:kern w:val="0"/>
                      <w:szCs w:val="21"/>
                    </w:rPr>
                    <w:t>47.75</w:t>
                  </w:r>
                </w:p>
              </w:tc>
              <w:tc>
                <w:tcPr>
                  <w:tcW w:w="656" w:type="dxa"/>
                  <w:tcBorders>
                    <w:tl2br w:val="nil"/>
                    <w:tr2bl w:val="nil"/>
                  </w:tcBorders>
                  <w:vAlign w:val="center"/>
                </w:tcPr>
                <w:p w14:paraId="7C955FE5">
                  <w:pPr>
                    <w:adjustRightInd w:val="0"/>
                    <w:jc w:val="center"/>
                    <w:textAlignment w:val="baseline"/>
                    <w:rPr>
                      <w:kern w:val="0"/>
                      <w:szCs w:val="21"/>
                    </w:rPr>
                  </w:pPr>
                  <w:r>
                    <w:rPr>
                      <w:rFonts w:hint="eastAsia"/>
                      <w:kern w:val="0"/>
                      <w:szCs w:val="21"/>
                    </w:rPr>
                    <w:t>46.51</w:t>
                  </w:r>
                </w:p>
              </w:tc>
              <w:tc>
                <w:tcPr>
                  <w:tcW w:w="656" w:type="dxa"/>
                  <w:tcBorders>
                    <w:tl2br w:val="nil"/>
                    <w:tr2bl w:val="nil"/>
                  </w:tcBorders>
                  <w:vAlign w:val="center"/>
                </w:tcPr>
                <w:p w14:paraId="7AC884A1">
                  <w:pPr>
                    <w:adjustRightInd w:val="0"/>
                    <w:jc w:val="center"/>
                    <w:textAlignment w:val="baseline"/>
                    <w:rPr>
                      <w:kern w:val="0"/>
                      <w:szCs w:val="21"/>
                    </w:rPr>
                  </w:pPr>
                  <w:r>
                    <w:rPr>
                      <w:rFonts w:hint="eastAsia"/>
                      <w:kern w:val="0"/>
                      <w:szCs w:val="21"/>
                    </w:rPr>
                    <w:t>45.31</w:t>
                  </w:r>
                </w:p>
              </w:tc>
              <w:tc>
                <w:tcPr>
                  <w:tcW w:w="656" w:type="dxa"/>
                  <w:tcBorders>
                    <w:tl2br w:val="nil"/>
                    <w:tr2bl w:val="nil"/>
                  </w:tcBorders>
                  <w:vAlign w:val="center"/>
                </w:tcPr>
                <w:p w14:paraId="5E118B59">
                  <w:pPr>
                    <w:adjustRightInd w:val="0"/>
                    <w:jc w:val="center"/>
                    <w:textAlignment w:val="baseline"/>
                    <w:rPr>
                      <w:kern w:val="0"/>
                      <w:szCs w:val="21"/>
                    </w:rPr>
                  </w:pPr>
                  <w:r>
                    <w:rPr>
                      <w:rFonts w:hint="eastAsia"/>
                      <w:kern w:val="0"/>
                      <w:szCs w:val="21"/>
                    </w:rPr>
                    <w:t>44.19</w:t>
                  </w:r>
                </w:p>
              </w:tc>
              <w:tc>
                <w:tcPr>
                  <w:tcW w:w="656" w:type="dxa"/>
                  <w:tcBorders>
                    <w:tl2br w:val="nil"/>
                    <w:tr2bl w:val="nil"/>
                  </w:tcBorders>
                  <w:vAlign w:val="center"/>
                </w:tcPr>
                <w:p w14:paraId="6A438826">
                  <w:pPr>
                    <w:adjustRightInd w:val="0"/>
                    <w:jc w:val="center"/>
                    <w:textAlignment w:val="baseline"/>
                    <w:rPr>
                      <w:kern w:val="0"/>
                      <w:szCs w:val="21"/>
                    </w:rPr>
                  </w:pPr>
                  <w:r>
                    <w:rPr>
                      <w:rFonts w:hint="eastAsia"/>
                      <w:kern w:val="0"/>
                      <w:szCs w:val="21"/>
                    </w:rPr>
                    <w:t>43.15</w:t>
                  </w:r>
                </w:p>
              </w:tc>
              <w:tc>
                <w:tcPr>
                  <w:tcW w:w="656" w:type="dxa"/>
                  <w:tcBorders>
                    <w:tl2br w:val="nil"/>
                    <w:tr2bl w:val="nil"/>
                  </w:tcBorders>
                  <w:vAlign w:val="center"/>
                </w:tcPr>
                <w:p w14:paraId="4B6E9DF4">
                  <w:pPr>
                    <w:adjustRightInd w:val="0"/>
                    <w:jc w:val="center"/>
                    <w:textAlignment w:val="baseline"/>
                    <w:rPr>
                      <w:kern w:val="0"/>
                      <w:szCs w:val="21"/>
                    </w:rPr>
                  </w:pPr>
                  <w:r>
                    <w:rPr>
                      <w:rFonts w:hint="eastAsia"/>
                      <w:kern w:val="0"/>
                      <w:szCs w:val="21"/>
                    </w:rPr>
                    <w:t>42.20</w:t>
                  </w:r>
                </w:p>
              </w:tc>
              <w:tc>
                <w:tcPr>
                  <w:tcW w:w="656" w:type="dxa"/>
                  <w:tcBorders>
                    <w:tl2br w:val="nil"/>
                    <w:tr2bl w:val="nil"/>
                  </w:tcBorders>
                  <w:vAlign w:val="center"/>
                </w:tcPr>
                <w:p w14:paraId="05AEBBC1">
                  <w:pPr>
                    <w:adjustRightInd w:val="0"/>
                    <w:jc w:val="center"/>
                    <w:textAlignment w:val="baseline"/>
                    <w:rPr>
                      <w:kern w:val="0"/>
                      <w:szCs w:val="21"/>
                    </w:rPr>
                  </w:pPr>
                  <w:r>
                    <w:rPr>
                      <w:rFonts w:hint="eastAsia"/>
                      <w:kern w:val="0"/>
                      <w:szCs w:val="21"/>
                    </w:rPr>
                    <w:t>41.32</w:t>
                  </w:r>
                </w:p>
              </w:tc>
              <w:tc>
                <w:tcPr>
                  <w:tcW w:w="664" w:type="dxa"/>
                  <w:tcBorders>
                    <w:tl2br w:val="nil"/>
                    <w:tr2bl w:val="nil"/>
                  </w:tcBorders>
                  <w:vAlign w:val="center"/>
                </w:tcPr>
                <w:p w14:paraId="21200ECD">
                  <w:pPr>
                    <w:adjustRightInd w:val="0"/>
                    <w:jc w:val="center"/>
                    <w:textAlignment w:val="baseline"/>
                    <w:rPr>
                      <w:kern w:val="0"/>
                      <w:szCs w:val="21"/>
                    </w:rPr>
                  </w:pPr>
                  <w:r>
                    <w:rPr>
                      <w:rFonts w:hint="eastAsia"/>
                      <w:kern w:val="0"/>
                      <w:szCs w:val="21"/>
                    </w:rPr>
                    <w:t>40.52</w:t>
                  </w:r>
                </w:p>
              </w:tc>
            </w:tr>
          </w:tbl>
          <w:p w14:paraId="432AEB66">
            <w:pPr>
              <w:widowControl/>
              <w:adjustRightInd w:val="0"/>
              <w:snapToGrid w:val="0"/>
              <w:spacing w:line="480" w:lineRule="exact"/>
              <w:ind w:firstLine="480" w:firstLineChars="200"/>
              <w:rPr>
                <w:bCs/>
                <w:sz w:val="24"/>
              </w:rPr>
            </w:pPr>
            <w:r>
              <w:rPr>
                <w:sz w:val="24"/>
              </w:rPr>
              <w:t>由上表可知，</w:t>
            </w:r>
            <w:r>
              <w:rPr>
                <w:bCs/>
                <w:sz w:val="24"/>
              </w:rPr>
              <w:t>距声源300m处，噪声即降至45dB（A）以下，满足《声环境质量标准》（GB3096-2008）1类标准夜间≤45dB的要求。</w:t>
            </w:r>
          </w:p>
          <w:p w14:paraId="6ADB613A">
            <w:pPr>
              <w:widowControl/>
              <w:adjustRightInd w:val="0"/>
              <w:snapToGrid w:val="0"/>
              <w:spacing w:line="480" w:lineRule="exact"/>
              <w:ind w:firstLine="480" w:firstLineChars="200"/>
              <w:rPr>
                <w:sz w:val="24"/>
              </w:rPr>
            </w:pPr>
            <w:r>
              <w:rPr>
                <w:sz w:val="24"/>
              </w:rPr>
              <w:t>本项目距离各风机点位最近的村庄为风机B01北侧515m处的向阳村和风机J32南侧515m处的五场五队，大于风机昼/夜间噪声达标距离300m，风机运行对周边村庄噪声影响较小。</w:t>
            </w:r>
          </w:p>
          <w:p w14:paraId="6F822D83">
            <w:pPr>
              <w:widowControl/>
              <w:adjustRightInd w:val="0"/>
              <w:snapToGrid w:val="0"/>
              <w:spacing w:line="480" w:lineRule="exact"/>
              <w:ind w:firstLine="480" w:firstLineChars="200"/>
              <w:rPr>
                <w:sz w:val="24"/>
              </w:rPr>
            </w:pPr>
            <w:r>
              <w:rPr>
                <w:sz w:val="24"/>
              </w:rPr>
              <w:t>综上，本项目运营期对周围声环境影响较小。</w:t>
            </w:r>
          </w:p>
          <w:p w14:paraId="6ACF335A">
            <w:pPr>
              <w:spacing w:line="480" w:lineRule="exact"/>
              <w:ind w:firstLine="482" w:firstLineChars="200"/>
              <w:outlineLvl w:val="1"/>
              <w:rPr>
                <w:b/>
                <w:bCs/>
                <w:kern w:val="0"/>
                <w:sz w:val="24"/>
              </w:rPr>
            </w:pPr>
            <w:r>
              <w:rPr>
                <w:b/>
                <w:bCs/>
                <w:kern w:val="0"/>
                <w:sz w:val="24"/>
              </w:rPr>
              <w:t>5、固体废物</w:t>
            </w:r>
          </w:p>
          <w:p w14:paraId="1BD6E5BC">
            <w:pPr>
              <w:spacing w:line="480" w:lineRule="exact"/>
              <w:ind w:firstLine="480" w:firstLineChars="200"/>
              <w:rPr>
                <w:sz w:val="24"/>
              </w:rPr>
            </w:pPr>
            <w:r>
              <w:rPr>
                <w:sz w:val="24"/>
              </w:rPr>
              <w:t>本项目运营期固体废物包括一般固废、危险废物和生活垃圾。</w:t>
            </w:r>
          </w:p>
          <w:p w14:paraId="2E26AEFD">
            <w:pPr>
              <w:spacing w:line="480" w:lineRule="exact"/>
              <w:ind w:firstLine="480" w:firstLineChars="200"/>
              <w:rPr>
                <w:sz w:val="24"/>
              </w:rPr>
            </w:pPr>
            <w:r>
              <w:rPr>
                <w:sz w:val="24"/>
              </w:rPr>
              <w:t>一般固废包括更换设备产生的废包装物。</w:t>
            </w:r>
          </w:p>
          <w:p w14:paraId="7406F259">
            <w:pPr>
              <w:spacing w:line="480" w:lineRule="exact"/>
              <w:ind w:firstLine="480" w:firstLineChars="200"/>
              <w:rPr>
                <w:sz w:val="24"/>
              </w:rPr>
            </w:pPr>
            <w:r>
              <w:rPr>
                <w:sz w:val="24"/>
              </w:rPr>
              <w:t>危险废物包括设备维护过程产生的废齿轮油、废油桶，变压器维护过程产生的废变压器油（包括事故废油），备用电源更换的废蓄电池。</w:t>
            </w:r>
          </w:p>
          <w:p w14:paraId="7B6C47A9">
            <w:pPr>
              <w:adjustRightInd w:val="0"/>
              <w:snapToGrid w:val="0"/>
              <w:spacing w:line="480" w:lineRule="exact"/>
              <w:ind w:firstLine="482" w:firstLineChars="200"/>
              <w:rPr>
                <w:b/>
                <w:bCs/>
                <w:sz w:val="24"/>
              </w:rPr>
            </w:pPr>
            <w:r>
              <w:rPr>
                <w:b/>
                <w:bCs/>
                <w:sz w:val="24"/>
              </w:rPr>
              <w:t>5.1固体废物产生情况分析</w:t>
            </w:r>
          </w:p>
          <w:p w14:paraId="7F7CB0FE">
            <w:pPr>
              <w:spacing w:line="480" w:lineRule="exact"/>
              <w:ind w:firstLine="480" w:firstLineChars="200"/>
              <w:rPr>
                <w:sz w:val="24"/>
              </w:rPr>
            </w:pPr>
            <w:r>
              <w:rPr>
                <w:sz w:val="24"/>
              </w:rPr>
              <w:t>（1）一般固废</w:t>
            </w:r>
          </w:p>
          <w:p w14:paraId="49B0E7BC">
            <w:pPr>
              <w:spacing w:line="480" w:lineRule="exact"/>
              <w:ind w:firstLine="480" w:firstLineChars="200"/>
              <w:rPr>
                <w:sz w:val="24"/>
              </w:rPr>
            </w:pPr>
            <w:r>
              <w:rPr>
                <w:sz w:val="24"/>
              </w:rPr>
              <w:t>废包装物：产生于更换设备等过程，产生量约为0.05t/a，根据《固体废物分类与代码名录》（公告2024年第4号），废包装物属于“SW17可再生类废物”（代码：900-001-S17），收集后暂存于一般固废间，外售物资回收单位。</w:t>
            </w:r>
          </w:p>
          <w:p w14:paraId="2C2D85AD">
            <w:pPr>
              <w:spacing w:line="480" w:lineRule="exact"/>
              <w:ind w:firstLine="480" w:firstLineChars="200"/>
              <w:rPr>
                <w:sz w:val="24"/>
              </w:rPr>
            </w:pPr>
            <w:r>
              <w:rPr>
                <w:sz w:val="24"/>
              </w:rPr>
              <w:t>（2）危险废物</w:t>
            </w:r>
          </w:p>
          <w:p w14:paraId="57153F7E">
            <w:pPr>
              <w:spacing w:line="480" w:lineRule="exact"/>
              <w:ind w:firstLine="480" w:firstLineChars="200"/>
              <w:rPr>
                <w:sz w:val="24"/>
              </w:rPr>
            </w:pPr>
            <w:r>
              <w:rPr>
                <w:sz w:val="24"/>
              </w:rPr>
              <w:t>①</w:t>
            </w:r>
            <w:r>
              <w:rPr>
                <w:bCs/>
                <w:sz w:val="24"/>
              </w:rPr>
              <w:t>废齿轮油：产生于设备维护过程，产生量约3t/a。根据《国家危险废物名录（2025年版）》，危废类别为HW08，废物代码为900-214-08，铁桶加盖收集，暂存于危废贮存库，委托有危废处理资质的单位进行处理。</w:t>
            </w:r>
          </w:p>
          <w:p w14:paraId="4EFF073D">
            <w:pPr>
              <w:spacing w:line="480" w:lineRule="exact"/>
              <w:ind w:firstLine="480" w:firstLineChars="200"/>
              <w:rPr>
                <w:sz w:val="24"/>
              </w:rPr>
            </w:pPr>
            <w:r>
              <w:rPr>
                <w:sz w:val="24"/>
              </w:rPr>
              <w:t>②</w:t>
            </w:r>
            <w:r>
              <w:rPr>
                <w:bCs/>
                <w:sz w:val="24"/>
              </w:rPr>
              <w:t>废油桶：产生与设备维护过程，产生量约为0.05t/a。根据《国家危险废物名录（2025年版）》，危废类别为HW08，危险废物代码为</w:t>
            </w:r>
            <w:r>
              <w:rPr>
                <w:kern w:val="0"/>
                <w:sz w:val="24"/>
              </w:rPr>
              <w:t>900-249-08，</w:t>
            </w:r>
            <w:r>
              <w:rPr>
                <w:bCs/>
                <w:sz w:val="24"/>
              </w:rPr>
              <w:t>暂存于危废贮存库，定期交有资质单位处理。</w:t>
            </w:r>
          </w:p>
          <w:p w14:paraId="0847F1DE">
            <w:pPr>
              <w:spacing w:line="480" w:lineRule="exact"/>
              <w:ind w:firstLine="480" w:firstLineChars="200"/>
              <w:rPr>
                <w:sz w:val="24"/>
              </w:rPr>
            </w:pPr>
            <w:r>
              <w:rPr>
                <w:sz w:val="24"/>
              </w:rPr>
              <w:t>③废变压器油：变压器检修、更换时产生一定量的废变压器油，废变压器油属于危险废物。本项目共安装46台箱变，单台箱式变压器内含油2.5t，每5年更换一次，废变压器油产生量约为115t/5a，合23t/a。升压站内共安装2台主变，单台主变压器内含油32t，每10年更换一次，则废变压器油产生量约为64t/10a，合6.4t/a。由此计算废变压器油产生量共计约为29.4t/a，单次最大产生量为32t。</w:t>
            </w:r>
            <w:r>
              <w:rPr>
                <w:bCs/>
                <w:sz w:val="24"/>
              </w:rPr>
              <w:t>根据《国家危险废物名录（2025年版）》，危废类别为HW08，废物代码为900-220-08，按照检修计划联系有危废处理资质的单位进站，确保更换的废变压器油随产随清，不在厂区内暂存</w:t>
            </w:r>
            <w:r>
              <w:rPr>
                <w:rFonts w:hint="eastAsia"/>
                <w:bCs/>
                <w:sz w:val="24"/>
              </w:rPr>
              <w:t>。</w:t>
            </w:r>
            <w:r>
              <w:rPr>
                <w:bCs/>
                <w:sz w:val="24"/>
              </w:rPr>
              <w:t>事故状态泄漏的事故废油通过管道流入事故油池，委托有危废处理资质的单位及时进行处理，常规状态池内不储存废油。</w:t>
            </w:r>
          </w:p>
          <w:p w14:paraId="321B0752">
            <w:pPr>
              <w:spacing w:line="480" w:lineRule="exact"/>
              <w:ind w:firstLine="480" w:firstLineChars="200"/>
              <w:rPr>
                <w:sz w:val="24"/>
              </w:rPr>
            </w:pPr>
            <w:r>
              <w:rPr>
                <w:sz w:val="24"/>
              </w:rPr>
              <w:t>④废蓄电池：产生于备用电源，升压站内配备的铅酸蓄电池隔10年更换一次，每次更换时产生量为0.5t。根据《国家危险废物名录》（2025年版），危废类别为HW31，废物代码为900-052-31，暂存于危废贮存库，委托有危废处理资质的单位进行处理。</w:t>
            </w:r>
          </w:p>
          <w:p w14:paraId="0B73BEFF">
            <w:pPr>
              <w:spacing w:line="480" w:lineRule="exact"/>
              <w:ind w:firstLine="480" w:firstLineChars="200"/>
              <w:rPr>
                <w:sz w:val="24"/>
              </w:rPr>
            </w:pPr>
            <w:r>
              <w:rPr>
                <w:sz w:val="24"/>
              </w:rPr>
              <w:t>（3）生活垃圾</w:t>
            </w:r>
          </w:p>
          <w:p w14:paraId="788A05E6">
            <w:pPr>
              <w:spacing w:line="480" w:lineRule="exact"/>
              <w:ind w:firstLine="480" w:firstLineChars="200"/>
              <w:rPr>
                <w:sz w:val="24"/>
              </w:rPr>
            </w:pPr>
            <w:r>
              <w:rPr>
                <w:sz w:val="24"/>
              </w:rPr>
              <w:t>本项目劳动定员14人，年工作365天，生活垃圾按每人0.3kg/d计，则产生量为4.2kg/d（1.533t/a），生活垃圾集中收集，送当地环卫部门指定地点统一处理。</w:t>
            </w:r>
          </w:p>
          <w:p w14:paraId="534EBF65">
            <w:pPr>
              <w:spacing w:line="480" w:lineRule="exact"/>
              <w:ind w:firstLine="480" w:firstLineChars="200"/>
              <w:rPr>
                <w:sz w:val="24"/>
              </w:rPr>
            </w:pPr>
            <w:r>
              <w:rPr>
                <w:sz w:val="24"/>
              </w:rPr>
              <w:t>本项目固体废物产生及处置情况如下：</w:t>
            </w:r>
          </w:p>
          <w:p w14:paraId="32529BE6">
            <w:pPr>
              <w:tabs>
                <w:tab w:val="left" w:pos="1440"/>
                <w:tab w:val="left" w:pos="2627"/>
              </w:tabs>
              <w:adjustRightInd w:val="0"/>
              <w:snapToGrid w:val="0"/>
              <w:spacing w:line="480" w:lineRule="exact"/>
              <w:jc w:val="center"/>
              <w:outlineLvl w:val="4"/>
              <w:rPr>
                <w:snapToGrid w:val="0"/>
                <w:kern w:val="0"/>
              </w:rPr>
            </w:pPr>
            <w:r>
              <w:rPr>
                <w:b/>
                <w:lang w:val="zh-CN"/>
              </w:rPr>
              <w:t>表</w:t>
            </w:r>
            <w:r>
              <w:rPr>
                <w:b/>
              </w:rPr>
              <w:t>4-</w:t>
            </w:r>
            <w:r>
              <w:rPr>
                <w:rFonts w:hint="eastAsia"/>
                <w:b/>
              </w:rPr>
              <w:t>8</w:t>
            </w:r>
            <w:r>
              <w:rPr>
                <w:b/>
              </w:rPr>
              <w:t xml:space="preserve"> </w:t>
            </w:r>
            <w:r>
              <w:rPr>
                <w:b/>
                <w:lang w:val="zh-CN"/>
              </w:rPr>
              <w:t xml:space="preserve"> </w:t>
            </w:r>
            <w:r>
              <w:rPr>
                <w:b/>
              </w:rPr>
              <w:t xml:space="preserve">   固体废物污染源及治理措施</w:t>
            </w:r>
            <w:r>
              <w:rPr>
                <w:b/>
                <w:lang w:val="zh-CN"/>
              </w:rPr>
              <w:t>一览表</w:t>
            </w:r>
            <w:r>
              <w:rPr>
                <w:b/>
              </w:rPr>
              <w:t xml:space="preserve">     单位t/a</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94"/>
              <w:gridCol w:w="581"/>
              <w:gridCol w:w="990"/>
              <w:gridCol w:w="630"/>
              <w:gridCol w:w="437"/>
              <w:gridCol w:w="424"/>
              <w:gridCol w:w="615"/>
              <w:gridCol w:w="739"/>
              <w:gridCol w:w="863"/>
              <w:gridCol w:w="1597"/>
            </w:tblGrid>
            <w:tr w14:paraId="790FE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417B458B">
                  <w:pPr>
                    <w:adjustRightInd w:val="0"/>
                    <w:jc w:val="center"/>
                    <w:textAlignment w:val="baseline"/>
                    <w:rPr>
                      <w:kern w:val="0"/>
                      <w:sz w:val="18"/>
                      <w:szCs w:val="18"/>
                    </w:rPr>
                  </w:pPr>
                  <w:r>
                    <w:rPr>
                      <w:kern w:val="0"/>
                      <w:sz w:val="18"/>
                      <w:szCs w:val="18"/>
                    </w:rPr>
                    <w:t>产生环节</w:t>
                  </w:r>
                </w:p>
              </w:tc>
              <w:tc>
                <w:tcPr>
                  <w:tcW w:w="581" w:type="dxa"/>
                  <w:tcMar>
                    <w:top w:w="15" w:type="dxa"/>
                    <w:left w:w="15" w:type="dxa"/>
                    <w:right w:w="15" w:type="dxa"/>
                  </w:tcMar>
                  <w:vAlign w:val="center"/>
                </w:tcPr>
                <w:p w14:paraId="2C3AA1B8">
                  <w:pPr>
                    <w:adjustRightInd w:val="0"/>
                    <w:jc w:val="center"/>
                    <w:textAlignment w:val="baseline"/>
                    <w:rPr>
                      <w:kern w:val="0"/>
                      <w:sz w:val="18"/>
                      <w:szCs w:val="18"/>
                    </w:rPr>
                  </w:pPr>
                  <w:r>
                    <w:rPr>
                      <w:kern w:val="0"/>
                      <w:sz w:val="18"/>
                      <w:szCs w:val="18"/>
                    </w:rPr>
                    <w:t>名称</w:t>
                  </w:r>
                </w:p>
              </w:tc>
              <w:tc>
                <w:tcPr>
                  <w:tcW w:w="990" w:type="dxa"/>
                  <w:tcMar>
                    <w:top w:w="15" w:type="dxa"/>
                    <w:left w:w="15" w:type="dxa"/>
                    <w:right w:w="15" w:type="dxa"/>
                  </w:tcMar>
                  <w:vAlign w:val="center"/>
                </w:tcPr>
                <w:p w14:paraId="2E82C213">
                  <w:pPr>
                    <w:adjustRightInd w:val="0"/>
                    <w:jc w:val="center"/>
                    <w:textAlignment w:val="baseline"/>
                    <w:rPr>
                      <w:kern w:val="0"/>
                      <w:sz w:val="18"/>
                      <w:szCs w:val="18"/>
                    </w:rPr>
                  </w:pPr>
                  <w:r>
                    <w:rPr>
                      <w:kern w:val="0"/>
                      <w:sz w:val="18"/>
                      <w:szCs w:val="18"/>
                    </w:rPr>
                    <w:t>属性及代码</w:t>
                  </w:r>
                </w:p>
              </w:tc>
              <w:tc>
                <w:tcPr>
                  <w:tcW w:w="630" w:type="dxa"/>
                  <w:tcMar>
                    <w:top w:w="15" w:type="dxa"/>
                    <w:left w:w="15" w:type="dxa"/>
                    <w:right w:w="15" w:type="dxa"/>
                  </w:tcMar>
                  <w:vAlign w:val="center"/>
                </w:tcPr>
                <w:p w14:paraId="0ADB5599">
                  <w:pPr>
                    <w:adjustRightInd w:val="0"/>
                    <w:jc w:val="center"/>
                    <w:textAlignment w:val="baseline"/>
                    <w:rPr>
                      <w:kern w:val="0"/>
                      <w:sz w:val="18"/>
                      <w:szCs w:val="18"/>
                    </w:rPr>
                  </w:pPr>
                  <w:r>
                    <w:rPr>
                      <w:kern w:val="0"/>
                      <w:sz w:val="18"/>
                      <w:szCs w:val="18"/>
                    </w:rPr>
                    <w:t>主要有毒有害物质名称</w:t>
                  </w:r>
                </w:p>
              </w:tc>
              <w:tc>
                <w:tcPr>
                  <w:tcW w:w="437" w:type="dxa"/>
                  <w:tcMar>
                    <w:top w:w="15" w:type="dxa"/>
                    <w:left w:w="15" w:type="dxa"/>
                    <w:right w:w="15" w:type="dxa"/>
                  </w:tcMar>
                  <w:vAlign w:val="center"/>
                </w:tcPr>
                <w:p w14:paraId="661DCF55">
                  <w:pPr>
                    <w:adjustRightInd w:val="0"/>
                    <w:jc w:val="center"/>
                    <w:textAlignment w:val="baseline"/>
                    <w:rPr>
                      <w:kern w:val="0"/>
                      <w:sz w:val="18"/>
                      <w:szCs w:val="18"/>
                    </w:rPr>
                  </w:pPr>
                  <w:r>
                    <w:rPr>
                      <w:kern w:val="0"/>
                      <w:sz w:val="18"/>
                      <w:szCs w:val="18"/>
                    </w:rPr>
                    <w:t>物理性状</w:t>
                  </w:r>
                </w:p>
              </w:tc>
              <w:tc>
                <w:tcPr>
                  <w:tcW w:w="424" w:type="dxa"/>
                  <w:tcMar>
                    <w:top w:w="15" w:type="dxa"/>
                    <w:left w:w="15" w:type="dxa"/>
                    <w:right w:w="15" w:type="dxa"/>
                  </w:tcMar>
                  <w:vAlign w:val="center"/>
                </w:tcPr>
                <w:p w14:paraId="75D8A7B7">
                  <w:pPr>
                    <w:adjustRightInd w:val="0"/>
                    <w:jc w:val="center"/>
                    <w:textAlignment w:val="baseline"/>
                    <w:rPr>
                      <w:kern w:val="0"/>
                      <w:sz w:val="18"/>
                      <w:szCs w:val="18"/>
                    </w:rPr>
                  </w:pPr>
                  <w:r>
                    <w:rPr>
                      <w:kern w:val="0"/>
                      <w:sz w:val="18"/>
                      <w:szCs w:val="18"/>
                    </w:rPr>
                    <w:t>环境危险特性</w:t>
                  </w:r>
                </w:p>
              </w:tc>
              <w:tc>
                <w:tcPr>
                  <w:tcW w:w="615" w:type="dxa"/>
                  <w:tcMar>
                    <w:top w:w="15" w:type="dxa"/>
                    <w:left w:w="15" w:type="dxa"/>
                    <w:right w:w="15" w:type="dxa"/>
                  </w:tcMar>
                  <w:vAlign w:val="center"/>
                </w:tcPr>
                <w:p w14:paraId="4C43472A">
                  <w:pPr>
                    <w:adjustRightInd w:val="0"/>
                    <w:jc w:val="center"/>
                    <w:textAlignment w:val="baseline"/>
                    <w:rPr>
                      <w:kern w:val="0"/>
                      <w:sz w:val="18"/>
                      <w:szCs w:val="18"/>
                    </w:rPr>
                  </w:pPr>
                  <w:r>
                    <w:rPr>
                      <w:kern w:val="0"/>
                      <w:sz w:val="18"/>
                      <w:szCs w:val="18"/>
                    </w:rPr>
                    <w:t>产生量（t/a）</w:t>
                  </w:r>
                </w:p>
              </w:tc>
              <w:tc>
                <w:tcPr>
                  <w:tcW w:w="739" w:type="dxa"/>
                  <w:tcMar>
                    <w:top w:w="15" w:type="dxa"/>
                    <w:left w:w="15" w:type="dxa"/>
                    <w:right w:w="15" w:type="dxa"/>
                  </w:tcMar>
                  <w:vAlign w:val="center"/>
                </w:tcPr>
                <w:p w14:paraId="14D2E1E9">
                  <w:pPr>
                    <w:adjustRightInd w:val="0"/>
                    <w:jc w:val="center"/>
                    <w:textAlignment w:val="baseline"/>
                    <w:rPr>
                      <w:kern w:val="0"/>
                      <w:sz w:val="18"/>
                      <w:szCs w:val="18"/>
                    </w:rPr>
                  </w:pPr>
                  <w:r>
                    <w:rPr>
                      <w:kern w:val="0"/>
                      <w:sz w:val="18"/>
                      <w:szCs w:val="18"/>
                    </w:rPr>
                    <w:t>贮存方式</w:t>
                  </w:r>
                </w:p>
              </w:tc>
              <w:tc>
                <w:tcPr>
                  <w:tcW w:w="863" w:type="dxa"/>
                  <w:tcMar>
                    <w:top w:w="15" w:type="dxa"/>
                    <w:left w:w="15" w:type="dxa"/>
                    <w:right w:w="15" w:type="dxa"/>
                  </w:tcMar>
                  <w:vAlign w:val="center"/>
                </w:tcPr>
                <w:p w14:paraId="3FA550F4">
                  <w:pPr>
                    <w:adjustRightInd w:val="0"/>
                    <w:jc w:val="center"/>
                    <w:textAlignment w:val="baseline"/>
                    <w:rPr>
                      <w:kern w:val="0"/>
                      <w:sz w:val="18"/>
                      <w:szCs w:val="18"/>
                    </w:rPr>
                  </w:pPr>
                  <w:r>
                    <w:rPr>
                      <w:kern w:val="0"/>
                      <w:sz w:val="18"/>
                      <w:szCs w:val="18"/>
                    </w:rPr>
                    <w:t>利用及处置方式和去向</w:t>
                  </w:r>
                </w:p>
              </w:tc>
              <w:tc>
                <w:tcPr>
                  <w:tcW w:w="1597" w:type="dxa"/>
                  <w:tcMar>
                    <w:top w:w="15" w:type="dxa"/>
                    <w:left w:w="15" w:type="dxa"/>
                    <w:right w:w="15" w:type="dxa"/>
                  </w:tcMar>
                  <w:vAlign w:val="center"/>
                </w:tcPr>
                <w:p w14:paraId="7F1E7D13">
                  <w:pPr>
                    <w:adjustRightInd w:val="0"/>
                    <w:jc w:val="center"/>
                    <w:textAlignment w:val="baseline"/>
                    <w:rPr>
                      <w:kern w:val="0"/>
                      <w:sz w:val="18"/>
                      <w:szCs w:val="18"/>
                    </w:rPr>
                  </w:pPr>
                  <w:r>
                    <w:rPr>
                      <w:kern w:val="0"/>
                      <w:sz w:val="18"/>
                      <w:szCs w:val="18"/>
                    </w:rPr>
                    <w:t>环境管理要求</w:t>
                  </w:r>
                </w:p>
              </w:tc>
            </w:tr>
            <w:tr w14:paraId="4EC62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7EBC785A">
                  <w:pPr>
                    <w:adjustRightInd w:val="0"/>
                    <w:jc w:val="center"/>
                    <w:textAlignment w:val="baseline"/>
                    <w:rPr>
                      <w:kern w:val="0"/>
                      <w:sz w:val="18"/>
                      <w:szCs w:val="18"/>
                    </w:rPr>
                  </w:pPr>
                  <w:r>
                    <w:rPr>
                      <w:kern w:val="0"/>
                      <w:sz w:val="18"/>
                      <w:szCs w:val="18"/>
                    </w:rPr>
                    <w:t>更换设备</w:t>
                  </w:r>
                </w:p>
              </w:tc>
              <w:tc>
                <w:tcPr>
                  <w:tcW w:w="581" w:type="dxa"/>
                  <w:tcMar>
                    <w:top w:w="15" w:type="dxa"/>
                    <w:left w:w="15" w:type="dxa"/>
                    <w:right w:w="15" w:type="dxa"/>
                  </w:tcMar>
                  <w:vAlign w:val="center"/>
                </w:tcPr>
                <w:p w14:paraId="2111B434">
                  <w:pPr>
                    <w:adjustRightInd w:val="0"/>
                    <w:jc w:val="center"/>
                    <w:textAlignment w:val="baseline"/>
                    <w:rPr>
                      <w:kern w:val="0"/>
                      <w:sz w:val="18"/>
                      <w:szCs w:val="18"/>
                    </w:rPr>
                  </w:pPr>
                  <w:r>
                    <w:rPr>
                      <w:kern w:val="0"/>
                      <w:sz w:val="18"/>
                      <w:szCs w:val="18"/>
                    </w:rPr>
                    <w:t>废包装物</w:t>
                  </w:r>
                </w:p>
              </w:tc>
              <w:tc>
                <w:tcPr>
                  <w:tcW w:w="990" w:type="dxa"/>
                  <w:tcMar>
                    <w:top w:w="15" w:type="dxa"/>
                    <w:left w:w="15" w:type="dxa"/>
                    <w:right w:w="15" w:type="dxa"/>
                  </w:tcMar>
                  <w:vAlign w:val="center"/>
                </w:tcPr>
                <w:p w14:paraId="26B0F17A">
                  <w:pPr>
                    <w:adjustRightInd w:val="0"/>
                    <w:jc w:val="center"/>
                    <w:textAlignment w:val="baseline"/>
                    <w:rPr>
                      <w:kern w:val="0"/>
                      <w:sz w:val="18"/>
                      <w:szCs w:val="18"/>
                    </w:rPr>
                  </w:pPr>
                  <w:r>
                    <w:rPr>
                      <w:kern w:val="0"/>
                      <w:sz w:val="18"/>
                      <w:szCs w:val="18"/>
                    </w:rPr>
                    <w:t>一般固废</w:t>
                  </w:r>
                </w:p>
                <w:p w14:paraId="468CDE81">
                  <w:pPr>
                    <w:adjustRightInd w:val="0"/>
                    <w:jc w:val="center"/>
                    <w:textAlignment w:val="baseline"/>
                    <w:rPr>
                      <w:kern w:val="0"/>
                      <w:sz w:val="18"/>
                      <w:szCs w:val="18"/>
                    </w:rPr>
                  </w:pPr>
                  <w:r>
                    <w:rPr>
                      <w:kern w:val="0"/>
                      <w:sz w:val="18"/>
                      <w:szCs w:val="18"/>
                    </w:rPr>
                    <w:t>900-001-S17</w:t>
                  </w:r>
                </w:p>
              </w:tc>
              <w:tc>
                <w:tcPr>
                  <w:tcW w:w="630" w:type="dxa"/>
                  <w:tcMar>
                    <w:top w:w="15" w:type="dxa"/>
                    <w:left w:w="15" w:type="dxa"/>
                    <w:right w:w="15" w:type="dxa"/>
                  </w:tcMar>
                  <w:vAlign w:val="center"/>
                </w:tcPr>
                <w:p w14:paraId="0D26938B">
                  <w:pPr>
                    <w:adjustRightInd w:val="0"/>
                    <w:jc w:val="center"/>
                    <w:textAlignment w:val="baseline"/>
                    <w:rPr>
                      <w:kern w:val="0"/>
                      <w:sz w:val="18"/>
                      <w:szCs w:val="18"/>
                    </w:rPr>
                  </w:pPr>
                  <w:r>
                    <w:rPr>
                      <w:kern w:val="0"/>
                      <w:sz w:val="18"/>
                      <w:szCs w:val="18"/>
                    </w:rPr>
                    <w:t>无</w:t>
                  </w:r>
                </w:p>
              </w:tc>
              <w:tc>
                <w:tcPr>
                  <w:tcW w:w="437" w:type="dxa"/>
                  <w:tcMar>
                    <w:top w:w="15" w:type="dxa"/>
                    <w:left w:w="15" w:type="dxa"/>
                    <w:right w:w="15" w:type="dxa"/>
                  </w:tcMar>
                  <w:vAlign w:val="center"/>
                </w:tcPr>
                <w:p w14:paraId="1151403B">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1DD41257">
                  <w:pPr>
                    <w:adjustRightInd w:val="0"/>
                    <w:jc w:val="center"/>
                    <w:textAlignment w:val="baseline"/>
                    <w:rPr>
                      <w:kern w:val="0"/>
                      <w:sz w:val="18"/>
                      <w:szCs w:val="18"/>
                    </w:rPr>
                  </w:pPr>
                  <w:r>
                    <w:rPr>
                      <w:kern w:val="0"/>
                      <w:sz w:val="18"/>
                      <w:szCs w:val="18"/>
                    </w:rPr>
                    <w:t>无</w:t>
                  </w:r>
                </w:p>
              </w:tc>
              <w:tc>
                <w:tcPr>
                  <w:tcW w:w="615" w:type="dxa"/>
                  <w:tcMar>
                    <w:top w:w="15" w:type="dxa"/>
                    <w:left w:w="15" w:type="dxa"/>
                    <w:right w:w="15" w:type="dxa"/>
                  </w:tcMar>
                  <w:vAlign w:val="center"/>
                </w:tcPr>
                <w:p w14:paraId="0C6A6245">
                  <w:pPr>
                    <w:adjustRightInd w:val="0"/>
                    <w:jc w:val="center"/>
                    <w:textAlignment w:val="baseline"/>
                    <w:rPr>
                      <w:kern w:val="0"/>
                      <w:sz w:val="18"/>
                      <w:szCs w:val="18"/>
                    </w:rPr>
                  </w:pPr>
                  <w:r>
                    <w:rPr>
                      <w:kern w:val="0"/>
                      <w:sz w:val="18"/>
                      <w:szCs w:val="18"/>
                    </w:rPr>
                    <w:t>0.05</w:t>
                  </w:r>
                </w:p>
              </w:tc>
              <w:tc>
                <w:tcPr>
                  <w:tcW w:w="739" w:type="dxa"/>
                  <w:tcMar>
                    <w:top w:w="15" w:type="dxa"/>
                    <w:left w:w="15" w:type="dxa"/>
                    <w:right w:w="15" w:type="dxa"/>
                  </w:tcMar>
                  <w:vAlign w:val="center"/>
                </w:tcPr>
                <w:p w14:paraId="5786044A">
                  <w:pPr>
                    <w:adjustRightInd w:val="0"/>
                    <w:jc w:val="center"/>
                    <w:textAlignment w:val="baseline"/>
                    <w:rPr>
                      <w:kern w:val="0"/>
                      <w:sz w:val="18"/>
                      <w:szCs w:val="18"/>
                    </w:rPr>
                  </w:pPr>
                  <w:r>
                    <w:rPr>
                      <w:kern w:val="0"/>
                      <w:sz w:val="18"/>
                      <w:szCs w:val="18"/>
                    </w:rPr>
                    <w:t>置于一般固废间</w:t>
                  </w:r>
                </w:p>
              </w:tc>
              <w:tc>
                <w:tcPr>
                  <w:tcW w:w="863" w:type="dxa"/>
                  <w:tcMar>
                    <w:top w:w="15" w:type="dxa"/>
                    <w:left w:w="15" w:type="dxa"/>
                    <w:right w:w="15" w:type="dxa"/>
                  </w:tcMar>
                  <w:vAlign w:val="center"/>
                </w:tcPr>
                <w:p w14:paraId="30D41A35">
                  <w:pPr>
                    <w:adjustRightInd w:val="0"/>
                    <w:jc w:val="center"/>
                    <w:textAlignment w:val="baseline"/>
                    <w:rPr>
                      <w:kern w:val="0"/>
                      <w:sz w:val="18"/>
                      <w:szCs w:val="18"/>
                    </w:rPr>
                  </w:pPr>
                  <w:r>
                    <w:rPr>
                      <w:kern w:val="0"/>
                      <w:sz w:val="18"/>
                      <w:szCs w:val="18"/>
                    </w:rPr>
                    <w:t>外售物资回收单位</w:t>
                  </w:r>
                </w:p>
              </w:tc>
              <w:tc>
                <w:tcPr>
                  <w:tcW w:w="1597" w:type="dxa"/>
                  <w:vMerge w:val="restart"/>
                  <w:tcMar>
                    <w:top w:w="15" w:type="dxa"/>
                    <w:left w:w="15" w:type="dxa"/>
                    <w:right w:w="15" w:type="dxa"/>
                  </w:tcMar>
                  <w:vAlign w:val="center"/>
                </w:tcPr>
                <w:p w14:paraId="50BE0CE7">
                  <w:pPr>
                    <w:adjustRightInd w:val="0"/>
                    <w:jc w:val="center"/>
                    <w:textAlignment w:val="baseline"/>
                    <w:rPr>
                      <w:kern w:val="0"/>
                      <w:sz w:val="18"/>
                      <w:szCs w:val="18"/>
                    </w:rPr>
                  </w:pPr>
                  <w:r>
                    <w:rPr>
                      <w:kern w:val="0"/>
                      <w:sz w:val="18"/>
                      <w:szCs w:val="18"/>
                    </w:rPr>
                    <w:t>危险废物的收集及临时存放应严格执行《危险废物贮存污染控制标准》（GB</w:t>
                  </w:r>
                </w:p>
                <w:p w14:paraId="3AAC7482">
                  <w:pPr>
                    <w:adjustRightInd w:val="0"/>
                    <w:jc w:val="center"/>
                    <w:textAlignment w:val="baseline"/>
                    <w:rPr>
                      <w:kern w:val="0"/>
                      <w:sz w:val="18"/>
                      <w:szCs w:val="18"/>
                    </w:rPr>
                  </w:pPr>
                  <w:r>
                    <w:rPr>
                      <w:kern w:val="0"/>
                      <w:sz w:val="18"/>
                      <w:szCs w:val="18"/>
                    </w:rPr>
                    <w:t>18597-2023）；对一般固体废物和国家规定的危险废物分别存放，并应按照《环境保护图形标志》（GB15562-1995）及其修改单、《危险废物识别标志设置技术规范》（HJ 1276</w:t>
                  </w:r>
                </w:p>
                <w:p w14:paraId="73CC1421">
                  <w:pPr>
                    <w:adjustRightInd w:val="0"/>
                    <w:jc w:val="center"/>
                    <w:textAlignment w:val="baseline"/>
                    <w:rPr>
                      <w:kern w:val="0"/>
                      <w:sz w:val="18"/>
                      <w:szCs w:val="18"/>
                    </w:rPr>
                  </w:pPr>
                  <w:r>
                    <w:rPr>
                      <w:kern w:val="0"/>
                      <w:sz w:val="18"/>
                      <w:szCs w:val="18"/>
                    </w:rPr>
                    <w:t>—2022）的要求对一般固体废物和危险废物的临时存放场所设置环境保护图形标志牌</w:t>
                  </w:r>
                </w:p>
              </w:tc>
            </w:tr>
            <w:tr w14:paraId="25868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vMerge w:val="restart"/>
                  <w:tcMar>
                    <w:top w:w="15" w:type="dxa"/>
                    <w:left w:w="15" w:type="dxa"/>
                    <w:right w:w="15" w:type="dxa"/>
                  </w:tcMar>
                  <w:vAlign w:val="center"/>
                </w:tcPr>
                <w:p w14:paraId="2257C975">
                  <w:pPr>
                    <w:adjustRightInd w:val="0"/>
                    <w:jc w:val="center"/>
                    <w:textAlignment w:val="baseline"/>
                    <w:rPr>
                      <w:kern w:val="0"/>
                      <w:sz w:val="18"/>
                      <w:szCs w:val="18"/>
                    </w:rPr>
                  </w:pPr>
                  <w:r>
                    <w:rPr>
                      <w:kern w:val="0"/>
                      <w:sz w:val="18"/>
                      <w:szCs w:val="18"/>
                    </w:rPr>
                    <w:t>设备维护过程</w:t>
                  </w:r>
                </w:p>
              </w:tc>
              <w:tc>
                <w:tcPr>
                  <w:tcW w:w="581" w:type="dxa"/>
                  <w:tcMar>
                    <w:top w:w="15" w:type="dxa"/>
                    <w:left w:w="15" w:type="dxa"/>
                    <w:right w:w="15" w:type="dxa"/>
                  </w:tcMar>
                  <w:vAlign w:val="center"/>
                </w:tcPr>
                <w:p w14:paraId="2690B526">
                  <w:pPr>
                    <w:adjustRightInd w:val="0"/>
                    <w:jc w:val="center"/>
                    <w:textAlignment w:val="baseline"/>
                    <w:rPr>
                      <w:kern w:val="0"/>
                      <w:sz w:val="18"/>
                      <w:szCs w:val="18"/>
                    </w:rPr>
                  </w:pPr>
                  <w:r>
                    <w:rPr>
                      <w:kern w:val="0"/>
                      <w:sz w:val="18"/>
                      <w:szCs w:val="18"/>
                    </w:rPr>
                    <w:t>废齿轮油</w:t>
                  </w:r>
                </w:p>
              </w:tc>
              <w:tc>
                <w:tcPr>
                  <w:tcW w:w="990" w:type="dxa"/>
                  <w:tcMar>
                    <w:top w:w="15" w:type="dxa"/>
                    <w:left w:w="15" w:type="dxa"/>
                    <w:right w:w="15" w:type="dxa"/>
                  </w:tcMar>
                  <w:vAlign w:val="center"/>
                </w:tcPr>
                <w:p w14:paraId="5A229877">
                  <w:pPr>
                    <w:adjustRightInd w:val="0"/>
                    <w:jc w:val="center"/>
                    <w:textAlignment w:val="baseline"/>
                    <w:rPr>
                      <w:kern w:val="0"/>
                      <w:sz w:val="18"/>
                      <w:szCs w:val="18"/>
                    </w:rPr>
                  </w:pPr>
                  <w:r>
                    <w:rPr>
                      <w:kern w:val="0"/>
                      <w:sz w:val="18"/>
                      <w:szCs w:val="18"/>
                    </w:rPr>
                    <w:t>危险废物</w:t>
                  </w:r>
                </w:p>
                <w:p w14:paraId="5DA2B27C">
                  <w:pPr>
                    <w:adjustRightInd w:val="0"/>
                    <w:jc w:val="center"/>
                    <w:textAlignment w:val="baseline"/>
                    <w:rPr>
                      <w:kern w:val="0"/>
                      <w:sz w:val="18"/>
                      <w:szCs w:val="18"/>
                    </w:rPr>
                  </w:pPr>
                  <w:r>
                    <w:rPr>
                      <w:kern w:val="0"/>
                      <w:sz w:val="18"/>
                      <w:szCs w:val="18"/>
                    </w:rPr>
                    <w:t>900-214-08</w:t>
                  </w:r>
                </w:p>
              </w:tc>
              <w:tc>
                <w:tcPr>
                  <w:tcW w:w="630" w:type="dxa"/>
                  <w:tcMar>
                    <w:top w:w="15" w:type="dxa"/>
                    <w:left w:w="15" w:type="dxa"/>
                    <w:right w:w="15" w:type="dxa"/>
                  </w:tcMar>
                  <w:vAlign w:val="center"/>
                </w:tcPr>
                <w:p w14:paraId="233A0299">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375C9DBD">
                  <w:pPr>
                    <w:adjustRightInd w:val="0"/>
                    <w:jc w:val="center"/>
                    <w:textAlignment w:val="baseline"/>
                    <w:rPr>
                      <w:kern w:val="0"/>
                      <w:sz w:val="18"/>
                      <w:szCs w:val="18"/>
                    </w:rPr>
                  </w:pPr>
                  <w:r>
                    <w:rPr>
                      <w:kern w:val="0"/>
                      <w:sz w:val="18"/>
                      <w:szCs w:val="18"/>
                    </w:rPr>
                    <w:t>液态</w:t>
                  </w:r>
                </w:p>
              </w:tc>
              <w:tc>
                <w:tcPr>
                  <w:tcW w:w="424" w:type="dxa"/>
                  <w:tcMar>
                    <w:top w:w="15" w:type="dxa"/>
                    <w:left w:w="15" w:type="dxa"/>
                    <w:right w:w="15" w:type="dxa"/>
                  </w:tcMar>
                  <w:vAlign w:val="center"/>
                </w:tcPr>
                <w:p w14:paraId="1209D8A8">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1761B16F">
                  <w:pPr>
                    <w:adjustRightInd w:val="0"/>
                    <w:jc w:val="center"/>
                    <w:textAlignment w:val="baseline"/>
                    <w:rPr>
                      <w:kern w:val="0"/>
                      <w:sz w:val="18"/>
                      <w:szCs w:val="18"/>
                    </w:rPr>
                  </w:pPr>
                  <w:r>
                    <w:rPr>
                      <w:kern w:val="0"/>
                      <w:sz w:val="18"/>
                      <w:szCs w:val="18"/>
                    </w:rPr>
                    <w:t>3</w:t>
                  </w:r>
                </w:p>
              </w:tc>
              <w:tc>
                <w:tcPr>
                  <w:tcW w:w="739" w:type="dxa"/>
                  <w:vMerge w:val="restart"/>
                  <w:tcMar>
                    <w:top w:w="15" w:type="dxa"/>
                    <w:left w:w="15" w:type="dxa"/>
                    <w:right w:w="15" w:type="dxa"/>
                  </w:tcMar>
                  <w:vAlign w:val="center"/>
                </w:tcPr>
                <w:p w14:paraId="24FBA694">
                  <w:pPr>
                    <w:adjustRightInd w:val="0"/>
                    <w:jc w:val="center"/>
                    <w:textAlignment w:val="baseline"/>
                    <w:rPr>
                      <w:kern w:val="0"/>
                      <w:sz w:val="18"/>
                      <w:szCs w:val="18"/>
                    </w:rPr>
                  </w:pPr>
                  <w:r>
                    <w:rPr>
                      <w:sz w:val="18"/>
                      <w:szCs w:val="18"/>
                    </w:rPr>
                    <w:t>废齿轮油装入铁桶并加盖密封，与废油桶、废蓄电池暂存于</w:t>
                  </w:r>
                  <w:r>
                    <w:rPr>
                      <w:rFonts w:hint="eastAsia"/>
                      <w:sz w:val="18"/>
                      <w:szCs w:val="18"/>
                    </w:rPr>
                    <w:t>危废贮存库</w:t>
                  </w:r>
                  <w:r>
                    <w:rPr>
                      <w:sz w:val="18"/>
                      <w:szCs w:val="18"/>
                    </w:rPr>
                    <w:t>内，</w:t>
                  </w:r>
                  <w:r>
                    <w:rPr>
                      <w:rFonts w:hint="eastAsia"/>
                      <w:sz w:val="18"/>
                      <w:szCs w:val="18"/>
                    </w:rPr>
                    <w:t>废变压器油不在厂区储存</w:t>
                  </w:r>
                </w:p>
              </w:tc>
              <w:tc>
                <w:tcPr>
                  <w:tcW w:w="863" w:type="dxa"/>
                  <w:vMerge w:val="restart"/>
                  <w:tcMar>
                    <w:top w:w="15" w:type="dxa"/>
                    <w:left w:w="15" w:type="dxa"/>
                    <w:right w:w="15" w:type="dxa"/>
                  </w:tcMar>
                  <w:vAlign w:val="center"/>
                </w:tcPr>
                <w:p w14:paraId="2F00D1DE">
                  <w:pPr>
                    <w:adjustRightInd w:val="0"/>
                    <w:jc w:val="center"/>
                    <w:textAlignment w:val="baseline"/>
                    <w:rPr>
                      <w:kern w:val="0"/>
                      <w:sz w:val="18"/>
                      <w:szCs w:val="18"/>
                    </w:rPr>
                  </w:pPr>
                  <w:r>
                    <w:rPr>
                      <w:kern w:val="0"/>
                      <w:sz w:val="18"/>
                      <w:szCs w:val="18"/>
                    </w:rPr>
                    <w:t>委托有资质单位进行处理</w:t>
                  </w:r>
                </w:p>
              </w:tc>
              <w:tc>
                <w:tcPr>
                  <w:tcW w:w="1597" w:type="dxa"/>
                  <w:vMerge w:val="continue"/>
                  <w:tcMar>
                    <w:top w:w="15" w:type="dxa"/>
                    <w:left w:w="15" w:type="dxa"/>
                    <w:right w:w="15" w:type="dxa"/>
                  </w:tcMar>
                  <w:vAlign w:val="center"/>
                </w:tcPr>
                <w:p w14:paraId="0089CEF1">
                  <w:pPr>
                    <w:adjustRightInd w:val="0"/>
                    <w:jc w:val="center"/>
                    <w:textAlignment w:val="baseline"/>
                    <w:rPr>
                      <w:kern w:val="0"/>
                      <w:sz w:val="18"/>
                      <w:szCs w:val="18"/>
                    </w:rPr>
                  </w:pPr>
                </w:p>
              </w:tc>
            </w:tr>
            <w:tr w14:paraId="44D53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vMerge w:val="continue"/>
                  <w:tcMar>
                    <w:top w:w="15" w:type="dxa"/>
                    <w:left w:w="15" w:type="dxa"/>
                    <w:right w:w="15" w:type="dxa"/>
                  </w:tcMar>
                  <w:vAlign w:val="center"/>
                </w:tcPr>
                <w:p w14:paraId="2D5AFD80">
                  <w:pPr>
                    <w:adjustRightInd w:val="0"/>
                    <w:jc w:val="center"/>
                    <w:textAlignment w:val="baseline"/>
                    <w:rPr>
                      <w:kern w:val="0"/>
                      <w:sz w:val="18"/>
                      <w:szCs w:val="18"/>
                    </w:rPr>
                  </w:pPr>
                </w:p>
              </w:tc>
              <w:tc>
                <w:tcPr>
                  <w:tcW w:w="581" w:type="dxa"/>
                  <w:tcMar>
                    <w:top w:w="15" w:type="dxa"/>
                    <w:left w:w="15" w:type="dxa"/>
                    <w:right w:w="15" w:type="dxa"/>
                  </w:tcMar>
                  <w:vAlign w:val="center"/>
                </w:tcPr>
                <w:p w14:paraId="55EF97E8">
                  <w:pPr>
                    <w:adjustRightInd w:val="0"/>
                    <w:jc w:val="center"/>
                    <w:textAlignment w:val="baseline"/>
                    <w:rPr>
                      <w:kern w:val="0"/>
                      <w:sz w:val="18"/>
                      <w:szCs w:val="18"/>
                    </w:rPr>
                  </w:pPr>
                  <w:r>
                    <w:rPr>
                      <w:kern w:val="0"/>
                      <w:sz w:val="18"/>
                      <w:szCs w:val="18"/>
                    </w:rPr>
                    <w:t>废油桶</w:t>
                  </w:r>
                </w:p>
              </w:tc>
              <w:tc>
                <w:tcPr>
                  <w:tcW w:w="990" w:type="dxa"/>
                  <w:tcMar>
                    <w:top w:w="15" w:type="dxa"/>
                    <w:left w:w="15" w:type="dxa"/>
                    <w:right w:w="15" w:type="dxa"/>
                  </w:tcMar>
                  <w:vAlign w:val="center"/>
                </w:tcPr>
                <w:p w14:paraId="63B86CBB">
                  <w:pPr>
                    <w:adjustRightInd w:val="0"/>
                    <w:jc w:val="center"/>
                    <w:textAlignment w:val="baseline"/>
                    <w:rPr>
                      <w:kern w:val="0"/>
                      <w:sz w:val="18"/>
                      <w:szCs w:val="18"/>
                    </w:rPr>
                  </w:pPr>
                  <w:r>
                    <w:rPr>
                      <w:kern w:val="0"/>
                      <w:sz w:val="18"/>
                      <w:szCs w:val="18"/>
                    </w:rPr>
                    <w:t>危险废物</w:t>
                  </w:r>
                </w:p>
                <w:p w14:paraId="7CAD6D87">
                  <w:pPr>
                    <w:adjustRightInd w:val="0"/>
                    <w:jc w:val="center"/>
                    <w:textAlignment w:val="baseline"/>
                    <w:rPr>
                      <w:kern w:val="0"/>
                      <w:sz w:val="18"/>
                      <w:szCs w:val="18"/>
                    </w:rPr>
                  </w:pPr>
                  <w:r>
                    <w:rPr>
                      <w:kern w:val="0"/>
                      <w:sz w:val="18"/>
                      <w:szCs w:val="18"/>
                    </w:rPr>
                    <w:t>900-249-08</w:t>
                  </w:r>
                </w:p>
              </w:tc>
              <w:tc>
                <w:tcPr>
                  <w:tcW w:w="630" w:type="dxa"/>
                  <w:tcMar>
                    <w:top w:w="15" w:type="dxa"/>
                    <w:left w:w="15" w:type="dxa"/>
                    <w:right w:w="15" w:type="dxa"/>
                  </w:tcMar>
                  <w:vAlign w:val="center"/>
                </w:tcPr>
                <w:p w14:paraId="381914B5">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3FE8C739">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01FC46DA">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0DBE7405">
                  <w:pPr>
                    <w:adjustRightInd w:val="0"/>
                    <w:jc w:val="center"/>
                    <w:textAlignment w:val="baseline"/>
                    <w:rPr>
                      <w:kern w:val="0"/>
                      <w:sz w:val="18"/>
                      <w:szCs w:val="18"/>
                    </w:rPr>
                  </w:pPr>
                  <w:r>
                    <w:rPr>
                      <w:kern w:val="0"/>
                      <w:sz w:val="18"/>
                      <w:szCs w:val="18"/>
                    </w:rPr>
                    <w:t>0.05</w:t>
                  </w:r>
                </w:p>
              </w:tc>
              <w:tc>
                <w:tcPr>
                  <w:tcW w:w="739" w:type="dxa"/>
                  <w:vMerge w:val="continue"/>
                  <w:tcMar>
                    <w:top w:w="15" w:type="dxa"/>
                    <w:left w:w="15" w:type="dxa"/>
                    <w:right w:w="15" w:type="dxa"/>
                  </w:tcMar>
                  <w:vAlign w:val="center"/>
                </w:tcPr>
                <w:p w14:paraId="6D76C5A8">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4F94A402">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5F20AC03">
                  <w:pPr>
                    <w:adjustRightInd w:val="0"/>
                    <w:jc w:val="center"/>
                    <w:textAlignment w:val="baseline"/>
                    <w:rPr>
                      <w:kern w:val="0"/>
                      <w:sz w:val="18"/>
                      <w:szCs w:val="18"/>
                    </w:rPr>
                  </w:pPr>
                </w:p>
              </w:tc>
            </w:tr>
            <w:tr w14:paraId="2A0F3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38128BB1">
                  <w:pPr>
                    <w:adjustRightInd w:val="0"/>
                    <w:jc w:val="center"/>
                    <w:textAlignment w:val="baseline"/>
                    <w:rPr>
                      <w:kern w:val="0"/>
                      <w:sz w:val="18"/>
                      <w:szCs w:val="18"/>
                    </w:rPr>
                  </w:pPr>
                  <w:r>
                    <w:rPr>
                      <w:kern w:val="0"/>
                      <w:sz w:val="18"/>
                      <w:szCs w:val="18"/>
                    </w:rPr>
                    <w:t>变压器维护过程</w:t>
                  </w:r>
                </w:p>
              </w:tc>
              <w:tc>
                <w:tcPr>
                  <w:tcW w:w="581" w:type="dxa"/>
                  <w:tcMar>
                    <w:top w:w="15" w:type="dxa"/>
                    <w:left w:w="15" w:type="dxa"/>
                    <w:right w:w="15" w:type="dxa"/>
                  </w:tcMar>
                  <w:vAlign w:val="center"/>
                </w:tcPr>
                <w:p w14:paraId="4693734A">
                  <w:pPr>
                    <w:adjustRightInd w:val="0"/>
                    <w:jc w:val="center"/>
                    <w:textAlignment w:val="baseline"/>
                    <w:rPr>
                      <w:kern w:val="0"/>
                      <w:sz w:val="18"/>
                      <w:szCs w:val="18"/>
                    </w:rPr>
                  </w:pPr>
                  <w:r>
                    <w:rPr>
                      <w:kern w:val="0"/>
                      <w:sz w:val="18"/>
                      <w:szCs w:val="18"/>
                    </w:rPr>
                    <w:t>废变压器油</w:t>
                  </w:r>
                </w:p>
              </w:tc>
              <w:tc>
                <w:tcPr>
                  <w:tcW w:w="990" w:type="dxa"/>
                  <w:tcMar>
                    <w:top w:w="15" w:type="dxa"/>
                    <w:left w:w="15" w:type="dxa"/>
                    <w:right w:w="15" w:type="dxa"/>
                  </w:tcMar>
                  <w:vAlign w:val="center"/>
                </w:tcPr>
                <w:p w14:paraId="4347D324">
                  <w:pPr>
                    <w:adjustRightInd w:val="0"/>
                    <w:jc w:val="center"/>
                    <w:textAlignment w:val="baseline"/>
                    <w:rPr>
                      <w:kern w:val="0"/>
                      <w:sz w:val="18"/>
                      <w:szCs w:val="18"/>
                    </w:rPr>
                  </w:pPr>
                  <w:r>
                    <w:rPr>
                      <w:kern w:val="0"/>
                      <w:sz w:val="18"/>
                      <w:szCs w:val="18"/>
                    </w:rPr>
                    <w:t>危险废物</w:t>
                  </w:r>
                </w:p>
                <w:p w14:paraId="152A790A">
                  <w:pPr>
                    <w:adjustRightInd w:val="0"/>
                    <w:jc w:val="center"/>
                    <w:textAlignment w:val="baseline"/>
                    <w:rPr>
                      <w:kern w:val="0"/>
                      <w:sz w:val="18"/>
                      <w:szCs w:val="18"/>
                    </w:rPr>
                  </w:pPr>
                  <w:r>
                    <w:rPr>
                      <w:kern w:val="0"/>
                      <w:sz w:val="18"/>
                      <w:szCs w:val="18"/>
                    </w:rPr>
                    <w:t>900-220-08</w:t>
                  </w:r>
                </w:p>
              </w:tc>
              <w:tc>
                <w:tcPr>
                  <w:tcW w:w="630" w:type="dxa"/>
                  <w:tcMar>
                    <w:top w:w="15" w:type="dxa"/>
                    <w:left w:w="15" w:type="dxa"/>
                    <w:right w:w="15" w:type="dxa"/>
                  </w:tcMar>
                  <w:vAlign w:val="center"/>
                </w:tcPr>
                <w:p w14:paraId="4EE0EE1F">
                  <w:pPr>
                    <w:adjustRightInd w:val="0"/>
                    <w:jc w:val="center"/>
                    <w:textAlignment w:val="baseline"/>
                    <w:rPr>
                      <w:kern w:val="0"/>
                      <w:sz w:val="18"/>
                      <w:szCs w:val="18"/>
                    </w:rPr>
                  </w:pPr>
                  <w:r>
                    <w:rPr>
                      <w:kern w:val="0"/>
                      <w:sz w:val="18"/>
                      <w:szCs w:val="18"/>
                    </w:rPr>
                    <w:t>矿物油</w:t>
                  </w:r>
                </w:p>
              </w:tc>
              <w:tc>
                <w:tcPr>
                  <w:tcW w:w="437" w:type="dxa"/>
                  <w:tcMar>
                    <w:top w:w="15" w:type="dxa"/>
                    <w:left w:w="15" w:type="dxa"/>
                    <w:right w:w="15" w:type="dxa"/>
                  </w:tcMar>
                  <w:vAlign w:val="center"/>
                </w:tcPr>
                <w:p w14:paraId="3D88A8E3">
                  <w:pPr>
                    <w:adjustRightInd w:val="0"/>
                    <w:jc w:val="center"/>
                    <w:textAlignment w:val="baseline"/>
                    <w:rPr>
                      <w:kern w:val="0"/>
                      <w:sz w:val="18"/>
                      <w:szCs w:val="18"/>
                    </w:rPr>
                  </w:pPr>
                  <w:r>
                    <w:rPr>
                      <w:kern w:val="0"/>
                      <w:sz w:val="18"/>
                      <w:szCs w:val="18"/>
                    </w:rPr>
                    <w:t>液态</w:t>
                  </w:r>
                </w:p>
              </w:tc>
              <w:tc>
                <w:tcPr>
                  <w:tcW w:w="424" w:type="dxa"/>
                  <w:tcMar>
                    <w:top w:w="15" w:type="dxa"/>
                    <w:left w:w="15" w:type="dxa"/>
                    <w:right w:w="15" w:type="dxa"/>
                  </w:tcMar>
                  <w:vAlign w:val="center"/>
                </w:tcPr>
                <w:p w14:paraId="72678998">
                  <w:pPr>
                    <w:adjustRightInd w:val="0"/>
                    <w:jc w:val="center"/>
                    <w:textAlignment w:val="baseline"/>
                    <w:rPr>
                      <w:kern w:val="0"/>
                      <w:sz w:val="18"/>
                      <w:szCs w:val="18"/>
                    </w:rPr>
                  </w:pPr>
                  <w:r>
                    <w:rPr>
                      <w:kern w:val="0"/>
                      <w:sz w:val="18"/>
                      <w:szCs w:val="18"/>
                    </w:rPr>
                    <w:t>T，I</w:t>
                  </w:r>
                </w:p>
              </w:tc>
              <w:tc>
                <w:tcPr>
                  <w:tcW w:w="615" w:type="dxa"/>
                  <w:tcMar>
                    <w:top w:w="15" w:type="dxa"/>
                    <w:left w:w="15" w:type="dxa"/>
                    <w:right w:w="15" w:type="dxa"/>
                  </w:tcMar>
                  <w:vAlign w:val="center"/>
                </w:tcPr>
                <w:p w14:paraId="639FFB9E">
                  <w:pPr>
                    <w:adjustRightInd w:val="0"/>
                    <w:jc w:val="center"/>
                    <w:textAlignment w:val="baseline"/>
                    <w:rPr>
                      <w:kern w:val="0"/>
                      <w:sz w:val="18"/>
                      <w:szCs w:val="18"/>
                    </w:rPr>
                  </w:pPr>
                  <w:r>
                    <w:rPr>
                      <w:kern w:val="0"/>
                      <w:sz w:val="18"/>
                      <w:szCs w:val="18"/>
                    </w:rPr>
                    <w:t>29.4</w:t>
                  </w:r>
                </w:p>
              </w:tc>
              <w:tc>
                <w:tcPr>
                  <w:tcW w:w="739" w:type="dxa"/>
                  <w:vMerge w:val="continue"/>
                  <w:tcMar>
                    <w:top w:w="15" w:type="dxa"/>
                    <w:left w:w="15" w:type="dxa"/>
                    <w:right w:w="15" w:type="dxa"/>
                  </w:tcMar>
                  <w:vAlign w:val="center"/>
                </w:tcPr>
                <w:p w14:paraId="6A48B417">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7A1C4C0B">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503A0D98">
                  <w:pPr>
                    <w:adjustRightInd w:val="0"/>
                    <w:jc w:val="center"/>
                    <w:textAlignment w:val="baseline"/>
                    <w:rPr>
                      <w:kern w:val="0"/>
                      <w:sz w:val="18"/>
                      <w:szCs w:val="18"/>
                    </w:rPr>
                  </w:pPr>
                </w:p>
              </w:tc>
            </w:tr>
            <w:tr w14:paraId="10580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54FB6734">
                  <w:pPr>
                    <w:adjustRightInd w:val="0"/>
                    <w:jc w:val="center"/>
                    <w:textAlignment w:val="baseline"/>
                    <w:rPr>
                      <w:kern w:val="0"/>
                      <w:sz w:val="18"/>
                      <w:szCs w:val="18"/>
                    </w:rPr>
                  </w:pPr>
                  <w:r>
                    <w:rPr>
                      <w:kern w:val="0"/>
                      <w:sz w:val="18"/>
                      <w:szCs w:val="18"/>
                    </w:rPr>
                    <w:t>备用电源</w:t>
                  </w:r>
                </w:p>
              </w:tc>
              <w:tc>
                <w:tcPr>
                  <w:tcW w:w="581" w:type="dxa"/>
                  <w:tcMar>
                    <w:top w:w="15" w:type="dxa"/>
                    <w:left w:w="15" w:type="dxa"/>
                    <w:right w:w="15" w:type="dxa"/>
                  </w:tcMar>
                  <w:vAlign w:val="center"/>
                </w:tcPr>
                <w:p w14:paraId="32C96F4E">
                  <w:pPr>
                    <w:adjustRightInd w:val="0"/>
                    <w:jc w:val="center"/>
                    <w:textAlignment w:val="baseline"/>
                    <w:rPr>
                      <w:kern w:val="0"/>
                      <w:sz w:val="18"/>
                      <w:szCs w:val="18"/>
                    </w:rPr>
                  </w:pPr>
                  <w:r>
                    <w:rPr>
                      <w:kern w:val="0"/>
                      <w:sz w:val="18"/>
                      <w:szCs w:val="18"/>
                    </w:rPr>
                    <w:t>废蓄电池</w:t>
                  </w:r>
                </w:p>
              </w:tc>
              <w:tc>
                <w:tcPr>
                  <w:tcW w:w="990" w:type="dxa"/>
                  <w:tcMar>
                    <w:top w:w="15" w:type="dxa"/>
                    <w:left w:w="15" w:type="dxa"/>
                    <w:right w:w="15" w:type="dxa"/>
                  </w:tcMar>
                  <w:vAlign w:val="center"/>
                </w:tcPr>
                <w:p w14:paraId="520E5060">
                  <w:pPr>
                    <w:adjustRightInd w:val="0"/>
                    <w:jc w:val="center"/>
                    <w:textAlignment w:val="baseline"/>
                    <w:rPr>
                      <w:kern w:val="0"/>
                      <w:sz w:val="18"/>
                      <w:szCs w:val="18"/>
                    </w:rPr>
                  </w:pPr>
                  <w:r>
                    <w:rPr>
                      <w:kern w:val="0"/>
                      <w:sz w:val="18"/>
                      <w:szCs w:val="18"/>
                    </w:rPr>
                    <w:t>危险废物900-052-31</w:t>
                  </w:r>
                </w:p>
              </w:tc>
              <w:tc>
                <w:tcPr>
                  <w:tcW w:w="630" w:type="dxa"/>
                  <w:tcMar>
                    <w:top w:w="15" w:type="dxa"/>
                    <w:left w:w="15" w:type="dxa"/>
                    <w:right w:w="15" w:type="dxa"/>
                  </w:tcMar>
                  <w:vAlign w:val="center"/>
                </w:tcPr>
                <w:p w14:paraId="509A2B62">
                  <w:pPr>
                    <w:adjustRightInd w:val="0"/>
                    <w:jc w:val="center"/>
                    <w:textAlignment w:val="baseline"/>
                    <w:rPr>
                      <w:kern w:val="0"/>
                      <w:sz w:val="18"/>
                      <w:szCs w:val="18"/>
                    </w:rPr>
                  </w:pPr>
                  <w:r>
                    <w:rPr>
                      <w:kern w:val="0"/>
                      <w:sz w:val="18"/>
                      <w:szCs w:val="18"/>
                    </w:rPr>
                    <w:t>重金属铅、酸</w:t>
                  </w:r>
                </w:p>
              </w:tc>
              <w:tc>
                <w:tcPr>
                  <w:tcW w:w="437" w:type="dxa"/>
                  <w:tcMar>
                    <w:top w:w="15" w:type="dxa"/>
                    <w:left w:w="15" w:type="dxa"/>
                    <w:right w:w="15" w:type="dxa"/>
                  </w:tcMar>
                  <w:vAlign w:val="center"/>
                </w:tcPr>
                <w:p w14:paraId="62D545F7">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0ABC8A9D">
                  <w:pPr>
                    <w:adjustRightInd w:val="0"/>
                    <w:jc w:val="center"/>
                    <w:textAlignment w:val="baseline"/>
                    <w:rPr>
                      <w:kern w:val="0"/>
                      <w:sz w:val="18"/>
                      <w:szCs w:val="18"/>
                    </w:rPr>
                  </w:pPr>
                  <w:r>
                    <w:rPr>
                      <w:kern w:val="0"/>
                      <w:sz w:val="18"/>
                      <w:szCs w:val="18"/>
                    </w:rPr>
                    <w:t>T，C</w:t>
                  </w:r>
                </w:p>
              </w:tc>
              <w:tc>
                <w:tcPr>
                  <w:tcW w:w="615" w:type="dxa"/>
                  <w:tcMar>
                    <w:top w:w="15" w:type="dxa"/>
                    <w:left w:w="15" w:type="dxa"/>
                    <w:right w:w="15" w:type="dxa"/>
                  </w:tcMar>
                  <w:vAlign w:val="center"/>
                </w:tcPr>
                <w:p w14:paraId="2F93EE1A">
                  <w:pPr>
                    <w:adjustRightInd w:val="0"/>
                    <w:jc w:val="center"/>
                    <w:textAlignment w:val="baseline"/>
                    <w:rPr>
                      <w:kern w:val="0"/>
                      <w:sz w:val="18"/>
                      <w:szCs w:val="18"/>
                    </w:rPr>
                  </w:pPr>
                  <w:r>
                    <w:rPr>
                      <w:kern w:val="0"/>
                      <w:sz w:val="18"/>
                      <w:szCs w:val="18"/>
                    </w:rPr>
                    <w:t>0.5t/10a</w:t>
                  </w:r>
                </w:p>
              </w:tc>
              <w:tc>
                <w:tcPr>
                  <w:tcW w:w="739" w:type="dxa"/>
                  <w:vMerge w:val="continue"/>
                  <w:tcMar>
                    <w:top w:w="15" w:type="dxa"/>
                    <w:left w:w="15" w:type="dxa"/>
                    <w:right w:w="15" w:type="dxa"/>
                  </w:tcMar>
                  <w:vAlign w:val="center"/>
                </w:tcPr>
                <w:p w14:paraId="1D26DE82">
                  <w:pPr>
                    <w:adjustRightInd w:val="0"/>
                    <w:jc w:val="center"/>
                    <w:textAlignment w:val="baseline"/>
                    <w:rPr>
                      <w:kern w:val="0"/>
                      <w:sz w:val="18"/>
                      <w:szCs w:val="18"/>
                    </w:rPr>
                  </w:pPr>
                </w:p>
              </w:tc>
              <w:tc>
                <w:tcPr>
                  <w:tcW w:w="863" w:type="dxa"/>
                  <w:vMerge w:val="continue"/>
                  <w:tcMar>
                    <w:top w:w="15" w:type="dxa"/>
                    <w:left w:w="15" w:type="dxa"/>
                    <w:right w:w="15" w:type="dxa"/>
                  </w:tcMar>
                  <w:vAlign w:val="center"/>
                </w:tcPr>
                <w:p w14:paraId="2CFDCE40">
                  <w:pPr>
                    <w:adjustRightInd w:val="0"/>
                    <w:jc w:val="center"/>
                    <w:textAlignment w:val="baseline"/>
                    <w:rPr>
                      <w:kern w:val="0"/>
                      <w:sz w:val="18"/>
                      <w:szCs w:val="18"/>
                    </w:rPr>
                  </w:pPr>
                </w:p>
              </w:tc>
              <w:tc>
                <w:tcPr>
                  <w:tcW w:w="1597" w:type="dxa"/>
                  <w:vMerge w:val="continue"/>
                  <w:tcMar>
                    <w:top w:w="15" w:type="dxa"/>
                    <w:left w:w="15" w:type="dxa"/>
                    <w:right w:w="15" w:type="dxa"/>
                  </w:tcMar>
                  <w:vAlign w:val="center"/>
                </w:tcPr>
                <w:p w14:paraId="233280F5">
                  <w:pPr>
                    <w:adjustRightInd w:val="0"/>
                    <w:jc w:val="center"/>
                    <w:textAlignment w:val="baseline"/>
                    <w:rPr>
                      <w:kern w:val="0"/>
                      <w:sz w:val="18"/>
                      <w:szCs w:val="18"/>
                    </w:rPr>
                  </w:pPr>
                </w:p>
              </w:tc>
            </w:tr>
            <w:tr w14:paraId="25E2B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94" w:type="dxa"/>
                  <w:tcMar>
                    <w:top w:w="15" w:type="dxa"/>
                    <w:left w:w="15" w:type="dxa"/>
                    <w:right w:w="15" w:type="dxa"/>
                  </w:tcMar>
                  <w:vAlign w:val="center"/>
                </w:tcPr>
                <w:p w14:paraId="2FCE449B">
                  <w:pPr>
                    <w:adjustRightInd w:val="0"/>
                    <w:jc w:val="center"/>
                    <w:textAlignment w:val="baseline"/>
                    <w:rPr>
                      <w:kern w:val="0"/>
                      <w:sz w:val="18"/>
                      <w:szCs w:val="18"/>
                    </w:rPr>
                  </w:pPr>
                  <w:r>
                    <w:rPr>
                      <w:kern w:val="0"/>
                      <w:sz w:val="18"/>
                      <w:szCs w:val="18"/>
                    </w:rPr>
                    <w:t>职工生活</w:t>
                  </w:r>
                </w:p>
              </w:tc>
              <w:tc>
                <w:tcPr>
                  <w:tcW w:w="581" w:type="dxa"/>
                  <w:tcMar>
                    <w:top w:w="15" w:type="dxa"/>
                    <w:left w:w="15" w:type="dxa"/>
                    <w:right w:w="15" w:type="dxa"/>
                  </w:tcMar>
                  <w:vAlign w:val="center"/>
                </w:tcPr>
                <w:p w14:paraId="1F888BF3">
                  <w:pPr>
                    <w:adjustRightInd w:val="0"/>
                    <w:jc w:val="center"/>
                    <w:textAlignment w:val="baseline"/>
                    <w:rPr>
                      <w:kern w:val="0"/>
                      <w:sz w:val="18"/>
                      <w:szCs w:val="18"/>
                    </w:rPr>
                  </w:pPr>
                  <w:r>
                    <w:rPr>
                      <w:kern w:val="0"/>
                      <w:sz w:val="18"/>
                      <w:szCs w:val="18"/>
                    </w:rPr>
                    <w:t>生活垃圾</w:t>
                  </w:r>
                </w:p>
              </w:tc>
              <w:tc>
                <w:tcPr>
                  <w:tcW w:w="990" w:type="dxa"/>
                  <w:tcMar>
                    <w:top w:w="15" w:type="dxa"/>
                    <w:left w:w="15" w:type="dxa"/>
                    <w:right w:w="15" w:type="dxa"/>
                  </w:tcMar>
                  <w:vAlign w:val="center"/>
                </w:tcPr>
                <w:p w14:paraId="69C2C82E">
                  <w:pPr>
                    <w:adjustRightInd w:val="0"/>
                    <w:jc w:val="center"/>
                    <w:textAlignment w:val="baseline"/>
                    <w:rPr>
                      <w:kern w:val="0"/>
                      <w:sz w:val="18"/>
                      <w:szCs w:val="18"/>
                    </w:rPr>
                  </w:pPr>
                  <w:r>
                    <w:rPr>
                      <w:kern w:val="0"/>
                      <w:sz w:val="18"/>
                      <w:szCs w:val="18"/>
                    </w:rPr>
                    <w:t>900-002-S62</w:t>
                  </w:r>
                </w:p>
              </w:tc>
              <w:tc>
                <w:tcPr>
                  <w:tcW w:w="630" w:type="dxa"/>
                  <w:tcMar>
                    <w:top w:w="15" w:type="dxa"/>
                    <w:left w:w="15" w:type="dxa"/>
                    <w:right w:w="15" w:type="dxa"/>
                  </w:tcMar>
                  <w:vAlign w:val="center"/>
                </w:tcPr>
                <w:p w14:paraId="37B586C3">
                  <w:pPr>
                    <w:adjustRightInd w:val="0"/>
                    <w:jc w:val="center"/>
                    <w:textAlignment w:val="baseline"/>
                    <w:rPr>
                      <w:kern w:val="0"/>
                      <w:sz w:val="18"/>
                      <w:szCs w:val="18"/>
                    </w:rPr>
                  </w:pPr>
                  <w:r>
                    <w:rPr>
                      <w:kern w:val="0"/>
                      <w:sz w:val="18"/>
                      <w:szCs w:val="18"/>
                    </w:rPr>
                    <w:t>无</w:t>
                  </w:r>
                </w:p>
              </w:tc>
              <w:tc>
                <w:tcPr>
                  <w:tcW w:w="437" w:type="dxa"/>
                  <w:tcMar>
                    <w:top w:w="15" w:type="dxa"/>
                    <w:left w:w="15" w:type="dxa"/>
                    <w:right w:w="15" w:type="dxa"/>
                  </w:tcMar>
                  <w:vAlign w:val="center"/>
                </w:tcPr>
                <w:p w14:paraId="1631DED2">
                  <w:pPr>
                    <w:adjustRightInd w:val="0"/>
                    <w:jc w:val="center"/>
                    <w:textAlignment w:val="baseline"/>
                    <w:rPr>
                      <w:kern w:val="0"/>
                      <w:sz w:val="18"/>
                      <w:szCs w:val="18"/>
                    </w:rPr>
                  </w:pPr>
                  <w:r>
                    <w:rPr>
                      <w:kern w:val="0"/>
                      <w:sz w:val="18"/>
                      <w:szCs w:val="18"/>
                    </w:rPr>
                    <w:t>固态</w:t>
                  </w:r>
                </w:p>
              </w:tc>
              <w:tc>
                <w:tcPr>
                  <w:tcW w:w="424" w:type="dxa"/>
                  <w:tcMar>
                    <w:top w:w="15" w:type="dxa"/>
                    <w:left w:w="15" w:type="dxa"/>
                    <w:right w:w="15" w:type="dxa"/>
                  </w:tcMar>
                  <w:vAlign w:val="center"/>
                </w:tcPr>
                <w:p w14:paraId="42240033">
                  <w:pPr>
                    <w:adjustRightInd w:val="0"/>
                    <w:jc w:val="center"/>
                    <w:textAlignment w:val="baseline"/>
                    <w:rPr>
                      <w:kern w:val="0"/>
                      <w:sz w:val="18"/>
                      <w:szCs w:val="18"/>
                    </w:rPr>
                  </w:pPr>
                  <w:r>
                    <w:rPr>
                      <w:kern w:val="0"/>
                      <w:sz w:val="18"/>
                      <w:szCs w:val="18"/>
                    </w:rPr>
                    <w:t>无</w:t>
                  </w:r>
                </w:p>
              </w:tc>
              <w:tc>
                <w:tcPr>
                  <w:tcW w:w="615" w:type="dxa"/>
                  <w:tcMar>
                    <w:top w:w="15" w:type="dxa"/>
                    <w:left w:w="15" w:type="dxa"/>
                    <w:right w:w="15" w:type="dxa"/>
                  </w:tcMar>
                  <w:vAlign w:val="center"/>
                </w:tcPr>
                <w:p w14:paraId="6590FD9C">
                  <w:pPr>
                    <w:adjustRightInd w:val="0"/>
                    <w:jc w:val="center"/>
                    <w:textAlignment w:val="baseline"/>
                    <w:rPr>
                      <w:kern w:val="0"/>
                      <w:sz w:val="18"/>
                      <w:szCs w:val="18"/>
                    </w:rPr>
                  </w:pPr>
                  <w:r>
                    <w:rPr>
                      <w:kern w:val="0"/>
                      <w:sz w:val="18"/>
                      <w:szCs w:val="18"/>
                    </w:rPr>
                    <w:t>1.533</w:t>
                  </w:r>
                </w:p>
              </w:tc>
              <w:tc>
                <w:tcPr>
                  <w:tcW w:w="739" w:type="dxa"/>
                  <w:tcMar>
                    <w:top w:w="15" w:type="dxa"/>
                    <w:left w:w="15" w:type="dxa"/>
                    <w:right w:w="15" w:type="dxa"/>
                  </w:tcMar>
                  <w:vAlign w:val="center"/>
                </w:tcPr>
                <w:p w14:paraId="042EB360">
                  <w:pPr>
                    <w:adjustRightInd w:val="0"/>
                    <w:jc w:val="center"/>
                    <w:textAlignment w:val="baseline"/>
                    <w:rPr>
                      <w:kern w:val="0"/>
                      <w:sz w:val="18"/>
                      <w:szCs w:val="18"/>
                    </w:rPr>
                  </w:pPr>
                  <w:r>
                    <w:rPr>
                      <w:kern w:val="0"/>
                      <w:sz w:val="18"/>
                      <w:szCs w:val="18"/>
                    </w:rPr>
                    <w:t>送环卫部门指定地点</w:t>
                  </w:r>
                </w:p>
              </w:tc>
              <w:tc>
                <w:tcPr>
                  <w:tcW w:w="863" w:type="dxa"/>
                  <w:tcMar>
                    <w:top w:w="15" w:type="dxa"/>
                    <w:left w:w="15" w:type="dxa"/>
                    <w:right w:w="15" w:type="dxa"/>
                  </w:tcMar>
                  <w:vAlign w:val="center"/>
                </w:tcPr>
                <w:p w14:paraId="687E91E0">
                  <w:pPr>
                    <w:adjustRightInd w:val="0"/>
                    <w:jc w:val="center"/>
                    <w:textAlignment w:val="baseline"/>
                    <w:rPr>
                      <w:kern w:val="0"/>
                      <w:sz w:val="18"/>
                      <w:szCs w:val="18"/>
                    </w:rPr>
                  </w:pPr>
                  <w:r>
                    <w:rPr>
                      <w:kern w:val="0"/>
                      <w:sz w:val="18"/>
                      <w:szCs w:val="18"/>
                    </w:rPr>
                    <w:t>环卫部门统一处理</w:t>
                  </w:r>
                </w:p>
              </w:tc>
              <w:tc>
                <w:tcPr>
                  <w:tcW w:w="1597" w:type="dxa"/>
                  <w:tcMar>
                    <w:top w:w="15" w:type="dxa"/>
                    <w:left w:w="15" w:type="dxa"/>
                    <w:right w:w="15" w:type="dxa"/>
                  </w:tcMar>
                  <w:vAlign w:val="center"/>
                </w:tcPr>
                <w:p w14:paraId="4E818D05">
                  <w:pPr>
                    <w:adjustRightInd w:val="0"/>
                    <w:jc w:val="center"/>
                    <w:textAlignment w:val="baseline"/>
                    <w:rPr>
                      <w:kern w:val="0"/>
                      <w:sz w:val="18"/>
                      <w:szCs w:val="18"/>
                    </w:rPr>
                  </w:pPr>
                  <w:r>
                    <w:rPr>
                      <w:kern w:val="0"/>
                      <w:sz w:val="18"/>
                      <w:szCs w:val="18"/>
                    </w:rPr>
                    <w:t>/</w:t>
                  </w:r>
                </w:p>
              </w:tc>
            </w:tr>
          </w:tbl>
          <w:p w14:paraId="604505D7">
            <w:pPr>
              <w:adjustRightInd w:val="0"/>
              <w:snapToGrid w:val="0"/>
              <w:spacing w:line="480" w:lineRule="exact"/>
              <w:ind w:firstLine="482" w:firstLineChars="200"/>
              <w:rPr>
                <w:b/>
                <w:bCs/>
                <w:sz w:val="24"/>
              </w:rPr>
            </w:pPr>
            <w:r>
              <w:rPr>
                <w:b/>
                <w:bCs/>
                <w:sz w:val="24"/>
              </w:rPr>
              <w:t>5.2一般固体废物环境影响分析</w:t>
            </w:r>
          </w:p>
          <w:p w14:paraId="584E8ED5">
            <w:pPr>
              <w:spacing w:line="480" w:lineRule="exact"/>
              <w:ind w:firstLine="480" w:firstLineChars="200"/>
              <w:rPr>
                <w:sz w:val="24"/>
              </w:rPr>
            </w:pPr>
            <w:r>
              <w:rPr>
                <w:sz w:val="24"/>
              </w:rPr>
              <w:t>一般固体废物：一般固体废物处理措施和处置方案满足《一般工业固体废弃物贮存和填埋污染控制标准》（GB18599-2020）要求、《中华人民共和国固体废物污染环境防治法》的有关规定，进行收集、管理、运输及处置：</w:t>
            </w:r>
          </w:p>
          <w:p w14:paraId="737CFEA5">
            <w:pPr>
              <w:spacing w:line="480" w:lineRule="exact"/>
              <w:ind w:firstLine="480" w:firstLineChars="200"/>
              <w:rPr>
                <w:sz w:val="24"/>
              </w:rPr>
            </w:pPr>
            <w:r>
              <w:rPr>
                <w:sz w:val="24"/>
              </w:rPr>
              <w:t>（1）贮存、处置场的建设类型，必须与将要堆放的一般工业固体废物的类别相一致。</w:t>
            </w:r>
          </w:p>
          <w:p w14:paraId="6D22DE64">
            <w:pPr>
              <w:spacing w:line="480" w:lineRule="exact"/>
              <w:ind w:firstLine="480" w:firstLineChars="200"/>
              <w:rPr>
                <w:sz w:val="24"/>
              </w:rPr>
            </w:pPr>
            <w:r>
              <w:rPr>
                <w:sz w:val="24"/>
              </w:rPr>
              <w:t>（2）为保障设施、设备正常运营，必要时应采取措施防止地基下沉，尤其是防止不均匀或局部下沉。</w:t>
            </w:r>
          </w:p>
          <w:p w14:paraId="0D91816F">
            <w:pPr>
              <w:spacing w:line="480" w:lineRule="exact"/>
              <w:ind w:firstLine="480" w:firstLineChars="200"/>
              <w:rPr>
                <w:sz w:val="24"/>
              </w:rPr>
            </w:pPr>
            <w:r>
              <w:rPr>
                <w:sz w:val="24"/>
              </w:rPr>
              <w:t>（3）为加强监督管理，贮存、处置场应设置环境保护图形标志。</w:t>
            </w:r>
          </w:p>
          <w:p w14:paraId="6DD38B96">
            <w:pPr>
              <w:adjustRightInd w:val="0"/>
              <w:snapToGrid w:val="0"/>
              <w:spacing w:line="480" w:lineRule="exact"/>
              <w:ind w:firstLine="480" w:firstLineChars="200"/>
              <w:rPr>
                <w:sz w:val="24"/>
              </w:rPr>
            </w:pPr>
            <w:r>
              <w:rPr>
                <w:sz w:val="24"/>
              </w:rPr>
              <w:t>本项目一般固废暂存于库房内东侧，在保证对固体废物及时外运的前提下，本项目固体废物不会对外环境产生二次污染。</w:t>
            </w:r>
          </w:p>
          <w:p w14:paraId="4F73862C">
            <w:pPr>
              <w:adjustRightInd w:val="0"/>
              <w:snapToGrid w:val="0"/>
              <w:spacing w:line="480" w:lineRule="exact"/>
              <w:ind w:firstLine="482" w:firstLineChars="200"/>
              <w:rPr>
                <w:sz w:val="24"/>
              </w:rPr>
            </w:pPr>
            <w:r>
              <w:rPr>
                <w:b/>
                <w:bCs/>
                <w:sz w:val="24"/>
              </w:rPr>
              <w:t>5.3危险废物环境影响分析</w:t>
            </w:r>
          </w:p>
          <w:p w14:paraId="3226BC23">
            <w:pPr>
              <w:adjustRightInd w:val="0"/>
              <w:snapToGrid w:val="0"/>
              <w:spacing w:line="480" w:lineRule="exact"/>
              <w:ind w:firstLine="482" w:firstLineChars="200"/>
              <w:rPr>
                <w:b/>
                <w:bCs/>
                <w:sz w:val="24"/>
              </w:rPr>
            </w:pPr>
            <w:r>
              <w:rPr>
                <w:b/>
                <w:bCs/>
                <w:sz w:val="24"/>
              </w:rPr>
              <w:t xml:space="preserve">5.3.1危险废物基本情况 </w:t>
            </w:r>
          </w:p>
          <w:p w14:paraId="674895BD">
            <w:pPr>
              <w:spacing w:line="480" w:lineRule="exact"/>
              <w:ind w:firstLine="480" w:firstLineChars="200"/>
              <w:rPr>
                <w:sz w:val="24"/>
              </w:rPr>
            </w:pPr>
            <w:r>
              <w:rPr>
                <w:sz w:val="24"/>
              </w:rPr>
              <w:t>根据《建设项目危险废物环境影响评价指南》要求，本评价明确危险废物的名称、数量、类别、形态、危险特性和污染防治措施等内容。本项目危险废物基本情况详见下表。</w:t>
            </w:r>
          </w:p>
          <w:p w14:paraId="37956A22">
            <w:pPr>
              <w:tabs>
                <w:tab w:val="left" w:pos="1440"/>
                <w:tab w:val="left" w:pos="2627"/>
              </w:tabs>
              <w:adjustRightInd w:val="0"/>
              <w:snapToGrid w:val="0"/>
              <w:jc w:val="center"/>
              <w:outlineLvl w:val="4"/>
              <w:rPr>
                <w:b/>
              </w:rPr>
            </w:pPr>
            <w:r>
              <w:rPr>
                <w:b/>
              </w:rPr>
              <w:t>表4-</w:t>
            </w:r>
            <w:r>
              <w:rPr>
                <w:rFonts w:hint="eastAsia"/>
                <w:b/>
              </w:rPr>
              <w:t>9</w:t>
            </w:r>
            <w:r>
              <w:rPr>
                <w:b/>
              </w:rPr>
              <w:t xml:space="preserve">     危险废物产生及处置一览表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6"/>
              <w:gridCol w:w="588"/>
              <w:gridCol w:w="559"/>
              <w:gridCol w:w="850"/>
              <w:gridCol w:w="368"/>
              <w:gridCol w:w="616"/>
              <w:gridCol w:w="725"/>
              <w:gridCol w:w="376"/>
              <w:gridCol w:w="517"/>
              <w:gridCol w:w="571"/>
              <w:gridCol w:w="376"/>
              <w:gridCol w:w="399"/>
              <w:gridCol w:w="1139"/>
            </w:tblGrid>
            <w:tr w14:paraId="19DD4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6CF00F95">
                  <w:pPr>
                    <w:adjustRightInd w:val="0"/>
                    <w:jc w:val="center"/>
                    <w:textAlignment w:val="baseline"/>
                    <w:rPr>
                      <w:kern w:val="0"/>
                      <w:sz w:val="18"/>
                      <w:szCs w:val="18"/>
                    </w:rPr>
                  </w:pPr>
                  <w:r>
                    <w:rPr>
                      <w:kern w:val="0"/>
                      <w:sz w:val="18"/>
                      <w:szCs w:val="18"/>
                    </w:rPr>
                    <w:t>序号</w:t>
                  </w:r>
                </w:p>
              </w:tc>
              <w:tc>
                <w:tcPr>
                  <w:tcW w:w="745" w:type="dxa"/>
                  <w:vAlign w:val="center"/>
                </w:tcPr>
                <w:p w14:paraId="02C27ACD">
                  <w:pPr>
                    <w:adjustRightInd w:val="0"/>
                    <w:jc w:val="center"/>
                    <w:textAlignment w:val="baseline"/>
                    <w:rPr>
                      <w:kern w:val="0"/>
                      <w:sz w:val="18"/>
                      <w:szCs w:val="18"/>
                    </w:rPr>
                  </w:pPr>
                  <w:r>
                    <w:rPr>
                      <w:kern w:val="0"/>
                      <w:sz w:val="18"/>
                      <w:szCs w:val="18"/>
                    </w:rPr>
                    <w:t>危险废物名称</w:t>
                  </w:r>
                </w:p>
              </w:tc>
              <w:tc>
                <w:tcPr>
                  <w:tcW w:w="587" w:type="dxa"/>
                  <w:vAlign w:val="center"/>
                </w:tcPr>
                <w:p w14:paraId="7BE1203E">
                  <w:pPr>
                    <w:adjustRightInd w:val="0"/>
                    <w:jc w:val="center"/>
                    <w:textAlignment w:val="baseline"/>
                    <w:rPr>
                      <w:kern w:val="0"/>
                      <w:sz w:val="18"/>
                      <w:szCs w:val="18"/>
                    </w:rPr>
                  </w:pPr>
                  <w:r>
                    <w:rPr>
                      <w:kern w:val="0"/>
                      <w:sz w:val="18"/>
                      <w:szCs w:val="18"/>
                    </w:rPr>
                    <w:t>危险废物类别</w:t>
                  </w:r>
                </w:p>
              </w:tc>
              <w:tc>
                <w:tcPr>
                  <w:tcW w:w="850" w:type="dxa"/>
                  <w:vAlign w:val="center"/>
                </w:tcPr>
                <w:p w14:paraId="573FA665">
                  <w:pPr>
                    <w:adjustRightInd w:val="0"/>
                    <w:jc w:val="center"/>
                    <w:textAlignment w:val="baseline"/>
                    <w:rPr>
                      <w:kern w:val="0"/>
                      <w:sz w:val="18"/>
                      <w:szCs w:val="18"/>
                    </w:rPr>
                  </w:pPr>
                  <w:r>
                    <w:rPr>
                      <w:kern w:val="0"/>
                      <w:sz w:val="18"/>
                      <w:szCs w:val="18"/>
                    </w:rPr>
                    <w:t>危险废物代码</w:t>
                  </w:r>
                </w:p>
              </w:tc>
              <w:tc>
                <w:tcPr>
                  <w:tcW w:w="438" w:type="dxa"/>
                  <w:vAlign w:val="center"/>
                </w:tcPr>
                <w:p w14:paraId="344A1B42">
                  <w:pPr>
                    <w:adjustRightInd w:val="0"/>
                    <w:jc w:val="center"/>
                    <w:textAlignment w:val="baseline"/>
                    <w:rPr>
                      <w:kern w:val="0"/>
                      <w:sz w:val="18"/>
                      <w:szCs w:val="18"/>
                    </w:rPr>
                  </w:pPr>
                  <w:r>
                    <w:rPr>
                      <w:kern w:val="0"/>
                      <w:sz w:val="18"/>
                      <w:szCs w:val="18"/>
                    </w:rPr>
                    <w:t>行业来源</w:t>
                  </w:r>
                </w:p>
              </w:tc>
              <w:tc>
                <w:tcPr>
                  <w:tcW w:w="625" w:type="dxa"/>
                  <w:vAlign w:val="center"/>
                </w:tcPr>
                <w:p w14:paraId="759FF001">
                  <w:pPr>
                    <w:adjustRightInd w:val="0"/>
                    <w:jc w:val="center"/>
                    <w:textAlignment w:val="baseline"/>
                    <w:rPr>
                      <w:kern w:val="0"/>
                      <w:sz w:val="18"/>
                      <w:szCs w:val="18"/>
                    </w:rPr>
                  </w:pPr>
                  <w:r>
                    <w:rPr>
                      <w:kern w:val="0"/>
                      <w:sz w:val="18"/>
                      <w:szCs w:val="18"/>
                    </w:rPr>
                    <w:t>产生量（t/a）</w:t>
                  </w:r>
                </w:p>
              </w:tc>
              <w:tc>
                <w:tcPr>
                  <w:tcW w:w="937" w:type="dxa"/>
                  <w:vAlign w:val="center"/>
                </w:tcPr>
                <w:p w14:paraId="27987E51">
                  <w:pPr>
                    <w:adjustRightInd w:val="0"/>
                    <w:jc w:val="center"/>
                    <w:textAlignment w:val="baseline"/>
                    <w:rPr>
                      <w:kern w:val="0"/>
                      <w:sz w:val="18"/>
                      <w:szCs w:val="18"/>
                    </w:rPr>
                  </w:pPr>
                  <w:r>
                    <w:rPr>
                      <w:kern w:val="0"/>
                      <w:sz w:val="18"/>
                      <w:szCs w:val="18"/>
                    </w:rPr>
                    <w:t>产生工序及装置</w:t>
                  </w:r>
                </w:p>
              </w:tc>
              <w:tc>
                <w:tcPr>
                  <w:tcW w:w="450" w:type="dxa"/>
                  <w:vAlign w:val="center"/>
                </w:tcPr>
                <w:p w14:paraId="090E2018">
                  <w:pPr>
                    <w:adjustRightInd w:val="0"/>
                    <w:jc w:val="center"/>
                    <w:textAlignment w:val="baseline"/>
                    <w:rPr>
                      <w:kern w:val="0"/>
                      <w:sz w:val="18"/>
                      <w:szCs w:val="18"/>
                    </w:rPr>
                  </w:pPr>
                  <w:r>
                    <w:rPr>
                      <w:kern w:val="0"/>
                      <w:sz w:val="18"/>
                      <w:szCs w:val="18"/>
                    </w:rPr>
                    <w:t>形态</w:t>
                  </w:r>
                </w:p>
              </w:tc>
              <w:tc>
                <w:tcPr>
                  <w:tcW w:w="575" w:type="dxa"/>
                  <w:vAlign w:val="center"/>
                </w:tcPr>
                <w:p w14:paraId="1B405A22">
                  <w:pPr>
                    <w:adjustRightInd w:val="0"/>
                    <w:jc w:val="center"/>
                    <w:textAlignment w:val="baseline"/>
                    <w:rPr>
                      <w:kern w:val="0"/>
                      <w:sz w:val="18"/>
                      <w:szCs w:val="18"/>
                    </w:rPr>
                  </w:pPr>
                  <w:r>
                    <w:rPr>
                      <w:kern w:val="0"/>
                      <w:sz w:val="18"/>
                      <w:szCs w:val="18"/>
                    </w:rPr>
                    <w:t>主要成分</w:t>
                  </w:r>
                </w:p>
              </w:tc>
              <w:tc>
                <w:tcPr>
                  <w:tcW w:w="650" w:type="dxa"/>
                  <w:vAlign w:val="center"/>
                </w:tcPr>
                <w:p w14:paraId="23C7EB03">
                  <w:pPr>
                    <w:adjustRightInd w:val="0"/>
                    <w:jc w:val="center"/>
                    <w:textAlignment w:val="baseline"/>
                    <w:rPr>
                      <w:kern w:val="0"/>
                      <w:sz w:val="18"/>
                      <w:szCs w:val="18"/>
                    </w:rPr>
                  </w:pPr>
                  <w:r>
                    <w:rPr>
                      <w:kern w:val="0"/>
                      <w:sz w:val="18"/>
                      <w:szCs w:val="18"/>
                    </w:rPr>
                    <w:t>有害成分</w:t>
                  </w:r>
                </w:p>
              </w:tc>
              <w:tc>
                <w:tcPr>
                  <w:tcW w:w="450" w:type="dxa"/>
                  <w:vAlign w:val="center"/>
                </w:tcPr>
                <w:p w14:paraId="68308AEA">
                  <w:pPr>
                    <w:adjustRightInd w:val="0"/>
                    <w:jc w:val="center"/>
                    <w:textAlignment w:val="baseline"/>
                    <w:rPr>
                      <w:kern w:val="0"/>
                      <w:sz w:val="18"/>
                      <w:szCs w:val="18"/>
                    </w:rPr>
                  </w:pPr>
                  <w:r>
                    <w:rPr>
                      <w:kern w:val="0"/>
                      <w:sz w:val="18"/>
                      <w:szCs w:val="18"/>
                    </w:rPr>
                    <w:t>产废周期</w:t>
                  </w:r>
                </w:p>
              </w:tc>
              <w:tc>
                <w:tcPr>
                  <w:tcW w:w="438" w:type="dxa"/>
                  <w:vAlign w:val="center"/>
                </w:tcPr>
                <w:p w14:paraId="7E9CEE36">
                  <w:pPr>
                    <w:adjustRightInd w:val="0"/>
                    <w:jc w:val="center"/>
                    <w:textAlignment w:val="baseline"/>
                    <w:rPr>
                      <w:kern w:val="0"/>
                      <w:sz w:val="18"/>
                      <w:szCs w:val="18"/>
                    </w:rPr>
                  </w:pPr>
                  <w:r>
                    <w:rPr>
                      <w:kern w:val="0"/>
                      <w:sz w:val="18"/>
                      <w:szCs w:val="18"/>
                    </w:rPr>
                    <w:t>危险</w:t>
                  </w:r>
                </w:p>
                <w:p w14:paraId="16B12685">
                  <w:pPr>
                    <w:adjustRightInd w:val="0"/>
                    <w:jc w:val="center"/>
                    <w:textAlignment w:val="baseline"/>
                    <w:rPr>
                      <w:kern w:val="0"/>
                      <w:sz w:val="18"/>
                      <w:szCs w:val="18"/>
                    </w:rPr>
                  </w:pPr>
                  <w:r>
                    <w:rPr>
                      <w:kern w:val="0"/>
                      <w:sz w:val="18"/>
                      <w:szCs w:val="18"/>
                    </w:rPr>
                    <w:t>特性</w:t>
                  </w:r>
                </w:p>
              </w:tc>
              <w:tc>
                <w:tcPr>
                  <w:tcW w:w="1440" w:type="dxa"/>
                  <w:vAlign w:val="center"/>
                </w:tcPr>
                <w:p w14:paraId="60DFF076">
                  <w:pPr>
                    <w:adjustRightInd w:val="0"/>
                    <w:jc w:val="center"/>
                    <w:textAlignment w:val="baseline"/>
                    <w:rPr>
                      <w:kern w:val="0"/>
                      <w:sz w:val="18"/>
                      <w:szCs w:val="18"/>
                    </w:rPr>
                  </w:pPr>
                  <w:r>
                    <w:rPr>
                      <w:kern w:val="0"/>
                      <w:sz w:val="18"/>
                      <w:szCs w:val="18"/>
                    </w:rPr>
                    <w:t>污染防治措施</w:t>
                  </w:r>
                </w:p>
              </w:tc>
            </w:tr>
            <w:tr w14:paraId="0D57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279A6415">
                  <w:pPr>
                    <w:adjustRightInd w:val="0"/>
                    <w:jc w:val="center"/>
                    <w:textAlignment w:val="baseline"/>
                    <w:rPr>
                      <w:kern w:val="0"/>
                      <w:sz w:val="18"/>
                      <w:szCs w:val="18"/>
                    </w:rPr>
                  </w:pPr>
                  <w:r>
                    <w:rPr>
                      <w:kern w:val="0"/>
                      <w:sz w:val="18"/>
                      <w:szCs w:val="18"/>
                    </w:rPr>
                    <w:t>1</w:t>
                  </w:r>
                </w:p>
              </w:tc>
              <w:tc>
                <w:tcPr>
                  <w:tcW w:w="745" w:type="dxa"/>
                  <w:vAlign w:val="center"/>
                </w:tcPr>
                <w:p w14:paraId="21851A3C">
                  <w:pPr>
                    <w:adjustRightInd w:val="0"/>
                    <w:jc w:val="center"/>
                    <w:textAlignment w:val="baseline"/>
                    <w:rPr>
                      <w:kern w:val="0"/>
                      <w:sz w:val="18"/>
                      <w:szCs w:val="18"/>
                    </w:rPr>
                  </w:pPr>
                  <w:r>
                    <w:rPr>
                      <w:kern w:val="0"/>
                      <w:sz w:val="18"/>
                      <w:szCs w:val="18"/>
                    </w:rPr>
                    <w:t>废齿轮油</w:t>
                  </w:r>
                </w:p>
              </w:tc>
              <w:tc>
                <w:tcPr>
                  <w:tcW w:w="587" w:type="dxa"/>
                  <w:vAlign w:val="center"/>
                </w:tcPr>
                <w:p w14:paraId="02E503D7">
                  <w:pPr>
                    <w:adjustRightInd w:val="0"/>
                    <w:jc w:val="center"/>
                    <w:textAlignment w:val="baseline"/>
                    <w:rPr>
                      <w:kern w:val="0"/>
                      <w:sz w:val="18"/>
                      <w:szCs w:val="18"/>
                    </w:rPr>
                  </w:pPr>
                  <w:r>
                    <w:rPr>
                      <w:kern w:val="0"/>
                      <w:sz w:val="18"/>
                      <w:szCs w:val="18"/>
                    </w:rPr>
                    <w:t>HW08</w:t>
                  </w:r>
                </w:p>
              </w:tc>
              <w:tc>
                <w:tcPr>
                  <w:tcW w:w="850" w:type="dxa"/>
                  <w:vAlign w:val="center"/>
                </w:tcPr>
                <w:p w14:paraId="3377E1DB">
                  <w:pPr>
                    <w:adjustRightInd w:val="0"/>
                    <w:jc w:val="center"/>
                    <w:textAlignment w:val="baseline"/>
                    <w:rPr>
                      <w:kern w:val="0"/>
                      <w:sz w:val="18"/>
                      <w:szCs w:val="18"/>
                    </w:rPr>
                  </w:pPr>
                  <w:r>
                    <w:rPr>
                      <w:kern w:val="0"/>
                      <w:sz w:val="18"/>
                      <w:szCs w:val="18"/>
                    </w:rPr>
                    <w:t>900-214-08</w:t>
                  </w:r>
                </w:p>
              </w:tc>
              <w:tc>
                <w:tcPr>
                  <w:tcW w:w="438" w:type="dxa"/>
                  <w:vMerge w:val="restart"/>
                  <w:vAlign w:val="center"/>
                </w:tcPr>
                <w:p w14:paraId="0E7A79D5">
                  <w:pPr>
                    <w:adjustRightInd w:val="0"/>
                    <w:jc w:val="center"/>
                    <w:textAlignment w:val="baseline"/>
                    <w:rPr>
                      <w:kern w:val="0"/>
                      <w:sz w:val="18"/>
                      <w:szCs w:val="18"/>
                    </w:rPr>
                  </w:pPr>
                  <w:r>
                    <w:rPr>
                      <w:kern w:val="0"/>
                      <w:sz w:val="18"/>
                      <w:szCs w:val="18"/>
                    </w:rPr>
                    <w:t>非特定行业</w:t>
                  </w:r>
                </w:p>
              </w:tc>
              <w:tc>
                <w:tcPr>
                  <w:tcW w:w="625" w:type="dxa"/>
                  <w:vAlign w:val="center"/>
                </w:tcPr>
                <w:p w14:paraId="556A51BF">
                  <w:pPr>
                    <w:adjustRightInd w:val="0"/>
                    <w:jc w:val="center"/>
                    <w:textAlignment w:val="baseline"/>
                    <w:rPr>
                      <w:kern w:val="0"/>
                      <w:sz w:val="18"/>
                      <w:szCs w:val="18"/>
                    </w:rPr>
                  </w:pPr>
                  <w:r>
                    <w:rPr>
                      <w:kern w:val="0"/>
                      <w:sz w:val="18"/>
                      <w:szCs w:val="18"/>
                    </w:rPr>
                    <w:t>3</w:t>
                  </w:r>
                </w:p>
              </w:tc>
              <w:tc>
                <w:tcPr>
                  <w:tcW w:w="937" w:type="dxa"/>
                  <w:vMerge w:val="restart"/>
                  <w:vAlign w:val="center"/>
                </w:tcPr>
                <w:p w14:paraId="2D331CBA">
                  <w:pPr>
                    <w:adjustRightInd w:val="0"/>
                    <w:jc w:val="center"/>
                    <w:textAlignment w:val="baseline"/>
                    <w:rPr>
                      <w:kern w:val="0"/>
                      <w:sz w:val="18"/>
                      <w:szCs w:val="18"/>
                    </w:rPr>
                  </w:pPr>
                  <w:r>
                    <w:rPr>
                      <w:kern w:val="0"/>
                      <w:sz w:val="18"/>
                      <w:szCs w:val="18"/>
                    </w:rPr>
                    <w:t>设备维护过程</w:t>
                  </w:r>
                </w:p>
              </w:tc>
              <w:tc>
                <w:tcPr>
                  <w:tcW w:w="450" w:type="dxa"/>
                  <w:vAlign w:val="center"/>
                </w:tcPr>
                <w:p w14:paraId="5119885F">
                  <w:pPr>
                    <w:adjustRightInd w:val="0"/>
                    <w:jc w:val="center"/>
                    <w:textAlignment w:val="baseline"/>
                    <w:rPr>
                      <w:kern w:val="0"/>
                      <w:sz w:val="18"/>
                      <w:szCs w:val="18"/>
                    </w:rPr>
                  </w:pPr>
                  <w:r>
                    <w:rPr>
                      <w:kern w:val="0"/>
                      <w:sz w:val="18"/>
                      <w:szCs w:val="18"/>
                    </w:rPr>
                    <w:t>液态</w:t>
                  </w:r>
                </w:p>
              </w:tc>
              <w:tc>
                <w:tcPr>
                  <w:tcW w:w="575" w:type="dxa"/>
                  <w:vAlign w:val="center"/>
                </w:tcPr>
                <w:p w14:paraId="51EC5238">
                  <w:pPr>
                    <w:adjustRightInd w:val="0"/>
                    <w:jc w:val="center"/>
                    <w:textAlignment w:val="baseline"/>
                    <w:rPr>
                      <w:kern w:val="0"/>
                      <w:sz w:val="18"/>
                      <w:szCs w:val="18"/>
                    </w:rPr>
                  </w:pPr>
                  <w:r>
                    <w:rPr>
                      <w:kern w:val="0"/>
                      <w:sz w:val="18"/>
                      <w:szCs w:val="18"/>
                    </w:rPr>
                    <w:t>矿物油</w:t>
                  </w:r>
                </w:p>
              </w:tc>
              <w:tc>
                <w:tcPr>
                  <w:tcW w:w="650" w:type="dxa"/>
                  <w:vAlign w:val="center"/>
                </w:tcPr>
                <w:p w14:paraId="7CE4C42A">
                  <w:pPr>
                    <w:adjustRightInd w:val="0"/>
                    <w:jc w:val="center"/>
                    <w:textAlignment w:val="baseline"/>
                    <w:rPr>
                      <w:kern w:val="0"/>
                      <w:sz w:val="18"/>
                      <w:szCs w:val="18"/>
                    </w:rPr>
                  </w:pPr>
                  <w:r>
                    <w:rPr>
                      <w:kern w:val="0"/>
                      <w:sz w:val="18"/>
                      <w:szCs w:val="18"/>
                    </w:rPr>
                    <w:t>矿物油</w:t>
                  </w:r>
                </w:p>
              </w:tc>
              <w:tc>
                <w:tcPr>
                  <w:tcW w:w="450" w:type="dxa"/>
                  <w:vAlign w:val="center"/>
                </w:tcPr>
                <w:p w14:paraId="3F9EF537">
                  <w:pPr>
                    <w:adjustRightInd w:val="0"/>
                    <w:jc w:val="center"/>
                    <w:textAlignment w:val="baseline"/>
                    <w:rPr>
                      <w:kern w:val="0"/>
                      <w:sz w:val="18"/>
                      <w:szCs w:val="18"/>
                    </w:rPr>
                  </w:pPr>
                  <w:r>
                    <w:rPr>
                      <w:kern w:val="0"/>
                      <w:sz w:val="18"/>
                      <w:szCs w:val="18"/>
                    </w:rPr>
                    <w:t>每年</w:t>
                  </w:r>
                </w:p>
              </w:tc>
              <w:tc>
                <w:tcPr>
                  <w:tcW w:w="438" w:type="dxa"/>
                  <w:vAlign w:val="center"/>
                </w:tcPr>
                <w:p w14:paraId="6DB291F4">
                  <w:pPr>
                    <w:adjustRightInd w:val="0"/>
                    <w:jc w:val="center"/>
                    <w:textAlignment w:val="baseline"/>
                    <w:rPr>
                      <w:kern w:val="0"/>
                      <w:sz w:val="18"/>
                      <w:szCs w:val="18"/>
                    </w:rPr>
                  </w:pPr>
                  <w:r>
                    <w:rPr>
                      <w:kern w:val="0"/>
                      <w:sz w:val="18"/>
                      <w:szCs w:val="18"/>
                    </w:rPr>
                    <w:t>T，I</w:t>
                  </w:r>
                </w:p>
              </w:tc>
              <w:tc>
                <w:tcPr>
                  <w:tcW w:w="1440" w:type="dxa"/>
                  <w:vMerge w:val="restart"/>
                  <w:vAlign w:val="center"/>
                </w:tcPr>
                <w:p w14:paraId="3BDFED0F">
                  <w:pPr>
                    <w:adjustRightInd w:val="0"/>
                    <w:jc w:val="center"/>
                    <w:textAlignment w:val="baseline"/>
                    <w:rPr>
                      <w:kern w:val="0"/>
                      <w:sz w:val="18"/>
                      <w:szCs w:val="18"/>
                    </w:rPr>
                  </w:pPr>
                  <w:r>
                    <w:rPr>
                      <w:kern w:val="0"/>
                      <w:sz w:val="18"/>
                      <w:szCs w:val="18"/>
                    </w:rPr>
                    <w:t>废齿轮油装入铁桶并加盖密封，与废油桶、废蓄电池暂存于</w:t>
                  </w:r>
                  <w:r>
                    <w:rPr>
                      <w:rFonts w:hint="eastAsia"/>
                      <w:kern w:val="0"/>
                      <w:sz w:val="18"/>
                      <w:szCs w:val="18"/>
                    </w:rPr>
                    <w:t>危废贮存库</w:t>
                  </w:r>
                  <w:r>
                    <w:rPr>
                      <w:kern w:val="0"/>
                      <w:sz w:val="18"/>
                      <w:szCs w:val="18"/>
                    </w:rPr>
                    <w:t>内，废变压器油不在厂区储存，</w:t>
                  </w:r>
                  <w:r>
                    <w:rPr>
                      <w:rFonts w:hint="eastAsia"/>
                      <w:kern w:val="0"/>
                      <w:sz w:val="18"/>
                      <w:szCs w:val="18"/>
                    </w:rPr>
                    <w:t>及时</w:t>
                  </w:r>
                  <w:r>
                    <w:rPr>
                      <w:kern w:val="0"/>
                      <w:sz w:val="18"/>
                      <w:szCs w:val="18"/>
                    </w:rPr>
                    <w:t>委托有</w:t>
                  </w:r>
                  <w:r>
                    <w:rPr>
                      <w:rFonts w:hint="eastAsia"/>
                      <w:kern w:val="0"/>
                      <w:sz w:val="18"/>
                      <w:szCs w:val="18"/>
                    </w:rPr>
                    <w:t>资质</w:t>
                  </w:r>
                  <w:r>
                    <w:rPr>
                      <w:kern w:val="0"/>
                      <w:sz w:val="18"/>
                      <w:szCs w:val="18"/>
                    </w:rPr>
                    <w:t>单位处置</w:t>
                  </w:r>
                </w:p>
              </w:tc>
            </w:tr>
            <w:tr w14:paraId="3E23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1836D401">
                  <w:pPr>
                    <w:adjustRightInd w:val="0"/>
                    <w:jc w:val="center"/>
                    <w:textAlignment w:val="baseline"/>
                    <w:rPr>
                      <w:kern w:val="0"/>
                      <w:sz w:val="18"/>
                      <w:szCs w:val="18"/>
                    </w:rPr>
                  </w:pPr>
                  <w:r>
                    <w:rPr>
                      <w:kern w:val="0"/>
                      <w:sz w:val="18"/>
                      <w:szCs w:val="18"/>
                    </w:rPr>
                    <w:t>2</w:t>
                  </w:r>
                </w:p>
              </w:tc>
              <w:tc>
                <w:tcPr>
                  <w:tcW w:w="745" w:type="dxa"/>
                  <w:vAlign w:val="center"/>
                </w:tcPr>
                <w:p w14:paraId="0E3297D6">
                  <w:pPr>
                    <w:adjustRightInd w:val="0"/>
                    <w:jc w:val="center"/>
                    <w:textAlignment w:val="baseline"/>
                    <w:rPr>
                      <w:kern w:val="0"/>
                      <w:sz w:val="18"/>
                      <w:szCs w:val="18"/>
                    </w:rPr>
                  </w:pPr>
                  <w:r>
                    <w:rPr>
                      <w:kern w:val="0"/>
                      <w:sz w:val="18"/>
                      <w:szCs w:val="18"/>
                    </w:rPr>
                    <w:t>废油桶</w:t>
                  </w:r>
                </w:p>
              </w:tc>
              <w:tc>
                <w:tcPr>
                  <w:tcW w:w="587" w:type="dxa"/>
                  <w:vAlign w:val="center"/>
                </w:tcPr>
                <w:p w14:paraId="600C02A0">
                  <w:pPr>
                    <w:adjustRightInd w:val="0"/>
                    <w:jc w:val="center"/>
                    <w:textAlignment w:val="baseline"/>
                    <w:rPr>
                      <w:kern w:val="0"/>
                      <w:sz w:val="18"/>
                      <w:szCs w:val="18"/>
                    </w:rPr>
                  </w:pPr>
                  <w:r>
                    <w:rPr>
                      <w:kern w:val="0"/>
                      <w:sz w:val="18"/>
                      <w:szCs w:val="18"/>
                    </w:rPr>
                    <w:t>HW08</w:t>
                  </w:r>
                </w:p>
              </w:tc>
              <w:tc>
                <w:tcPr>
                  <w:tcW w:w="850" w:type="dxa"/>
                  <w:vAlign w:val="center"/>
                </w:tcPr>
                <w:p w14:paraId="70133362">
                  <w:pPr>
                    <w:adjustRightInd w:val="0"/>
                    <w:jc w:val="center"/>
                    <w:textAlignment w:val="baseline"/>
                    <w:rPr>
                      <w:kern w:val="0"/>
                      <w:sz w:val="18"/>
                      <w:szCs w:val="18"/>
                    </w:rPr>
                  </w:pPr>
                  <w:r>
                    <w:rPr>
                      <w:kern w:val="0"/>
                      <w:sz w:val="18"/>
                      <w:szCs w:val="18"/>
                    </w:rPr>
                    <w:t>900-249-08</w:t>
                  </w:r>
                </w:p>
              </w:tc>
              <w:tc>
                <w:tcPr>
                  <w:tcW w:w="438" w:type="dxa"/>
                  <w:vMerge w:val="continue"/>
                  <w:vAlign w:val="center"/>
                </w:tcPr>
                <w:p w14:paraId="45A9753A">
                  <w:pPr>
                    <w:adjustRightInd w:val="0"/>
                    <w:jc w:val="center"/>
                    <w:textAlignment w:val="baseline"/>
                    <w:rPr>
                      <w:kern w:val="0"/>
                      <w:sz w:val="18"/>
                      <w:szCs w:val="18"/>
                    </w:rPr>
                  </w:pPr>
                </w:p>
              </w:tc>
              <w:tc>
                <w:tcPr>
                  <w:tcW w:w="625" w:type="dxa"/>
                  <w:vAlign w:val="center"/>
                </w:tcPr>
                <w:p w14:paraId="7FC304B4">
                  <w:pPr>
                    <w:adjustRightInd w:val="0"/>
                    <w:jc w:val="center"/>
                    <w:textAlignment w:val="baseline"/>
                    <w:rPr>
                      <w:kern w:val="0"/>
                      <w:sz w:val="18"/>
                      <w:szCs w:val="18"/>
                    </w:rPr>
                  </w:pPr>
                  <w:r>
                    <w:rPr>
                      <w:kern w:val="0"/>
                      <w:sz w:val="18"/>
                      <w:szCs w:val="18"/>
                    </w:rPr>
                    <w:t>0.05</w:t>
                  </w:r>
                </w:p>
              </w:tc>
              <w:tc>
                <w:tcPr>
                  <w:tcW w:w="937" w:type="dxa"/>
                  <w:vMerge w:val="continue"/>
                  <w:vAlign w:val="center"/>
                </w:tcPr>
                <w:p w14:paraId="78954F1A">
                  <w:pPr>
                    <w:adjustRightInd w:val="0"/>
                    <w:jc w:val="center"/>
                    <w:textAlignment w:val="baseline"/>
                    <w:rPr>
                      <w:kern w:val="0"/>
                      <w:sz w:val="18"/>
                      <w:szCs w:val="18"/>
                    </w:rPr>
                  </w:pPr>
                </w:p>
              </w:tc>
              <w:tc>
                <w:tcPr>
                  <w:tcW w:w="450" w:type="dxa"/>
                  <w:vAlign w:val="center"/>
                </w:tcPr>
                <w:p w14:paraId="1D2717BA">
                  <w:pPr>
                    <w:adjustRightInd w:val="0"/>
                    <w:jc w:val="center"/>
                    <w:textAlignment w:val="baseline"/>
                    <w:rPr>
                      <w:kern w:val="0"/>
                      <w:sz w:val="18"/>
                      <w:szCs w:val="18"/>
                    </w:rPr>
                  </w:pPr>
                  <w:r>
                    <w:rPr>
                      <w:kern w:val="0"/>
                      <w:sz w:val="18"/>
                      <w:szCs w:val="18"/>
                    </w:rPr>
                    <w:t>固态</w:t>
                  </w:r>
                </w:p>
              </w:tc>
              <w:tc>
                <w:tcPr>
                  <w:tcW w:w="575" w:type="dxa"/>
                  <w:vAlign w:val="center"/>
                </w:tcPr>
                <w:p w14:paraId="59A2F5CD">
                  <w:pPr>
                    <w:adjustRightInd w:val="0"/>
                    <w:jc w:val="center"/>
                    <w:textAlignment w:val="baseline"/>
                    <w:rPr>
                      <w:kern w:val="0"/>
                      <w:sz w:val="18"/>
                      <w:szCs w:val="18"/>
                    </w:rPr>
                  </w:pPr>
                  <w:r>
                    <w:rPr>
                      <w:kern w:val="0"/>
                      <w:sz w:val="18"/>
                      <w:szCs w:val="18"/>
                    </w:rPr>
                    <w:t>矿物油、铁</w:t>
                  </w:r>
                </w:p>
              </w:tc>
              <w:tc>
                <w:tcPr>
                  <w:tcW w:w="650" w:type="dxa"/>
                  <w:vAlign w:val="center"/>
                </w:tcPr>
                <w:p w14:paraId="2A48C140">
                  <w:pPr>
                    <w:adjustRightInd w:val="0"/>
                    <w:jc w:val="center"/>
                    <w:textAlignment w:val="baseline"/>
                    <w:rPr>
                      <w:kern w:val="0"/>
                      <w:sz w:val="18"/>
                      <w:szCs w:val="18"/>
                    </w:rPr>
                  </w:pPr>
                  <w:r>
                    <w:rPr>
                      <w:kern w:val="0"/>
                      <w:sz w:val="18"/>
                      <w:szCs w:val="18"/>
                    </w:rPr>
                    <w:t>矿物油</w:t>
                  </w:r>
                </w:p>
              </w:tc>
              <w:tc>
                <w:tcPr>
                  <w:tcW w:w="450" w:type="dxa"/>
                  <w:vAlign w:val="center"/>
                </w:tcPr>
                <w:p w14:paraId="463EC3FC">
                  <w:pPr>
                    <w:adjustRightInd w:val="0"/>
                    <w:jc w:val="center"/>
                    <w:textAlignment w:val="baseline"/>
                    <w:rPr>
                      <w:kern w:val="0"/>
                      <w:sz w:val="18"/>
                      <w:szCs w:val="18"/>
                    </w:rPr>
                  </w:pPr>
                  <w:r>
                    <w:rPr>
                      <w:kern w:val="0"/>
                      <w:sz w:val="18"/>
                      <w:szCs w:val="18"/>
                    </w:rPr>
                    <w:t>每年</w:t>
                  </w:r>
                </w:p>
              </w:tc>
              <w:tc>
                <w:tcPr>
                  <w:tcW w:w="438" w:type="dxa"/>
                  <w:vAlign w:val="center"/>
                </w:tcPr>
                <w:p w14:paraId="1D84300E">
                  <w:pPr>
                    <w:adjustRightInd w:val="0"/>
                    <w:jc w:val="center"/>
                    <w:textAlignment w:val="baseline"/>
                    <w:rPr>
                      <w:kern w:val="0"/>
                      <w:sz w:val="18"/>
                      <w:szCs w:val="18"/>
                    </w:rPr>
                  </w:pPr>
                  <w:r>
                    <w:rPr>
                      <w:kern w:val="0"/>
                      <w:sz w:val="18"/>
                      <w:szCs w:val="18"/>
                    </w:rPr>
                    <w:t>T，I</w:t>
                  </w:r>
                </w:p>
              </w:tc>
              <w:tc>
                <w:tcPr>
                  <w:tcW w:w="1440" w:type="dxa"/>
                  <w:vMerge w:val="continue"/>
                  <w:vAlign w:val="center"/>
                </w:tcPr>
                <w:p w14:paraId="2B16DB41">
                  <w:pPr>
                    <w:adjustRightInd w:val="0"/>
                    <w:jc w:val="center"/>
                    <w:textAlignment w:val="baseline"/>
                    <w:rPr>
                      <w:kern w:val="0"/>
                      <w:sz w:val="18"/>
                      <w:szCs w:val="18"/>
                    </w:rPr>
                  </w:pPr>
                </w:p>
              </w:tc>
            </w:tr>
            <w:tr w14:paraId="0BE6D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68D940E3">
                  <w:pPr>
                    <w:adjustRightInd w:val="0"/>
                    <w:jc w:val="center"/>
                    <w:textAlignment w:val="baseline"/>
                    <w:rPr>
                      <w:kern w:val="0"/>
                      <w:sz w:val="18"/>
                      <w:szCs w:val="18"/>
                    </w:rPr>
                  </w:pPr>
                  <w:r>
                    <w:rPr>
                      <w:kern w:val="0"/>
                      <w:sz w:val="18"/>
                      <w:szCs w:val="18"/>
                    </w:rPr>
                    <w:t>3</w:t>
                  </w:r>
                </w:p>
              </w:tc>
              <w:tc>
                <w:tcPr>
                  <w:tcW w:w="745" w:type="dxa"/>
                  <w:vAlign w:val="center"/>
                </w:tcPr>
                <w:p w14:paraId="160BE336">
                  <w:pPr>
                    <w:adjustRightInd w:val="0"/>
                    <w:jc w:val="center"/>
                    <w:textAlignment w:val="baseline"/>
                    <w:rPr>
                      <w:kern w:val="0"/>
                      <w:sz w:val="18"/>
                      <w:szCs w:val="18"/>
                    </w:rPr>
                  </w:pPr>
                  <w:r>
                    <w:rPr>
                      <w:kern w:val="0"/>
                      <w:sz w:val="18"/>
                      <w:szCs w:val="18"/>
                    </w:rPr>
                    <w:t>废变压器油</w:t>
                  </w:r>
                </w:p>
              </w:tc>
              <w:tc>
                <w:tcPr>
                  <w:tcW w:w="587" w:type="dxa"/>
                  <w:vAlign w:val="center"/>
                </w:tcPr>
                <w:p w14:paraId="5AF9DD3F">
                  <w:pPr>
                    <w:adjustRightInd w:val="0"/>
                    <w:jc w:val="center"/>
                    <w:textAlignment w:val="baseline"/>
                    <w:rPr>
                      <w:kern w:val="0"/>
                      <w:sz w:val="18"/>
                      <w:szCs w:val="18"/>
                    </w:rPr>
                  </w:pPr>
                  <w:r>
                    <w:rPr>
                      <w:kern w:val="0"/>
                      <w:sz w:val="18"/>
                      <w:szCs w:val="18"/>
                    </w:rPr>
                    <w:t>HW08</w:t>
                  </w:r>
                </w:p>
              </w:tc>
              <w:tc>
                <w:tcPr>
                  <w:tcW w:w="850" w:type="dxa"/>
                  <w:vAlign w:val="center"/>
                </w:tcPr>
                <w:p w14:paraId="4E62A215">
                  <w:pPr>
                    <w:adjustRightInd w:val="0"/>
                    <w:jc w:val="center"/>
                    <w:textAlignment w:val="baseline"/>
                    <w:rPr>
                      <w:kern w:val="0"/>
                      <w:sz w:val="18"/>
                      <w:szCs w:val="18"/>
                    </w:rPr>
                  </w:pPr>
                  <w:r>
                    <w:rPr>
                      <w:kern w:val="0"/>
                      <w:sz w:val="18"/>
                      <w:szCs w:val="18"/>
                    </w:rPr>
                    <w:t>900-220-08</w:t>
                  </w:r>
                </w:p>
              </w:tc>
              <w:tc>
                <w:tcPr>
                  <w:tcW w:w="438" w:type="dxa"/>
                  <w:vMerge w:val="continue"/>
                  <w:vAlign w:val="center"/>
                </w:tcPr>
                <w:p w14:paraId="48C3C518">
                  <w:pPr>
                    <w:adjustRightInd w:val="0"/>
                    <w:jc w:val="center"/>
                    <w:textAlignment w:val="baseline"/>
                    <w:rPr>
                      <w:kern w:val="0"/>
                      <w:sz w:val="18"/>
                      <w:szCs w:val="18"/>
                    </w:rPr>
                  </w:pPr>
                </w:p>
              </w:tc>
              <w:tc>
                <w:tcPr>
                  <w:tcW w:w="625" w:type="dxa"/>
                  <w:vAlign w:val="center"/>
                </w:tcPr>
                <w:p w14:paraId="35ACA90E">
                  <w:pPr>
                    <w:adjustRightInd w:val="0"/>
                    <w:jc w:val="center"/>
                    <w:textAlignment w:val="baseline"/>
                    <w:rPr>
                      <w:kern w:val="0"/>
                      <w:sz w:val="18"/>
                      <w:szCs w:val="18"/>
                    </w:rPr>
                  </w:pPr>
                  <w:r>
                    <w:rPr>
                      <w:kern w:val="0"/>
                      <w:sz w:val="18"/>
                      <w:szCs w:val="18"/>
                    </w:rPr>
                    <w:t>29.4</w:t>
                  </w:r>
                </w:p>
              </w:tc>
              <w:tc>
                <w:tcPr>
                  <w:tcW w:w="937" w:type="dxa"/>
                  <w:vAlign w:val="center"/>
                </w:tcPr>
                <w:p w14:paraId="4CE9A420">
                  <w:pPr>
                    <w:adjustRightInd w:val="0"/>
                    <w:jc w:val="center"/>
                    <w:textAlignment w:val="baseline"/>
                    <w:rPr>
                      <w:kern w:val="0"/>
                      <w:sz w:val="18"/>
                      <w:szCs w:val="18"/>
                    </w:rPr>
                  </w:pPr>
                  <w:r>
                    <w:rPr>
                      <w:kern w:val="0"/>
                      <w:sz w:val="18"/>
                      <w:szCs w:val="18"/>
                    </w:rPr>
                    <w:t>变压器维护或事故过程</w:t>
                  </w:r>
                </w:p>
              </w:tc>
              <w:tc>
                <w:tcPr>
                  <w:tcW w:w="450" w:type="dxa"/>
                  <w:vAlign w:val="center"/>
                </w:tcPr>
                <w:p w14:paraId="62DA172D">
                  <w:pPr>
                    <w:adjustRightInd w:val="0"/>
                    <w:jc w:val="center"/>
                    <w:textAlignment w:val="baseline"/>
                    <w:rPr>
                      <w:kern w:val="0"/>
                      <w:sz w:val="18"/>
                      <w:szCs w:val="18"/>
                    </w:rPr>
                  </w:pPr>
                  <w:r>
                    <w:rPr>
                      <w:kern w:val="0"/>
                      <w:sz w:val="18"/>
                      <w:szCs w:val="18"/>
                    </w:rPr>
                    <w:t>液态</w:t>
                  </w:r>
                </w:p>
              </w:tc>
              <w:tc>
                <w:tcPr>
                  <w:tcW w:w="575" w:type="dxa"/>
                  <w:vAlign w:val="center"/>
                </w:tcPr>
                <w:p w14:paraId="226545D6">
                  <w:pPr>
                    <w:adjustRightInd w:val="0"/>
                    <w:jc w:val="center"/>
                    <w:textAlignment w:val="baseline"/>
                    <w:rPr>
                      <w:kern w:val="0"/>
                      <w:sz w:val="18"/>
                      <w:szCs w:val="18"/>
                    </w:rPr>
                  </w:pPr>
                  <w:r>
                    <w:rPr>
                      <w:kern w:val="0"/>
                      <w:sz w:val="18"/>
                      <w:szCs w:val="18"/>
                    </w:rPr>
                    <w:t>矿物油</w:t>
                  </w:r>
                </w:p>
              </w:tc>
              <w:tc>
                <w:tcPr>
                  <w:tcW w:w="650" w:type="dxa"/>
                  <w:vAlign w:val="center"/>
                </w:tcPr>
                <w:p w14:paraId="48F9AA9A">
                  <w:pPr>
                    <w:adjustRightInd w:val="0"/>
                    <w:jc w:val="center"/>
                    <w:textAlignment w:val="baseline"/>
                    <w:rPr>
                      <w:kern w:val="0"/>
                      <w:sz w:val="18"/>
                      <w:szCs w:val="18"/>
                    </w:rPr>
                  </w:pPr>
                  <w:r>
                    <w:rPr>
                      <w:kern w:val="0"/>
                      <w:sz w:val="18"/>
                      <w:szCs w:val="18"/>
                    </w:rPr>
                    <w:t>矿物油</w:t>
                  </w:r>
                </w:p>
              </w:tc>
              <w:tc>
                <w:tcPr>
                  <w:tcW w:w="450" w:type="dxa"/>
                  <w:vAlign w:val="center"/>
                </w:tcPr>
                <w:p w14:paraId="143C654A">
                  <w:pPr>
                    <w:adjustRightInd w:val="0"/>
                    <w:jc w:val="center"/>
                    <w:textAlignment w:val="baseline"/>
                    <w:rPr>
                      <w:kern w:val="0"/>
                      <w:sz w:val="18"/>
                      <w:szCs w:val="18"/>
                    </w:rPr>
                  </w:pPr>
                  <w:r>
                    <w:rPr>
                      <w:kern w:val="0"/>
                      <w:sz w:val="18"/>
                      <w:szCs w:val="18"/>
                    </w:rPr>
                    <w:t>每年</w:t>
                  </w:r>
                </w:p>
              </w:tc>
              <w:tc>
                <w:tcPr>
                  <w:tcW w:w="438" w:type="dxa"/>
                  <w:vAlign w:val="center"/>
                </w:tcPr>
                <w:p w14:paraId="7AB473D6">
                  <w:pPr>
                    <w:adjustRightInd w:val="0"/>
                    <w:jc w:val="center"/>
                    <w:textAlignment w:val="baseline"/>
                    <w:rPr>
                      <w:kern w:val="0"/>
                      <w:sz w:val="18"/>
                      <w:szCs w:val="18"/>
                    </w:rPr>
                  </w:pPr>
                  <w:r>
                    <w:rPr>
                      <w:kern w:val="0"/>
                      <w:sz w:val="18"/>
                      <w:szCs w:val="18"/>
                    </w:rPr>
                    <w:t>T，I</w:t>
                  </w:r>
                </w:p>
              </w:tc>
              <w:tc>
                <w:tcPr>
                  <w:tcW w:w="1440" w:type="dxa"/>
                  <w:vMerge w:val="continue"/>
                  <w:vAlign w:val="center"/>
                </w:tcPr>
                <w:p w14:paraId="6FFD3B77">
                  <w:pPr>
                    <w:adjustRightInd w:val="0"/>
                    <w:jc w:val="center"/>
                    <w:textAlignment w:val="baseline"/>
                    <w:rPr>
                      <w:kern w:val="0"/>
                      <w:sz w:val="18"/>
                      <w:szCs w:val="18"/>
                    </w:rPr>
                  </w:pPr>
                </w:p>
              </w:tc>
            </w:tr>
            <w:tr w14:paraId="33BCD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9" w:type="dxa"/>
                  <w:vAlign w:val="center"/>
                </w:tcPr>
                <w:p w14:paraId="3B5152BE">
                  <w:pPr>
                    <w:adjustRightInd w:val="0"/>
                    <w:jc w:val="center"/>
                    <w:textAlignment w:val="baseline"/>
                    <w:rPr>
                      <w:kern w:val="0"/>
                      <w:sz w:val="18"/>
                      <w:szCs w:val="18"/>
                    </w:rPr>
                  </w:pPr>
                  <w:r>
                    <w:rPr>
                      <w:kern w:val="0"/>
                      <w:sz w:val="18"/>
                      <w:szCs w:val="18"/>
                    </w:rPr>
                    <w:t>4</w:t>
                  </w:r>
                </w:p>
              </w:tc>
              <w:tc>
                <w:tcPr>
                  <w:tcW w:w="745" w:type="dxa"/>
                  <w:vAlign w:val="center"/>
                </w:tcPr>
                <w:p w14:paraId="56BA8764">
                  <w:pPr>
                    <w:adjustRightInd w:val="0"/>
                    <w:jc w:val="center"/>
                    <w:textAlignment w:val="baseline"/>
                    <w:rPr>
                      <w:kern w:val="0"/>
                      <w:sz w:val="18"/>
                      <w:szCs w:val="18"/>
                    </w:rPr>
                  </w:pPr>
                  <w:r>
                    <w:rPr>
                      <w:kern w:val="0"/>
                      <w:sz w:val="18"/>
                      <w:szCs w:val="18"/>
                    </w:rPr>
                    <w:t>废蓄电池</w:t>
                  </w:r>
                </w:p>
              </w:tc>
              <w:tc>
                <w:tcPr>
                  <w:tcW w:w="587" w:type="dxa"/>
                  <w:vAlign w:val="center"/>
                </w:tcPr>
                <w:p w14:paraId="2C9E9DD2">
                  <w:pPr>
                    <w:adjustRightInd w:val="0"/>
                    <w:jc w:val="center"/>
                    <w:textAlignment w:val="baseline"/>
                    <w:rPr>
                      <w:kern w:val="0"/>
                      <w:sz w:val="18"/>
                      <w:szCs w:val="18"/>
                    </w:rPr>
                  </w:pPr>
                  <w:r>
                    <w:rPr>
                      <w:kern w:val="0"/>
                      <w:sz w:val="18"/>
                      <w:szCs w:val="18"/>
                    </w:rPr>
                    <w:t>HW31</w:t>
                  </w:r>
                </w:p>
              </w:tc>
              <w:tc>
                <w:tcPr>
                  <w:tcW w:w="850" w:type="dxa"/>
                  <w:vAlign w:val="center"/>
                </w:tcPr>
                <w:p w14:paraId="4E18B1BC">
                  <w:pPr>
                    <w:adjustRightInd w:val="0"/>
                    <w:jc w:val="center"/>
                    <w:textAlignment w:val="baseline"/>
                    <w:rPr>
                      <w:kern w:val="0"/>
                      <w:sz w:val="18"/>
                      <w:szCs w:val="18"/>
                    </w:rPr>
                  </w:pPr>
                  <w:r>
                    <w:rPr>
                      <w:kern w:val="0"/>
                      <w:sz w:val="18"/>
                      <w:szCs w:val="18"/>
                    </w:rPr>
                    <w:t>900-052-31</w:t>
                  </w:r>
                </w:p>
              </w:tc>
              <w:tc>
                <w:tcPr>
                  <w:tcW w:w="438" w:type="dxa"/>
                  <w:vMerge w:val="continue"/>
                  <w:vAlign w:val="center"/>
                </w:tcPr>
                <w:p w14:paraId="1458876E">
                  <w:pPr>
                    <w:adjustRightInd w:val="0"/>
                    <w:jc w:val="center"/>
                    <w:textAlignment w:val="baseline"/>
                    <w:rPr>
                      <w:kern w:val="0"/>
                      <w:sz w:val="18"/>
                      <w:szCs w:val="18"/>
                    </w:rPr>
                  </w:pPr>
                </w:p>
              </w:tc>
              <w:tc>
                <w:tcPr>
                  <w:tcW w:w="625" w:type="dxa"/>
                  <w:vAlign w:val="center"/>
                </w:tcPr>
                <w:p w14:paraId="05E6B66A">
                  <w:pPr>
                    <w:adjustRightInd w:val="0"/>
                    <w:jc w:val="center"/>
                    <w:textAlignment w:val="baseline"/>
                    <w:rPr>
                      <w:kern w:val="0"/>
                      <w:sz w:val="18"/>
                      <w:szCs w:val="18"/>
                    </w:rPr>
                  </w:pPr>
                  <w:r>
                    <w:rPr>
                      <w:kern w:val="0"/>
                      <w:sz w:val="18"/>
                      <w:szCs w:val="18"/>
                    </w:rPr>
                    <w:t>0.5t/10a</w:t>
                  </w:r>
                </w:p>
              </w:tc>
              <w:tc>
                <w:tcPr>
                  <w:tcW w:w="937" w:type="dxa"/>
                  <w:vAlign w:val="center"/>
                </w:tcPr>
                <w:p w14:paraId="48562FB6">
                  <w:pPr>
                    <w:adjustRightInd w:val="0"/>
                    <w:jc w:val="center"/>
                    <w:textAlignment w:val="baseline"/>
                    <w:rPr>
                      <w:kern w:val="0"/>
                      <w:sz w:val="18"/>
                      <w:szCs w:val="18"/>
                    </w:rPr>
                  </w:pPr>
                  <w:r>
                    <w:rPr>
                      <w:kern w:val="0"/>
                      <w:sz w:val="18"/>
                      <w:szCs w:val="18"/>
                    </w:rPr>
                    <w:t>备用电源</w:t>
                  </w:r>
                </w:p>
              </w:tc>
              <w:tc>
                <w:tcPr>
                  <w:tcW w:w="450" w:type="dxa"/>
                  <w:vAlign w:val="center"/>
                </w:tcPr>
                <w:p w14:paraId="395C807A">
                  <w:pPr>
                    <w:adjustRightInd w:val="0"/>
                    <w:jc w:val="center"/>
                    <w:textAlignment w:val="baseline"/>
                    <w:rPr>
                      <w:kern w:val="0"/>
                      <w:sz w:val="18"/>
                      <w:szCs w:val="18"/>
                    </w:rPr>
                  </w:pPr>
                  <w:r>
                    <w:rPr>
                      <w:kern w:val="0"/>
                      <w:sz w:val="18"/>
                      <w:szCs w:val="18"/>
                    </w:rPr>
                    <w:t>固态</w:t>
                  </w:r>
                </w:p>
              </w:tc>
              <w:tc>
                <w:tcPr>
                  <w:tcW w:w="575" w:type="dxa"/>
                  <w:vAlign w:val="center"/>
                </w:tcPr>
                <w:p w14:paraId="5A32EC6E">
                  <w:pPr>
                    <w:adjustRightInd w:val="0"/>
                    <w:jc w:val="center"/>
                    <w:textAlignment w:val="baseline"/>
                    <w:rPr>
                      <w:kern w:val="0"/>
                      <w:sz w:val="18"/>
                      <w:szCs w:val="18"/>
                    </w:rPr>
                  </w:pPr>
                  <w:r>
                    <w:rPr>
                      <w:kern w:val="0"/>
                      <w:sz w:val="18"/>
                      <w:szCs w:val="18"/>
                    </w:rPr>
                    <w:t>重金属铅、酸</w:t>
                  </w:r>
                </w:p>
              </w:tc>
              <w:tc>
                <w:tcPr>
                  <w:tcW w:w="650" w:type="dxa"/>
                  <w:vAlign w:val="center"/>
                </w:tcPr>
                <w:p w14:paraId="2003E7C8">
                  <w:pPr>
                    <w:adjustRightInd w:val="0"/>
                    <w:jc w:val="center"/>
                    <w:textAlignment w:val="baseline"/>
                    <w:rPr>
                      <w:kern w:val="0"/>
                      <w:sz w:val="18"/>
                      <w:szCs w:val="18"/>
                    </w:rPr>
                  </w:pPr>
                  <w:r>
                    <w:rPr>
                      <w:kern w:val="0"/>
                      <w:sz w:val="18"/>
                      <w:szCs w:val="18"/>
                    </w:rPr>
                    <w:t>重金属铅、酸</w:t>
                  </w:r>
                </w:p>
              </w:tc>
              <w:tc>
                <w:tcPr>
                  <w:tcW w:w="450" w:type="dxa"/>
                  <w:vAlign w:val="center"/>
                </w:tcPr>
                <w:p w14:paraId="33AD5843">
                  <w:pPr>
                    <w:adjustRightInd w:val="0"/>
                    <w:jc w:val="center"/>
                    <w:textAlignment w:val="baseline"/>
                    <w:rPr>
                      <w:kern w:val="0"/>
                      <w:sz w:val="18"/>
                      <w:szCs w:val="18"/>
                    </w:rPr>
                  </w:pPr>
                  <w:r>
                    <w:rPr>
                      <w:kern w:val="0"/>
                      <w:sz w:val="18"/>
                      <w:szCs w:val="18"/>
                    </w:rPr>
                    <w:t>每10年</w:t>
                  </w:r>
                </w:p>
              </w:tc>
              <w:tc>
                <w:tcPr>
                  <w:tcW w:w="438" w:type="dxa"/>
                  <w:vAlign w:val="center"/>
                </w:tcPr>
                <w:p w14:paraId="2EE46911">
                  <w:pPr>
                    <w:adjustRightInd w:val="0"/>
                    <w:jc w:val="center"/>
                    <w:textAlignment w:val="baseline"/>
                    <w:rPr>
                      <w:kern w:val="0"/>
                      <w:sz w:val="18"/>
                      <w:szCs w:val="18"/>
                    </w:rPr>
                  </w:pPr>
                  <w:r>
                    <w:rPr>
                      <w:kern w:val="0"/>
                      <w:sz w:val="18"/>
                      <w:szCs w:val="18"/>
                    </w:rPr>
                    <w:t>T，C</w:t>
                  </w:r>
                </w:p>
              </w:tc>
              <w:tc>
                <w:tcPr>
                  <w:tcW w:w="1440" w:type="dxa"/>
                  <w:vMerge w:val="continue"/>
                  <w:vAlign w:val="center"/>
                </w:tcPr>
                <w:p w14:paraId="3D93520E">
                  <w:pPr>
                    <w:adjustRightInd w:val="0"/>
                    <w:jc w:val="center"/>
                    <w:textAlignment w:val="baseline"/>
                    <w:rPr>
                      <w:kern w:val="0"/>
                      <w:sz w:val="18"/>
                      <w:szCs w:val="18"/>
                    </w:rPr>
                  </w:pPr>
                </w:p>
              </w:tc>
            </w:tr>
          </w:tbl>
          <w:p w14:paraId="50C7AA43">
            <w:pPr>
              <w:adjustRightInd w:val="0"/>
              <w:snapToGrid w:val="0"/>
              <w:spacing w:line="480" w:lineRule="exact"/>
              <w:ind w:firstLine="480" w:firstLineChars="200"/>
              <w:rPr>
                <w:sz w:val="24"/>
              </w:rPr>
            </w:pPr>
            <w:r>
              <w:rPr>
                <w:sz w:val="24"/>
              </w:rPr>
              <w:t>本项目主变压器</w:t>
            </w:r>
            <w:r>
              <w:rPr>
                <w:rFonts w:hint="eastAsia"/>
                <w:sz w:val="24"/>
              </w:rPr>
              <w:t>和箱式变压器</w:t>
            </w:r>
            <w:r>
              <w:rPr>
                <w:sz w:val="24"/>
              </w:rPr>
              <w:t>内的变压器油更换后立即委托有资质单位处置，不在厂区内暂存，其余危险废物贮存周期最长为6个月，危废贮存库最大贮存量约为</w:t>
            </w:r>
            <w:r>
              <w:rPr>
                <w:rFonts w:hint="eastAsia"/>
                <w:sz w:val="24"/>
              </w:rPr>
              <w:t>2.025</w:t>
            </w:r>
            <w:r>
              <w:rPr>
                <w:sz w:val="24"/>
              </w:rPr>
              <w:t>t，危险废物采用密闭包装桶、包装袋或托盘贮存。本项目危险废物暂存间面积为35m</w:t>
            </w:r>
            <w:r>
              <w:rPr>
                <w:sz w:val="24"/>
                <w:vertAlign w:val="superscript"/>
              </w:rPr>
              <w:t>2</w:t>
            </w:r>
            <w:r>
              <w:rPr>
                <w:sz w:val="24"/>
              </w:rPr>
              <w:t>，贮存能力约为35t，能够满足本项目危险废物储存需求。事故废油引入事故油池，单台主变压器含油32t，则事故废油最大产生量为32t，主变事故油池容积为90m</w:t>
            </w:r>
            <w:r>
              <w:rPr>
                <w:sz w:val="24"/>
                <w:vertAlign w:val="superscript"/>
              </w:rPr>
              <w:t>3</w:t>
            </w:r>
            <w:r>
              <w:rPr>
                <w:sz w:val="24"/>
              </w:rPr>
              <w:t>，单台箱变含油2.5t，箱变事故油池容积为80m</w:t>
            </w:r>
            <w:r>
              <w:rPr>
                <w:sz w:val="24"/>
                <w:vertAlign w:val="superscript"/>
              </w:rPr>
              <w:t>3</w:t>
            </w:r>
            <w:r>
              <w:rPr>
                <w:sz w:val="24"/>
              </w:rPr>
              <w:t>，均能够满足本项目事故废油储存需求，</w:t>
            </w:r>
            <w:r>
              <w:rPr>
                <w:rFonts w:hint="eastAsia"/>
                <w:sz w:val="24"/>
              </w:rPr>
              <w:t>事故状态产生的废变压器油（事故废油）</w:t>
            </w:r>
            <w:r>
              <w:rPr>
                <w:sz w:val="24"/>
              </w:rPr>
              <w:t>立即委托有资质单位处置，不在厂区内暂存。</w:t>
            </w:r>
          </w:p>
          <w:p w14:paraId="4DC3B71A">
            <w:pPr>
              <w:spacing w:line="480" w:lineRule="exact"/>
              <w:ind w:firstLine="480" w:firstLineChars="200"/>
              <w:rPr>
                <w:sz w:val="24"/>
              </w:rPr>
            </w:pPr>
            <w:r>
              <w:rPr>
                <w:sz w:val="24"/>
              </w:rPr>
              <w:t>本项目危险废物贮存场所（设施）基本情况详见下表。</w:t>
            </w:r>
          </w:p>
          <w:p w14:paraId="4AB58F8F">
            <w:pPr>
              <w:tabs>
                <w:tab w:val="left" w:pos="1440"/>
                <w:tab w:val="left" w:pos="2627"/>
              </w:tabs>
              <w:adjustRightInd w:val="0"/>
              <w:snapToGrid w:val="0"/>
              <w:spacing w:line="480" w:lineRule="exact"/>
              <w:jc w:val="center"/>
              <w:outlineLvl w:val="4"/>
              <w:rPr>
                <w:b/>
              </w:rPr>
            </w:pPr>
            <w:r>
              <w:rPr>
                <w:b/>
              </w:rPr>
              <w:t>表4-</w:t>
            </w:r>
            <w:r>
              <w:rPr>
                <w:rFonts w:hint="eastAsia"/>
                <w:b/>
              </w:rPr>
              <w:t>10</w:t>
            </w:r>
            <w:r>
              <w:rPr>
                <w:b/>
              </w:rPr>
              <w:t xml:space="preserve">     危险废物贮存场所（设施）基本情况表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17"/>
              <w:gridCol w:w="758"/>
              <w:gridCol w:w="941"/>
              <w:gridCol w:w="764"/>
              <w:gridCol w:w="1074"/>
              <w:gridCol w:w="926"/>
              <w:gridCol w:w="998"/>
              <w:gridCol w:w="1167"/>
              <w:gridCol w:w="425"/>
            </w:tblGrid>
            <w:tr w14:paraId="1648E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17" w:type="dxa"/>
                  <w:vAlign w:val="center"/>
                </w:tcPr>
                <w:p w14:paraId="1949CF1C">
                  <w:pPr>
                    <w:adjustRightInd w:val="0"/>
                    <w:jc w:val="center"/>
                    <w:textAlignment w:val="baseline"/>
                    <w:rPr>
                      <w:kern w:val="0"/>
                      <w:szCs w:val="21"/>
                      <w:lang w:val="zh-CN"/>
                    </w:rPr>
                  </w:pPr>
                  <w:r>
                    <w:rPr>
                      <w:kern w:val="0"/>
                      <w:szCs w:val="21"/>
                      <w:lang w:val="zh-CN"/>
                    </w:rPr>
                    <w:t>序号</w:t>
                  </w:r>
                </w:p>
              </w:tc>
              <w:tc>
                <w:tcPr>
                  <w:tcW w:w="758" w:type="dxa"/>
                  <w:vAlign w:val="center"/>
                </w:tcPr>
                <w:p w14:paraId="6FCB70C3">
                  <w:pPr>
                    <w:adjustRightInd w:val="0"/>
                    <w:jc w:val="center"/>
                    <w:textAlignment w:val="baseline"/>
                    <w:rPr>
                      <w:kern w:val="0"/>
                      <w:szCs w:val="21"/>
                      <w:lang w:val="zh-CN"/>
                    </w:rPr>
                  </w:pPr>
                  <w:r>
                    <w:rPr>
                      <w:kern w:val="0"/>
                      <w:szCs w:val="21"/>
                    </w:rPr>
                    <w:t>贮存场所(设施)名称</w:t>
                  </w:r>
                </w:p>
              </w:tc>
              <w:tc>
                <w:tcPr>
                  <w:tcW w:w="941" w:type="dxa"/>
                  <w:vAlign w:val="center"/>
                </w:tcPr>
                <w:p w14:paraId="4D6E6C90">
                  <w:pPr>
                    <w:adjustRightInd w:val="0"/>
                    <w:jc w:val="center"/>
                    <w:textAlignment w:val="baseline"/>
                    <w:rPr>
                      <w:kern w:val="0"/>
                      <w:szCs w:val="21"/>
                      <w:lang w:val="zh-CN"/>
                    </w:rPr>
                  </w:pPr>
                  <w:r>
                    <w:rPr>
                      <w:kern w:val="0"/>
                      <w:szCs w:val="21"/>
                    </w:rPr>
                    <w:t>危险废物名称</w:t>
                  </w:r>
                </w:p>
              </w:tc>
              <w:tc>
                <w:tcPr>
                  <w:tcW w:w="764" w:type="dxa"/>
                  <w:vAlign w:val="center"/>
                </w:tcPr>
                <w:p w14:paraId="0A13439A">
                  <w:pPr>
                    <w:adjustRightInd w:val="0"/>
                    <w:jc w:val="center"/>
                    <w:textAlignment w:val="baseline"/>
                    <w:rPr>
                      <w:kern w:val="0"/>
                      <w:szCs w:val="21"/>
                      <w:lang w:val="zh-CN"/>
                    </w:rPr>
                  </w:pPr>
                  <w:r>
                    <w:rPr>
                      <w:kern w:val="0"/>
                      <w:szCs w:val="21"/>
                    </w:rPr>
                    <w:t>危险废物类别</w:t>
                  </w:r>
                </w:p>
              </w:tc>
              <w:tc>
                <w:tcPr>
                  <w:tcW w:w="1074" w:type="dxa"/>
                  <w:vAlign w:val="center"/>
                </w:tcPr>
                <w:p w14:paraId="191D81C9">
                  <w:pPr>
                    <w:adjustRightInd w:val="0"/>
                    <w:jc w:val="center"/>
                    <w:textAlignment w:val="baseline"/>
                    <w:rPr>
                      <w:kern w:val="0"/>
                      <w:szCs w:val="21"/>
                      <w:lang w:val="zh-CN"/>
                    </w:rPr>
                  </w:pPr>
                  <w:r>
                    <w:rPr>
                      <w:kern w:val="0"/>
                      <w:szCs w:val="21"/>
                    </w:rPr>
                    <w:t>危险废物代码</w:t>
                  </w:r>
                </w:p>
              </w:tc>
              <w:tc>
                <w:tcPr>
                  <w:tcW w:w="926" w:type="dxa"/>
                  <w:vAlign w:val="center"/>
                </w:tcPr>
                <w:p w14:paraId="5A4B2502">
                  <w:pPr>
                    <w:adjustRightInd w:val="0"/>
                    <w:jc w:val="center"/>
                    <w:textAlignment w:val="baseline"/>
                    <w:rPr>
                      <w:kern w:val="0"/>
                      <w:szCs w:val="21"/>
                      <w:lang w:val="zh-CN"/>
                    </w:rPr>
                  </w:pPr>
                  <w:r>
                    <w:rPr>
                      <w:kern w:val="0"/>
                      <w:szCs w:val="21"/>
                    </w:rPr>
                    <w:t>位置</w:t>
                  </w:r>
                </w:p>
              </w:tc>
              <w:tc>
                <w:tcPr>
                  <w:tcW w:w="998" w:type="dxa"/>
                  <w:vAlign w:val="center"/>
                </w:tcPr>
                <w:p w14:paraId="4C1DCFC1">
                  <w:pPr>
                    <w:adjustRightInd w:val="0"/>
                    <w:jc w:val="center"/>
                    <w:textAlignment w:val="baseline"/>
                    <w:rPr>
                      <w:kern w:val="0"/>
                      <w:szCs w:val="21"/>
                      <w:lang w:val="zh-CN"/>
                    </w:rPr>
                  </w:pPr>
                  <w:r>
                    <w:rPr>
                      <w:kern w:val="0"/>
                      <w:szCs w:val="21"/>
                    </w:rPr>
                    <w:t>占地面积</w:t>
                  </w:r>
                </w:p>
              </w:tc>
              <w:tc>
                <w:tcPr>
                  <w:tcW w:w="1167" w:type="dxa"/>
                  <w:vAlign w:val="center"/>
                </w:tcPr>
                <w:p w14:paraId="523E3D96">
                  <w:pPr>
                    <w:adjustRightInd w:val="0"/>
                    <w:jc w:val="center"/>
                    <w:textAlignment w:val="baseline"/>
                    <w:rPr>
                      <w:kern w:val="0"/>
                      <w:szCs w:val="21"/>
                      <w:lang w:val="zh-CN"/>
                    </w:rPr>
                  </w:pPr>
                  <w:r>
                    <w:rPr>
                      <w:kern w:val="0"/>
                      <w:szCs w:val="21"/>
                    </w:rPr>
                    <w:t>贮存方式</w:t>
                  </w:r>
                </w:p>
              </w:tc>
              <w:tc>
                <w:tcPr>
                  <w:tcW w:w="425" w:type="dxa"/>
                  <w:vAlign w:val="center"/>
                </w:tcPr>
                <w:p w14:paraId="1300671B">
                  <w:pPr>
                    <w:adjustRightInd w:val="0"/>
                    <w:jc w:val="center"/>
                    <w:textAlignment w:val="baseline"/>
                    <w:rPr>
                      <w:kern w:val="0"/>
                      <w:szCs w:val="21"/>
                    </w:rPr>
                  </w:pPr>
                  <w:r>
                    <w:rPr>
                      <w:kern w:val="0"/>
                      <w:szCs w:val="21"/>
                    </w:rPr>
                    <w:t>贮存</w:t>
                  </w:r>
                </w:p>
                <w:p w14:paraId="323FE33A">
                  <w:pPr>
                    <w:adjustRightInd w:val="0"/>
                    <w:jc w:val="center"/>
                    <w:textAlignment w:val="baseline"/>
                    <w:rPr>
                      <w:kern w:val="0"/>
                      <w:szCs w:val="21"/>
                      <w:lang w:val="zh-CN"/>
                    </w:rPr>
                  </w:pPr>
                  <w:r>
                    <w:rPr>
                      <w:kern w:val="0"/>
                      <w:szCs w:val="21"/>
                    </w:rPr>
                    <w:t>周期</w:t>
                  </w:r>
                </w:p>
              </w:tc>
            </w:tr>
            <w:tr w14:paraId="6DDB6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17" w:type="dxa"/>
                  <w:vAlign w:val="center"/>
                </w:tcPr>
                <w:p w14:paraId="4F016F59">
                  <w:pPr>
                    <w:adjustRightInd w:val="0"/>
                    <w:jc w:val="center"/>
                    <w:textAlignment w:val="baseline"/>
                    <w:rPr>
                      <w:kern w:val="0"/>
                      <w:szCs w:val="21"/>
                    </w:rPr>
                  </w:pPr>
                  <w:r>
                    <w:rPr>
                      <w:kern w:val="0"/>
                      <w:szCs w:val="21"/>
                    </w:rPr>
                    <w:t>1</w:t>
                  </w:r>
                </w:p>
              </w:tc>
              <w:tc>
                <w:tcPr>
                  <w:tcW w:w="758" w:type="dxa"/>
                  <w:vMerge w:val="restart"/>
                  <w:vAlign w:val="center"/>
                </w:tcPr>
                <w:p w14:paraId="230DFC1B">
                  <w:pPr>
                    <w:adjustRightInd w:val="0"/>
                    <w:jc w:val="center"/>
                    <w:textAlignment w:val="baseline"/>
                    <w:rPr>
                      <w:kern w:val="0"/>
                      <w:szCs w:val="21"/>
                    </w:rPr>
                  </w:pPr>
                  <w:r>
                    <w:rPr>
                      <w:kern w:val="0"/>
                      <w:szCs w:val="21"/>
                    </w:rPr>
                    <w:t>危废贮存库</w:t>
                  </w:r>
                </w:p>
              </w:tc>
              <w:tc>
                <w:tcPr>
                  <w:tcW w:w="941" w:type="dxa"/>
                  <w:vAlign w:val="center"/>
                </w:tcPr>
                <w:p w14:paraId="5E437B87">
                  <w:pPr>
                    <w:adjustRightInd w:val="0"/>
                    <w:jc w:val="center"/>
                    <w:textAlignment w:val="baseline"/>
                    <w:rPr>
                      <w:kern w:val="0"/>
                      <w:szCs w:val="21"/>
                    </w:rPr>
                  </w:pPr>
                  <w:r>
                    <w:rPr>
                      <w:kern w:val="0"/>
                      <w:szCs w:val="21"/>
                    </w:rPr>
                    <w:t>废齿轮油</w:t>
                  </w:r>
                </w:p>
              </w:tc>
              <w:tc>
                <w:tcPr>
                  <w:tcW w:w="764" w:type="dxa"/>
                  <w:vAlign w:val="center"/>
                </w:tcPr>
                <w:p w14:paraId="1BFAA8FF">
                  <w:pPr>
                    <w:adjustRightInd w:val="0"/>
                    <w:jc w:val="center"/>
                    <w:textAlignment w:val="baseline"/>
                    <w:rPr>
                      <w:kern w:val="0"/>
                      <w:szCs w:val="21"/>
                    </w:rPr>
                  </w:pPr>
                  <w:r>
                    <w:rPr>
                      <w:kern w:val="0"/>
                      <w:szCs w:val="21"/>
                    </w:rPr>
                    <w:t>HW08</w:t>
                  </w:r>
                </w:p>
              </w:tc>
              <w:tc>
                <w:tcPr>
                  <w:tcW w:w="1074" w:type="dxa"/>
                  <w:vAlign w:val="center"/>
                </w:tcPr>
                <w:p w14:paraId="7FAF8281">
                  <w:pPr>
                    <w:adjustRightInd w:val="0"/>
                    <w:jc w:val="center"/>
                    <w:textAlignment w:val="baseline"/>
                    <w:rPr>
                      <w:kern w:val="0"/>
                      <w:szCs w:val="21"/>
                    </w:rPr>
                  </w:pPr>
                  <w:r>
                    <w:rPr>
                      <w:kern w:val="0"/>
                      <w:szCs w:val="21"/>
                    </w:rPr>
                    <w:t>900-214-08</w:t>
                  </w:r>
                </w:p>
              </w:tc>
              <w:tc>
                <w:tcPr>
                  <w:tcW w:w="926" w:type="dxa"/>
                  <w:vMerge w:val="restart"/>
                  <w:vAlign w:val="center"/>
                </w:tcPr>
                <w:p w14:paraId="55253453">
                  <w:pPr>
                    <w:adjustRightInd w:val="0"/>
                    <w:jc w:val="center"/>
                    <w:textAlignment w:val="baseline"/>
                    <w:rPr>
                      <w:kern w:val="0"/>
                      <w:szCs w:val="21"/>
                    </w:rPr>
                  </w:pPr>
                  <w:r>
                    <w:rPr>
                      <w:kern w:val="0"/>
                      <w:szCs w:val="21"/>
                    </w:rPr>
                    <w:t>场区西北角</w:t>
                  </w:r>
                </w:p>
              </w:tc>
              <w:tc>
                <w:tcPr>
                  <w:tcW w:w="998" w:type="dxa"/>
                  <w:vMerge w:val="restart"/>
                  <w:vAlign w:val="center"/>
                </w:tcPr>
                <w:p w14:paraId="7F908EB3">
                  <w:pPr>
                    <w:adjustRightInd w:val="0"/>
                    <w:jc w:val="center"/>
                    <w:textAlignment w:val="baseline"/>
                    <w:rPr>
                      <w:kern w:val="0"/>
                      <w:szCs w:val="21"/>
                    </w:rPr>
                  </w:pPr>
                  <w:r>
                    <w:rPr>
                      <w:kern w:val="0"/>
                      <w:szCs w:val="21"/>
                    </w:rPr>
                    <w:t>35m</w:t>
                  </w:r>
                  <w:r>
                    <w:rPr>
                      <w:kern w:val="0"/>
                      <w:szCs w:val="21"/>
                      <w:vertAlign w:val="superscript"/>
                    </w:rPr>
                    <w:t>2</w:t>
                  </w:r>
                </w:p>
              </w:tc>
              <w:tc>
                <w:tcPr>
                  <w:tcW w:w="1167" w:type="dxa"/>
                  <w:vAlign w:val="center"/>
                </w:tcPr>
                <w:p w14:paraId="540C3253">
                  <w:pPr>
                    <w:adjustRightInd w:val="0"/>
                    <w:jc w:val="center"/>
                    <w:textAlignment w:val="baseline"/>
                    <w:rPr>
                      <w:kern w:val="0"/>
                      <w:szCs w:val="21"/>
                    </w:rPr>
                  </w:pPr>
                  <w:r>
                    <w:rPr>
                      <w:kern w:val="0"/>
                      <w:szCs w:val="21"/>
                    </w:rPr>
                    <w:t>50L铁桶（带盖）</w:t>
                  </w:r>
                </w:p>
              </w:tc>
              <w:tc>
                <w:tcPr>
                  <w:tcW w:w="425" w:type="dxa"/>
                  <w:vMerge w:val="restart"/>
                  <w:vAlign w:val="center"/>
                </w:tcPr>
                <w:p w14:paraId="28E2854F">
                  <w:pPr>
                    <w:adjustRightInd w:val="0"/>
                    <w:jc w:val="center"/>
                    <w:textAlignment w:val="baseline"/>
                    <w:rPr>
                      <w:kern w:val="0"/>
                      <w:szCs w:val="21"/>
                    </w:rPr>
                  </w:pPr>
                  <w:r>
                    <w:rPr>
                      <w:kern w:val="0"/>
                      <w:szCs w:val="21"/>
                    </w:rPr>
                    <w:t>半年</w:t>
                  </w:r>
                </w:p>
              </w:tc>
            </w:tr>
            <w:tr w14:paraId="54C90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17" w:type="dxa"/>
                  <w:vAlign w:val="center"/>
                </w:tcPr>
                <w:p w14:paraId="71D6FF14">
                  <w:pPr>
                    <w:adjustRightInd w:val="0"/>
                    <w:jc w:val="center"/>
                    <w:textAlignment w:val="baseline"/>
                    <w:rPr>
                      <w:kern w:val="0"/>
                      <w:szCs w:val="21"/>
                    </w:rPr>
                  </w:pPr>
                  <w:r>
                    <w:rPr>
                      <w:kern w:val="0"/>
                      <w:szCs w:val="21"/>
                    </w:rPr>
                    <w:t>2</w:t>
                  </w:r>
                </w:p>
              </w:tc>
              <w:tc>
                <w:tcPr>
                  <w:tcW w:w="758" w:type="dxa"/>
                  <w:vMerge w:val="continue"/>
                  <w:vAlign w:val="center"/>
                </w:tcPr>
                <w:p w14:paraId="2FBDAD93">
                  <w:pPr>
                    <w:adjustRightInd w:val="0"/>
                    <w:jc w:val="center"/>
                    <w:textAlignment w:val="baseline"/>
                    <w:rPr>
                      <w:kern w:val="0"/>
                      <w:szCs w:val="21"/>
                    </w:rPr>
                  </w:pPr>
                </w:p>
              </w:tc>
              <w:tc>
                <w:tcPr>
                  <w:tcW w:w="941" w:type="dxa"/>
                  <w:vAlign w:val="center"/>
                </w:tcPr>
                <w:p w14:paraId="2E00ADC3">
                  <w:pPr>
                    <w:adjustRightInd w:val="0"/>
                    <w:jc w:val="center"/>
                    <w:textAlignment w:val="baseline"/>
                    <w:rPr>
                      <w:kern w:val="0"/>
                      <w:szCs w:val="21"/>
                    </w:rPr>
                  </w:pPr>
                  <w:r>
                    <w:rPr>
                      <w:kern w:val="0"/>
                      <w:szCs w:val="21"/>
                    </w:rPr>
                    <w:t>废油桶</w:t>
                  </w:r>
                </w:p>
              </w:tc>
              <w:tc>
                <w:tcPr>
                  <w:tcW w:w="764" w:type="dxa"/>
                  <w:vAlign w:val="center"/>
                </w:tcPr>
                <w:p w14:paraId="629E061A">
                  <w:pPr>
                    <w:adjustRightInd w:val="0"/>
                    <w:jc w:val="center"/>
                    <w:textAlignment w:val="baseline"/>
                    <w:rPr>
                      <w:kern w:val="0"/>
                      <w:szCs w:val="21"/>
                    </w:rPr>
                  </w:pPr>
                  <w:r>
                    <w:rPr>
                      <w:kern w:val="0"/>
                      <w:szCs w:val="21"/>
                    </w:rPr>
                    <w:t>HW08</w:t>
                  </w:r>
                </w:p>
              </w:tc>
              <w:tc>
                <w:tcPr>
                  <w:tcW w:w="1074" w:type="dxa"/>
                  <w:vAlign w:val="center"/>
                </w:tcPr>
                <w:p w14:paraId="4EE9A7F4">
                  <w:pPr>
                    <w:adjustRightInd w:val="0"/>
                    <w:jc w:val="center"/>
                    <w:textAlignment w:val="baseline"/>
                    <w:rPr>
                      <w:kern w:val="0"/>
                      <w:szCs w:val="21"/>
                    </w:rPr>
                  </w:pPr>
                  <w:r>
                    <w:rPr>
                      <w:kern w:val="0"/>
                      <w:szCs w:val="21"/>
                    </w:rPr>
                    <w:t>900-249-08</w:t>
                  </w:r>
                </w:p>
              </w:tc>
              <w:tc>
                <w:tcPr>
                  <w:tcW w:w="926" w:type="dxa"/>
                  <w:vMerge w:val="continue"/>
                  <w:vAlign w:val="center"/>
                </w:tcPr>
                <w:p w14:paraId="7944372E">
                  <w:pPr>
                    <w:adjustRightInd w:val="0"/>
                    <w:jc w:val="center"/>
                    <w:textAlignment w:val="baseline"/>
                    <w:rPr>
                      <w:kern w:val="0"/>
                      <w:szCs w:val="21"/>
                    </w:rPr>
                  </w:pPr>
                </w:p>
              </w:tc>
              <w:tc>
                <w:tcPr>
                  <w:tcW w:w="998" w:type="dxa"/>
                  <w:vMerge w:val="continue"/>
                  <w:vAlign w:val="center"/>
                </w:tcPr>
                <w:p w14:paraId="35D9FADF">
                  <w:pPr>
                    <w:adjustRightInd w:val="0"/>
                    <w:jc w:val="center"/>
                    <w:textAlignment w:val="baseline"/>
                    <w:rPr>
                      <w:kern w:val="0"/>
                      <w:szCs w:val="21"/>
                    </w:rPr>
                  </w:pPr>
                </w:p>
              </w:tc>
              <w:tc>
                <w:tcPr>
                  <w:tcW w:w="1167" w:type="dxa"/>
                  <w:vAlign w:val="center"/>
                </w:tcPr>
                <w:p w14:paraId="23F272C7">
                  <w:pPr>
                    <w:adjustRightInd w:val="0"/>
                    <w:jc w:val="center"/>
                    <w:textAlignment w:val="baseline"/>
                    <w:rPr>
                      <w:kern w:val="0"/>
                      <w:szCs w:val="21"/>
                    </w:rPr>
                  </w:pPr>
                  <w:r>
                    <w:rPr>
                      <w:kern w:val="0"/>
                      <w:szCs w:val="21"/>
                    </w:rPr>
                    <w:t>托盘</w:t>
                  </w:r>
                </w:p>
              </w:tc>
              <w:tc>
                <w:tcPr>
                  <w:tcW w:w="425" w:type="dxa"/>
                  <w:vMerge w:val="continue"/>
                  <w:vAlign w:val="center"/>
                </w:tcPr>
                <w:p w14:paraId="26576C5B">
                  <w:pPr>
                    <w:adjustRightInd w:val="0"/>
                    <w:jc w:val="center"/>
                    <w:textAlignment w:val="baseline"/>
                    <w:rPr>
                      <w:kern w:val="0"/>
                      <w:szCs w:val="21"/>
                    </w:rPr>
                  </w:pPr>
                </w:p>
              </w:tc>
            </w:tr>
            <w:tr w14:paraId="37A3E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17" w:type="dxa"/>
                  <w:vAlign w:val="center"/>
                </w:tcPr>
                <w:p w14:paraId="4F03752D">
                  <w:pPr>
                    <w:adjustRightInd w:val="0"/>
                    <w:jc w:val="center"/>
                    <w:textAlignment w:val="baseline"/>
                    <w:rPr>
                      <w:kern w:val="0"/>
                      <w:szCs w:val="21"/>
                    </w:rPr>
                  </w:pPr>
                  <w:r>
                    <w:rPr>
                      <w:rFonts w:hint="eastAsia"/>
                      <w:kern w:val="0"/>
                      <w:szCs w:val="21"/>
                    </w:rPr>
                    <w:t>3</w:t>
                  </w:r>
                </w:p>
              </w:tc>
              <w:tc>
                <w:tcPr>
                  <w:tcW w:w="758" w:type="dxa"/>
                  <w:vMerge w:val="continue"/>
                  <w:vAlign w:val="center"/>
                </w:tcPr>
                <w:p w14:paraId="112D549A">
                  <w:pPr>
                    <w:adjustRightInd w:val="0"/>
                    <w:jc w:val="center"/>
                    <w:textAlignment w:val="baseline"/>
                    <w:rPr>
                      <w:kern w:val="0"/>
                      <w:szCs w:val="21"/>
                    </w:rPr>
                  </w:pPr>
                </w:p>
              </w:tc>
              <w:tc>
                <w:tcPr>
                  <w:tcW w:w="941" w:type="dxa"/>
                  <w:vAlign w:val="center"/>
                </w:tcPr>
                <w:p w14:paraId="0EB45B55">
                  <w:pPr>
                    <w:adjustRightInd w:val="0"/>
                    <w:jc w:val="center"/>
                    <w:textAlignment w:val="baseline"/>
                    <w:rPr>
                      <w:kern w:val="0"/>
                      <w:szCs w:val="21"/>
                    </w:rPr>
                  </w:pPr>
                  <w:r>
                    <w:rPr>
                      <w:kern w:val="0"/>
                      <w:szCs w:val="21"/>
                    </w:rPr>
                    <w:t>废蓄电池</w:t>
                  </w:r>
                </w:p>
              </w:tc>
              <w:tc>
                <w:tcPr>
                  <w:tcW w:w="764" w:type="dxa"/>
                  <w:vAlign w:val="center"/>
                </w:tcPr>
                <w:p w14:paraId="1E9283CF">
                  <w:pPr>
                    <w:adjustRightInd w:val="0"/>
                    <w:jc w:val="center"/>
                    <w:textAlignment w:val="baseline"/>
                    <w:rPr>
                      <w:kern w:val="0"/>
                      <w:szCs w:val="21"/>
                    </w:rPr>
                  </w:pPr>
                  <w:r>
                    <w:rPr>
                      <w:kern w:val="0"/>
                      <w:szCs w:val="21"/>
                    </w:rPr>
                    <w:t>HW31</w:t>
                  </w:r>
                </w:p>
              </w:tc>
              <w:tc>
                <w:tcPr>
                  <w:tcW w:w="1074" w:type="dxa"/>
                  <w:vAlign w:val="center"/>
                </w:tcPr>
                <w:p w14:paraId="1A40BF12">
                  <w:pPr>
                    <w:adjustRightInd w:val="0"/>
                    <w:jc w:val="center"/>
                    <w:textAlignment w:val="baseline"/>
                    <w:rPr>
                      <w:kern w:val="0"/>
                      <w:szCs w:val="21"/>
                    </w:rPr>
                  </w:pPr>
                  <w:r>
                    <w:rPr>
                      <w:kern w:val="0"/>
                      <w:szCs w:val="21"/>
                    </w:rPr>
                    <w:t>900-052-31</w:t>
                  </w:r>
                </w:p>
              </w:tc>
              <w:tc>
                <w:tcPr>
                  <w:tcW w:w="926" w:type="dxa"/>
                  <w:vMerge w:val="continue"/>
                  <w:vAlign w:val="center"/>
                </w:tcPr>
                <w:p w14:paraId="4197CBAE">
                  <w:pPr>
                    <w:adjustRightInd w:val="0"/>
                    <w:jc w:val="center"/>
                    <w:textAlignment w:val="baseline"/>
                    <w:rPr>
                      <w:kern w:val="0"/>
                      <w:szCs w:val="21"/>
                      <w:lang w:val="zh-CN"/>
                    </w:rPr>
                  </w:pPr>
                </w:p>
              </w:tc>
              <w:tc>
                <w:tcPr>
                  <w:tcW w:w="998" w:type="dxa"/>
                  <w:vMerge w:val="continue"/>
                  <w:vAlign w:val="center"/>
                </w:tcPr>
                <w:p w14:paraId="30E6660E">
                  <w:pPr>
                    <w:adjustRightInd w:val="0"/>
                    <w:jc w:val="center"/>
                    <w:textAlignment w:val="baseline"/>
                    <w:rPr>
                      <w:kern w:val="0"/>
                      <w:szCs w:val="21"/>
                    </w:rPr>
                  </w:pPr>
                </w:p>
              </w:tc>
              <w:tc>
                <w:tcPr>
                  <w:tcW w:w="1167" w:type="dxa"/>
                  <w:vAlign w:val="center"/>
                </w:tcPr>
                <w:p w14:paraId="0D1C6851">
                  <w:pPr>
                    <w:adjustRightInd w:val="0"/>
                    <w:jc w:val="center"/>
                    <w:textAlignment w:val="baseline"/>
                    <w:rPr>
                      <w:kern w:val="0"/>
                      <w:szCs w:val="21"/>
                    </w:rPr>
                  </w:pPr>
                  <w:r>
                    <w:rPr>
                      <w:kern w:val="0"/>
                      <w:szCs w:val="21"/>
                    </w:rPr>
                    <w:t>托盘</w:t>
                  </w:r>
                </w:p>
              </w:tc>
              <w:tc>
                <w:tcPr>
                  <w:tcW w:w="425" w:type="dxa"/>
                  <w:vMerge w:val="continue"/>
                  <w:vAlign w:val="center"/>
                </w:tcPr>
                <w:p w14:paraId="2633400A">
                  <w:pPr>
                    <w:adjustRightInd w:val="0"/>
                    <w:jc w:val="center"/>
                    <w:textAlignment w:val="baseline"/>
                    <w:rPr>
                      <w:kern w:val="0"/>
                      <w:szCs w:val="21"/>
                    </w:rPr>
                  </w:pPr>
                </w:p>
              </w:tc>
            </w:tr>
          </w:tbl>
          <w:p w14:paraId="11D5B98B">
            <w:pPr>
              <w:adjustRightInd w:val="0"/>
              <w:snapToGrid w:val="0"/>
              <w:spacing w:line="480" w:lineRule="exact"/>
              <w:ind w:firstLine="482" w:firstLineChars="200"/>
              <w:rPr>
                <w:b/>
                <w:bCs/>
                <w:sz w:val="24"/>
              </w:rPr>
            </w:pPr>
            <w:r>
              <w:rPr>
                <w:b/>
                <w:bCs/>
                <w:sz w:val="24"/>
              </w:rPr>
              <w:t>5.3.2危险废物管理措施</w:t>
            </w:r>
          </w:p>
          <w:p w14:paraId="6DA6C642">
            <w:pPr>
              <w:spacing w:line="480" w:lineRule="exact"/>
              <w:ind w:firstLine="480" w:firstLineChars="200"/>
              <w:rPr>
                <w:kern w:val="0"/>
                <w:sz w:val="24"/>
              </w:rPr>
            </w:pPr>
            <w:r>
              <w:rPr>
                <w:kern w:val="0"/>
                <w:sz w:val="24"/>
              </w:rPr>
              <w:t>（1）危险废物的收集</w:t>
            </w:r>
          </w:p>
          <w:p w14:paraId="6FA716E5">
            <w:pPr>
              <w:spacing w:line="480" w:lineRule="exact"/>
              <w:ind w:firstLine="480" w:firstLineChars="200"/>
              <w:rPr>
                <w:kern w:val="0"/>
                <w:sz w:val="24"/>
              </w:rPr>
            </w:pPr>
            <w:r>
              <w:rPr>
                <w:kern w:val="0"/>
                <w:sz w:val="24"/>
              </w:rPr>
              <w:t>废齿轮油装入铁桶中并加盖密封，与废油桶、废蓄电池暂存于</w:t>
            </w:r>
            <w:r>
              <w:rPr>
                <w:rFonts w:hint="eastAsia"/>
                <w:kern w:val="0"/>
                <w:sz w:val="24"/>
              </w:rPr>
              <w:t>危废贮存库</w:t>
            </w:r>
            <w:r>
              <w:rPr>
                <w:kern w:val="0"/>
                <w:sz w:val="24"/>
              </w:rPr>
              <w:t>内，主变及箱变更换的废变压器油直接委托有资质单位收集处置，泄漏的事故废油引入事故油池，委托有资质单位处置，均不在站内储存。应使用符合国家标准的专门容器分类收集，容器应不易破损、变形、老化，能有效地防止渗漏、扩散。在承装危险废物的容器及包装桶上需贴有标签，详细标明危险废物的名称、重量、成分、特性以及发生泄漏、扩散污染事故时的应急措施和补救方法。</w:t>
            </w:r>
          </w:p>
          <w:p w14:paraId="255CDCE8">
            <w:pPr>
              <w:spacing w:line="480" w:lineRule="exact"/>
              <w:ind w:firstLine="480" w:firstLineChars="200"/>
              <w:rPr>
                <w:kern w:val="0"/>
                <w:sz w:val="24"/>
              </w:rPr>
            </w:pPr>
            <w:r>
              <w:rPr>
                <w:kern w:val="0"/>
                <w:sz w:val="24"/>
              </w:rPr>
              <w:t>（2）危险废物储存场所环境影响分析</w:t>
            </w:r>
          </w:p>
          <w:p w14:paraId="29AB7707">
            <w:pPr>
              <w:tabs>
                <w:tab w:val="left" w:pos="7380"/>
              </w:tabs>
              <w:spacing w:line="480" w:lineRule="exact"/>
              <w:ind w:firstLine="480" w:firstLineChars="200"/>
              <w:rPr>
                <w:kern w:val="0"/>
                <w:sz w:val="24"/>
              </w:rPr>
            </w:pPr>
            <w:r>
              <w:rPr>
                <w:kern w:val="0"/>
                <w:sz w:val="24"/>
              </w:rPr>
              <w:t>a.危险废物储存间应当参照《危险废物贮存污染控制标准》（GB 18597-2023）中的相关要求建设。</w:t>
            </w:r>
          </w:p>
          <w:p w14:paraId="456DBEAA">
            <w:pPr>
              <w:tabs>
                <w:tab w:val="left" w:pos="7380"/>
              </w:tabs>
              <w:spacing w:line="480" w:lineRule="exact"/>
              <w:ind w:firstLine="480" w:firstLineChars="200"/>
              <w:rPr>
                <w:kern w:val="0"/>
                <w:sz w:val="24"/>
              </w:rPr>
            </w:pPr>
            <w:r>
              <w:rPr>
                <w:kern w:val="0"/>
                <w:sz w:val="24"/>
              </w:rPr>
              <w:t>本项目危废贮存库应采取防风、防晒、防雨、防漏、防渗、防腐以及其他环境污染防治措施。根据本项目危险废物的类别、数量、形态、物理化学性质等分区贮存，避免不相容的危险废物接触、混合。危废贮存库内地面、墙面裙脚、堵截泄漏的围堰、接触危险废物的隔板和墙体等应采用坚固的材料建造，表面无裂缝。地面与裙脚采取表面防渗措施，</w:t>
            </w:r>
            <w:r>
              <w:rPr>
                <w:sz w:val="24"/>
              </w:rPr>
              <w:t>防渗层为至少1m厚黏土层（渗透系数≤10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w:t>
            </w:r>
            <w:r>
              <w:rPr>
                <w:kern w:val="0"/>
                <w:sz w:val="24"/>
              </w:rPr>
              <w:t>。</w:t>
            </w:r>
          </w:p>
          <w:p w14:paraId="34A518EB">
            <w:pPr>
              <w:tabs>
                <w:tab w:val="left" w:pos="7380"/>
              </w:tabs>
              <w:spacing w:line="480" w:lineRule="exact"/>
              <w:ind w:firstLine="480" w:firstLineChars="200"/>
              <w:rPr>
                <w:kern w:val="0"/>
                <w:sz w:val="24"/>
              </w:rPr>
            </w:pPr>
            <w:r>
              <w:rPr>
                <w:kern w:val="0"/>
                <w:sz w:val="24"/>
              </w:rPr>
              <w:t>同时设置液体泄漏堵截设施，堵截设施最小容积不应低于对应贮存区域最大液态废物容器容积或液态废物总储量1/10。本项目危险废物储存周期为180d，液态废物最大总储量为3t/a，则堵截设施最小容积为</w:t>
            </w:r>
            <w:r>
              <w:rPr>
                <w:rFonts w:hint="eastAsia"/>
                <w:kern w:val="0"/>
                <w:sz w:val="24"/>
              </w:rPr>
              <w:t>0</w:t>
            </w:r>
            <w:r>
              <w:rPr>
                <w:kern w:val="0"/>
                <w:sz w:val="24"/>
              </w:rPr>
              <w:t>.3m</w:t>
            </w:r>
            <w:r>
              <w:rPr>
                <w:kern w:val="0"/>
                <w:sz w:val="24"/>
                <w:vertAlign w:val="superscript"/>
              </w:rPr>
              <w:t>3</w:t>
            </w:r>
            <w:r>
              <w:rPr>
                <w:kern w:val="0"/>
                <w:sz w:val="24"/>
              </w:rPr>
              <w:t>。</w:t>
            </w:r>
          </w:p>
          <w:p w14:paraId="69420176">
            <w:pPr>
              <w:tabs>
                <w:tab w:val="left" w:pos="7380"/>
              </w:tabs>
              <w:spacing w:line="480" w:lineRule="exact"/>
              <w:ind w:firstLine="480" w:firstLineChars="200"/>
              <w:rPr>
                <w:kern w:val="0"/>
                <w:sz w:val="24"/>
              </w:rPr>
            </w:pPr>
            <w:r>
              <w:rPr>
                <w:kern w:val="0"/>
                <w:sz w:val="24"/>
              </w:rPr>
              <w:t>在危废贮存库外设立危险废物标志，最后委托有资质的单位按照相关规定进行处理。</w:t>
            </w:r>
          </w:p>
          <w:p w14:paraId="2222A57C">
            <w:pPr>
              <w:widowControl/>
              <w:adjustRightInd w:val="0"/>
              <w:snapToGrid w:val="0"/>
              <w:spacing w:line="480" w:lineRule="exact"/>
              <w:ind w:firstLine="480" w:firstLineChars="200"/>
              <w:rPr>
                <w:sz w:val="24"/>
              </w:rPr>
            </w:pPr>
            <w:r>
              <w:rPr>
                <w:sz w:val="24"/>
              </w:rPr>
              <w:t>贮油池：根据《火力发电厂与升压站设计防火标准》（GB50229-2019），储油坑的有效容积不应小于单台设备油量的20%，本项目主变压器单台设备油量32t（35.75m</w:t>
            </w:r>
            <w:r>
              <w:rPr>
                <w:sz w:val="24"/>
                <w:vertAlign w:val="superscript"/>
              </w:rPr>
              <w:t>3</w:t>
            </w:r>
            <w:r>
              <w:rPr>
                <w:sz w:val="24"/>
              </w:rPr>
              <w:t>）的20%为7.15m</w:t>
            </w:r>
            <w:r>
              <w:rPr>
                <w:sz w:val="24"/>
                <w:vertAlign w:val="superscript"/>
              </w:rPr>
              <w:t>3</w:t>
            </w:r>
            <w:r>
              <w:rPr>
                <w:sz w:val="24"/>
              </w:rPr>
              <w:t>。建设单位拟在升压站内的主变压器下设置贮油坑（共1座）用于收集事故期的变压器油，贮油池容积为16m</w:t>
            </w:r>
            <w:r>
              <w:rPr>
                <w:sz w:val="24"/>
                <w:vertAlign w:val="superscript"/>
              </w:rPr>
              <w:t>3</w:t>
            </w:r>
            <w:r>
              <w:rPr>
                <w:sz w:val="24"/>
              </w:rPr>
              <w:t>，贮油池设置满足《火力发电厂与升压站设计防火标准》（GB50229-2019）要求。贮油池底设有排油管，变压器在发生事故时，将事故油排至主变压器附近的总事故油池中临时贮存，最终拟交由具有相应资质的单位进行处置。</w:t>
            </w:r>
          </w:p>
          <w:p w14:paraId="3D14FC91">
            <w:pPr>
              <w:tabs>
                <w:tab w:val="left" w:pos="7380"/>
              </w:tabs>
              <w:spacing w:line="480" w:lineRule="exact"/>
              <w:ind w:firstLine="480" w:firstLineChars="200"/>
              <w:rPr>
                <w:sz w:val="24"/>
              </w:rPr>
            </w:pPr>
            <w:r>
              <w:rPr>
                <w:sz w:val="24"/>
              </w:rPr>
              <w:t>总事故油池：根据《火力发电厂与升压站设计防火标准》（GB50229-2019），总事油池的有效容积不应小于最大单台设备油量的100%。本项目主变压器最大单台设备油量32t（35.75m</w:t>
            </w:r>
            <w:r>
              <w:rPr>
                <w:sz w:val="24"/>
                <w:vertAlign w:val="superscript"/>
              </w:rPr>
              <w:t>3</w:t>
            </w:r>
            <w:r>
              <w:rPr>
                <w:sz w:val="24"/>
              </w:rPr>
              <w:t>）的100%为35.75m</w:t>
            </w:r>
            <w:r>
              <w:rPr>
                <w:sz w:val="24"/>
                <w:vertAlign w:val="superscript"/>
              </w:rPr>
              <w:t>3</w:t>
            </w:r>
            <w:r>
              <w:rPr>
                <w:sz w:val="24"/>
              </w:rPr>
              <w:t>，本项目拟在主变压器附近设置1座总容积为90m</w:t>
            </w:r>
            <w:r>
              <w:rPr>
                <w:sz w:val="24"/>
                <w:vertAlign w:val="superscript"/>
              </w:rPr>
              <w:t>3</w:t>
            </w:r>
            <w:r>
              <w:rPr>
                <w:sz w:val="24"/>
              </w:rPr>
              <w:t>的总事故油池，总事故油池设置满足《火力发电厂与升压站设计防火标准》（GB50229-2019）要求。</w:t>
            </w:r>
          </w:p>
          <w:p w14:paraId="6943258D">
            <w:pPr>
              <w:tabs>
                <w:tab w:val="left" w:pos="7380"/>
              </w:tabs>
              <w:spacing w:line="480" w:lineRule="exact"/>
              <w:ind w:firstLine="480" w:firstLineChars="200"/>
              <w:rPr>
                <w:kern w:val="0"/>
                <w:sz w:val="24"/>
              </w:rPr>
            </w:pPr>
            <w:r>
              <w:rPr>
                <w:kern w:val="0"/>
                <w:sz w:val="24"/>
              </w:rPr>
              <w:t>b.危险废物需按照《危险废物贮存污染控制标准》（GB18597-2023）中相关要求暂存于厂区危废贮存场所，要求使用符合标准的盛装容器分类存储，分别存放，并设置危险废物警示标志。</w:t>
            </w:r>
          </w:p>
          <w:p w14:paraId="77CD976F">
            <w:pPr>
              <w:tabs>
                <w:tab w:val="left" w:pos="7380"/>
              </w:tabs>
              <w:spacing w:line="480" w:lineRule="exact"/>
              <w:ind w:firstLine="480" w:firstLineChars="200"/>
              <w:rPr>
                <w:kern w:val="0"/>
                <w:sz w:val="24"/>
              </w:rPr>
            </w:pPr>
            <w:r>
              <w:rPr>
                <w:kern w:val="0"/>
                <w:sz w:val="24"/>
              </w:rPr>
              <w:t>c.危废管理</w:t>
            </w:r>
          </w:p>
          <w:p w14:paraId="348DE95D">
            <w:pPr>
              <w:tabs>
                <w:tab w:val="left" w:pos="7380"/>
              </w:tabs>
              <w:spacing w:line="480" w:lineRule="exact"/>
              <w:ind w:firstLine="480" w:firstLineChars="200"/>
              <w:rPr>
                <w:b/>
                <w:bCs/>
                <w:kern w:val="0"/>
                <w:sz w:val="24"/>
              </w:rPr>
            </w:pPr>
            <w:r>
              <w:rPr>
                <w:kern w:val="0"/>
                <w:sz w:val="24"/>
              </w:rPr>
              <w:t>承装危险废物的容器必须全部粘贴危险废物标识；危险废物由公司的生产部门收集，贴上标签，标签上明确名称、编号、危险性、日期及质量，然后送入危废贮存库办理入库手续。存放期内，管理人员必须进行入库登记、分类存放、检查和维护。</w:t>
            </w:r>
          </w:p>
          <w:p w14:paraId="4ED1555A">
            <w:pPr>
              <w:tabs>
                <w:tab w:val="left" w:pos="7380"/>
              </w:tabs>
              <w:spacing w:line="480" w:lineRule="exact"/>
              <w:ind w:firstLine="480" w:firstLineChars="200"/>
              <w:rPr>
                <w:kern w:val="0"/>
                <w:sz w:val="24"/>
              </w:rPr>
            </w:pPr>
            <w:r>
              <w:rPr>
                <w:kern w:val="0"/>
                <w:sz w:val="24"/>
              </w:rPr>
              <w:t>项目危废贮存库、事故油池的储存能力均满足环保要求，全厂危险废物采用桶装的密闭包装方式，在贮存过程中不会产生挥发性气体污染环境空气，正常情况下不会发生泄漏，一旦发生泄漏可以及时收集，故不会对地表水、地下水、土壤产生污染。</w:t>
            </w:r>
          </w:p>
          <w:p w14:paraId="28A41F69">
            <w:pPr>
              <w:tabs>
                <w:tab w:val="left" w:pos="7380"/>
              </w:tabs>
              <w:spacing w:line="480" w:lineRule="exact"/>
              <w:ind w:firstLine="480" w:firstLineChars="200"/>
              <w:rPr>
                <w:kern w:val="0"/>
                <w:sz w:val="24"/>
              </w:rPr>
            </w:pPr>
            <w:r>
              <w:rPr>
                <w:kern w:val="0"/>
                <w:sz w:val="24"/>
              </w:rPr>
              <w:t>（3）运输过程环境影响分析</w:t>
            </w:r>
          </w:p>
          <w:p w14:paraId="62874919">
            <w:pPr>
              <w:tabs>
                <w:tab w:val="left" w:pos="7380"/>
              </w:tabs>
              <w:spacing w:line="480" w:lineRule="exact"/>
              <w:ind w:firstLine="480" w:firstLineChars="200"/>
              <w:rPr>
                <w:kern w:val="0"/>
                <w:sz w:val="24"/>
              </w:rPr>
            </w:pPr>
            <w:r>
              <w:rPr>
                <w:kern w:val="0"/>
                <w:sz w:val="24"/>
              </w:rPr>
              <w:t>危险废物从生产装置区运送到危废贮存库，运送过程中液态废物均密封在包装桶内，并且运送距离很短，因此危险废物产生散落、泄漏的可能性很小；即使散落或泄漏，也能够及时收集；由于危险废物运输量较少，且运输沿途道路地面均为硬化处理，故项目危险废物在厂内运输过程基本不会对周围环境产生影响。</w:t>
            </w:r>
          </w:p>
          <w:p w14:paraId="15D6F5CD">
            <w:pPr>
              <w:tabs>
                <w:tab w:val="left" w:pos="7380"/>
              </w:tabs>
              <w:spacing w:line="480" w:lineRule="exact"/>
              <w:ind w:firstLine="480" w:firstLineChars="200"/>
              <w:rPr>
                <w:kern w:val="0"/>
                <w:sz w:val="24"/>
              </w:rPr>
            </w:pPr>
            <w:r>
              <w:rPr>
                <w:kern w:val="0"/>
                <w:sz w:val="24"/>
              </w:rPr>
              <w:t>本项目危险废物委托有资质单位采用专用密封厢式车进行运输，从而保证运输过程中无抛、洒、滴、漏现象发生。各类危险废物在运输过程中应满足《危险货物运输包装通用技术条件》（GB12463-2009)和《危险废物收集贮存运输技术规范》（HJ2025-2012）中的具体要求。对于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14:paraId="25840040">
            <w:pPr>
              <w:spacing w:line="480" w:lineRule="exact"/>
              <w:ind w:firstLine="480" w:firstLineChars="200"/>
              <w:jc w:val="left"/>
              <w:rPr>
                <w:kern w:val="0"/>
                <w:sz w:val="24"/>
              </w:rPr>
            </w:pPr>
            <w:r>
              <w:rPr>
                <w:kern w:val="0"/>
                <w:sz w:val="24"/>
              </w:rPr>
              <w:t>（4）委托处置过程环境影响分析</w:t>
            </w:r>
          </w:p>
          <w:p w14:paraId="3E1A10A0">
            <w:pPr>
              <w:spacing w:line="480" w:lineRule="exact"/>
              <w:ind w:firstLine="480" w:firstLineChars="200"/>
              <w:jc w:val="left"/>
              <w:rPr>
                <w:kern w:val="0"/>
                <w:sz w:val="24"/>
              </w:rPr>
            </w:pPr>
            <w:r>
              <w:rPr>
                <w:kern w:val="0"/>
                <w:sz w:val="24"/>
              </w:rPr>
              <w:t>本项目产生的危险废物，定期交由有资质单位处理，不会产生显著的环境影响。</w:t>
            </w:r>
          </w:p>
          <w:p w14:paraId="75FB4D11">
            <w:pPr>
              <w:spacing w:line="480" w:lineRule="exact"/>
              <w:ind w:firstLine="480" w:firstLineChars="200"/>
              <w:jc w:val="left"/>
              <w:rPr>
                <w:kern w:val="0"/>
                <w:sz w:val="24"/>
              </w:rPr>
            </w:pPr>
            <w:r>
              <w:rPr>
                <w:kern w:val="0"/>
                <w:sz w:val="24"/>
              </w:rPr>
              <w:t>（5）危险废物环境管理要求</w:t>
            </w:r>
          </w:p>
          <w:p w14:paraId="547A49E4">
            <w:pPr>
              <w:spacing w:line="480" w:lineRule="exact"/>
              <w:ind w:firstLine="480" w:firstLineChars="200"/>
              <w:jc w:val="left"/>
              <w:rPr>
                <w:kern w:val="0"/>
                <w:sz w:val="24"/>
              </w:rPr>
            </w:pPr>
            <w:r>
              <w:rPr>
                <w:kern w:val="0"/>
                <w:sz w:val="24"/>
              </w:rPr>
              <w:t>a. 全过程监管要求</w:t>
            </w:r>
          </w:p>
          <w:p w14:paraId="15B8FC41">
            <w:pPr>
              <w:spacing w:line="480" w:lineRule="exact"/>
              <w:ind w:firstLine="480" w:firstLineChars="200"/>
              <w:jc w:val="left"/>
              <w:rPr>
                <w:kern w:val="0"/>
                <w:sz w:val="24"/>
              </w:rPr>
            </w:pPr>
            <w:r>
              <w:rPr>
                <w:kern w:val="0"/>
                <w:sz w:val="24"/>
              </w:rPr>
              <w:t>建设单位运营过程应该对产生的危险废物从收集、贮存、运输、利用、处置各环节进行全过程的监管，各环节应严格执行《危险废物收集、贮存、运输技术规范》（HJ2025-2012）的相关要求。</w:t>
            </w:r>
          </w:p>
          <w:p w14:paraId="409D5A92">
            <w:pPr>
              <w:spacing w:line="480" w:lineRule="exact"/>
              <w:ind w:firstLine="480" w:firstLineChars="200"/>
              <w:jc w:val="left"/>
              <w:rPr>
                <w:kern w:val="0"/>
                <w:sz w:val="24"/>
              </w:rPr>
            </w:pPr>
            <w:r>
              <w:rPr>
                <w:kern w:val="0"/>
                <w:sz w:val="24"/>
              </w:rPr>
              <w:t>危险废物暂存过程中应满足《危险废物贮存污染控制标准》（GB18597-</w:t>
            </w:r>
          </w:p>
          <w:p w14:paraId="45674D28">
            <w:pPr>
              <w:spacing w:line="480" w:lineRule="exact"/>
              <w:jc w:val="left"/>
              <w:rPr>
                <w:kern w:val="0"/>
                <w:sz w:val="24"/>
              </w:rPr>
            </w:pPr>
            <w:r>
              <w:rPr>
                <w:kern w:val="0"/>
                <w:sz w:val="24"/>
              </w:rPr>
              <w:t>2023）中的相关规定。</w:t>
            </w:r>
          </w:p>
          <w:p w14:paraId="732C1D3C">
            <w:pPr>
              <w:spacing w:line="480" w:lineRule="exact"/>
              <w:ind w:firstLine="480" w:firstLineChars="200"/>
              <w:jc w:val="left"/>
              <w:rPr>
                <w:kern w:val="0"/>
                <w:sz w:val="24"/>
              </w:rPr>
            </w:pPr>
            <w:r>
              <w:rPr>
                <w:kern w:val="0"/>
                <w:sz w:val="24"/>
              </w:rPr>
              <w:t>危险废物在转移过程中，应严格执行《危险废物转移联单管理办法》（原国家环境保护总局令第5号）的相关规定。</w:t>
            </w:r>
          </w:p>
          <w:p w14:paraId="11CDD5BE">
            <w:pPr>
              <w:spacing w:line="480" w:lineRule="exact"/>
              <w:ind w:firstLine="480" w:firstLineChars="200"/>
              <w:jc w:val="left"/>
              <w:rPr>
                <w:kern w:val="0"/>
                <w:sz w:val="24"/>
              </w:rPr>
            </w:pPr>
            <w:r>
              <w:rPr>
                <w:kern w:val="0"/>
                <w:sz w:val="24"/>
              </w:rPr>
              <w:t>b. 日常管理要求</w:t>
            </w:r>
          </w:p>
          <w:p w14:paraId="78081023">
            <w:pPr>
              <w:spacing w:line="480" w:lineRule="exact"/>
              <w:ind w:firstLine="480" w:firstLineChars="200"/>
              <w:jc w:val="left"/>
              <w:rPr>
                <w:kern w:val="0"/>
                <w:sz w:val="24"/>
              </w:rPr>
            </w:pPr>
            <w:r>
              <w:rPr>
                <w:kern w:val="0"/>
                <w:sz w:val="24"/>
              </w:rPr>
              <w:t>1）设专职人员负责本厂内的废物管理并对委托的有资质废物处理单位进行监督。</w:t>
            </w:r>
          </w:p>
          <w:p w14:paraId="45C483DB">
            <w:pPr>
              <w:spacing w:line="480" w:lineRule="exact"/>
              <w:ind w:firstLine="480" w:firstLineChars="200"/>
              <w:jc w:val="left"/>
              <w:rPr>
                <w:kern w:val="0"/>
                <w:sz w:val="24"/>
              </w:rPr>
            </w:pPr>
            <w:r>
              <w:rPr>
                <w:kern w:val="0"/>
                <w:sz w:val="24"/>
              </w:rPr>
              <w:t>2）对全部废物进行分类界定，对列入危险废物名录中的废物登记建账进行全过程监管。</w:t>
            </w:r>
          </w:p>
          <w:p w14:paraId="0C1B3660">
            <w:pPr>
              <w:spacing w:line="480" w:lineRule="exact"/>
              <w:ind w:firstLine="480" w:firstLineChars="200"/>
              <w:jc w:val="left"/>
              <w:rPr>
                <w:kern w:val="0"/>
                <w:sz w:val="24"/>
              </w:rPr>
            </w:pPr>
            <w:r>
              <w:rPr>
                <w:kern w:val="0"/>
                <w:sz w:val="24"/>
              </w:rPr>
              <w:t>3）根据危险废物的性质、形态，选择安全的包装材料和包装方式，包装容器的外面必须有表示废物形态、性质的明显标志，并向运输者和接受者提供安全保护要求的文字说明。</w:t>
            </w:r>
          </w:p>
          <w:p w14:paraId="2A28E653">
            <w:pPr>
              <w:spacing w:line="480" w:lineRule="exact"/>
              <w:ind w:firstLine="480" w:firstLineChars="200"/>
              <w:jc w:val="left"/>
              <w:rPr>
                <w:kern w:val="0"/>
                <w:sz w:val="24"/>
              </w:rPr>
            </w:pPr>
            <w:r>
              <w:rPr>
                <w:kern w:val="0"/>
                <w:sz w:val="24"/>
              </w:rPr>
              <w:t>4）禁止将危险废物与一般固体废物、生活垃圾及其它废物混合堆放。</w:t>
            </w:r>
          </w:p>
          <w:p w14:paraId="6423458C">
            <w:pPr>
              <w:spacing w:line="480" w:lineRule="exact"/>
              <w:ind w:firstLine="480" w:firstLineChars="200"/>
              <w:jc w:val="left"/>
              <w:rPr>
                <w:kern w:val="0"/>
                <w:sz w:val="24"/>
              </w:rPr>
            </w:pPr>
            <w:r>
              <w:rPr>
                <w:kern w:val="0"/>
                <w:sz w:val="24"/>
              </w:rPr>
              <w:t>5）定期向生态环境部门汇报固体废物的处置情况，接受生态环境部门的指导和监督管理。</w:t>
            </w:r>
          </w:p>
          <w:p w14:paraId="22820C6A">
            <w:pPr>
              <w:spacing w:line="480" w:lineRule="exact"/>
              <w:ind w:firstLine="480" w:firstLineChars="200"/>
              <w:jc w:val="left"/>
              <w:rPr>
                <w:kern w:val="0"/>
                <w:sz w:val="24"/>
              </w:rPr>
            </w:pPr>
            <w:r>
              <w:rPr>
                <w:kern w:val="0"/>
                <w:sz w:val="24"/>
              </w:rPr>
              <w:t>（6）结论</w:t>
            </w:r>
          </w:p>
          <w:p w14:paraId="12CD95E3">
            <w:pPr>
              <w:adjustRightInd w:val="0"/>
              <w:snapToGrid w:val="0"/>
              <w:spacing w:line="480" w:lineRule="exact"/>
              <w:ind w:firstLine="480" w:firstLineChars="200"/>
              <w:rPr>
                <w:sz w:val="24"/>
              </w:rPr>
            </w:pPr>
            <w:r>
              <w:rPr>
                <w:kern w:val="0"/>
                <w:sz w:val="24"/>
              </w:rPr>
              <w:t>在建设单位严格对项目产生的危险废物进行全过程管理并落实相关要求的条件下，本项目危险废物处理可行、贮存合理，不会对环境造成二次污染。</w:t>
            </w:r>
          </w:p>
          <w:p w14:paraId="00203C26">
            <w:pPr>
              <w:widowControl/>
              <w:adjustRightInd w:val="0"/>
              <w:snapToGrid w:val="0"/>
              <w:spacing w:line="480" w:lineRule="exact"/>
              <w:ind w:firstLine="480" w:firstLineChars="200"/>
              <w:rPr>
                <w:sz w:val="24"/>
              </w:rPr>
            </w:pPr>
            <w:r>
              <w:rPr>
                <w:sz w:val="24"/>
              </w:rPr>
              <w:t>综上所述，在建设单位严格对本项目的危险废物进行全过程管理并落实相关要求的条件下，本项目危险废物处理可行、贮存合理，不会对环境造成二次污染。</w:t>
            </w:r>
          </w:p>
          <w:p w14:paraId="1415D1B9">
            <w:pPr>
              <w:widowControl/>
              <w:adjustRightInd w:val="0"/>
              <w:snapToGrid w:val="0"/>
              <w:spacing w:line="480" w:lineRule="exact"/>
              <w:ind w:firstLine="480" w:firstLineChars="200"/>
              <w:rPr>
                <w:sz w:val="24"/>
              </w:rPr>
            </w:pPr>
            <w:r>
              <w:rPr>
                <w:sz w:val="24"/>
              </w:rPr>
              <w:t>综上，本项目固体废物均妥善处置，不会对当地环境产生明显不利影响。</w:t>
            </w:r>
          </w:p>
          <w:p w14:paraId="5CA3B4CA">
            <w:pPr>
              <w:spacing w:line="480" w:lineRule="exact"/>
              <w:ind w:firstLine="482" w:firstLineChars="200"/>
              <w:outlineLvl w:val="1"/>
              <w:rPr>
                <w:b/>
                <w:bCs/>
                <w:kern w:val="0"/>
                <w:sz w:val="24"/>
              </w:rPr>
            </w:pPr>
            <w:r>
              <w:rPr>
                <w:b/>
                <w:bCs/>
                <w:kern w:val="0"/>
                <w:sz w:val="24"/>
              </w:rPr>
              <w:t>6、地下水及土壤环境影响分析</w:t>
            </w:r>
          </w:p>
          <w:p w14:paraId="1FF74EDB">
            <w:pPr>
              <w:spacing w:line="480" w:lineRule="exact"/>
              <w:ind w:firstLine="480" w:firstLineChars="200"/>
              <w:rPr>
                <w:sz w:val="24"/>
              </w:rPr>
            </w:pPr>
            <w:r>
              <w:rPr>
                <w:rFonts w:hint="eastAsia"/>
                <w:sz w:val="24"/>
              </w:rPr>
              <w:t>项目运营期废气仅为食堂油烟，为气态物质且排放量小，不会对土壤及地下水环境产生影响。</w:t>
            </w:r>
            <w:r>
              <w:rPr>
                <w:sz w:val="24"/>
              </w:rPr>
              <w:t>为了避免本项目运营期</w:t>
            </w:r>
            <w:r>
              <w:rPr>
                <w:rFonts w:hint="eastAsia"/>
                <w:sz w:val="24"/>
              </w:rPr>
              <w:t>风机处、站内危废贮存库</w:t>
            </w:r>
            <w:r>
              <w:rPr>
                <w:sz w:val="24"/>
              </w:rPr>
              <w:t>、</w:t>
            </w:r>
            <w:r>
              <w:rPr>
                <w:rFonts w:hint="eastAsia"/>
                <w:sz w:val="24"/>
              </w:rPr>
              <w:t>贮油池、各</w:t>
            </w:r>
            <w:r>
              <w:rPr>
                <w:sz w:val="24"/>
              </w:rPr>
              <w:t>事故油池</w:t>
            </w:r>
            <w:r>
              <w:rPr>
                <w:rFonts w:hint="eastAsia"/>
                <w:sz w:val="24"/>
              </w:rPr>
              <w:t>、蓄电池室内等处风险物质发</w:t>
            </w:r>
            <w:r>
              <w:rPr>
                <w:sz w:val="24"/>
              </w:rPr>
              <w:t>生跑、冒、滴、漏</w:t>
            </w:r>
            <w:r>
              <w:rPr>
                <w:rFonts w:hint="eastAsia"/>
                <w:sz w:val="24"/>
              </w:rPr>
              <w:t>下渗</w:t>
            </w:r>
            <w:r>
              <w:rPr>
                <w:sz w:val="24"/>
              </w:rPr>
              <w:t>污染项目区域的土壤及地下水环境，需采取以下措施进行控制：</w:t>
            </w:r>
          </w:p>
          <w:p w14:paraId="7C9A113E">
            <w:pPr>
              <w:spacing w:line="480" w:lineRule="exact"/>
              <w:ind w:firstLine="480" w:firstLineChars="200"/>
              <w:rPr>
                <w:sz w:val="24"/>
              </w:rPr>
            </w:pPr>
            <w:r>
              <w:rPr>
                <w:sz w:val="24"/>
              </w:rPr>
              <w:t>①源头控制措施</w:t>
            </w:r>
          </w:p>
          <w:p w14:paraId="76CAF460">
            <w:pPr>
              <w:spacing w:line="480" w:lineRule="exact"/>
              <w:ind w:firstLine="480" w:firstLineChars="200"/>
              <w:rPr>
                <w:sz w:val="24"/>
              </w:rPr>
            </w:pPr>
            <w:r>
              <w:rPr>
                <w:rFonts w:hint="eastAsia"/>
                <w:sz w:val="24"/>
              </w:rPr>
              <w:t>对风机、变电站、蓄电池室、危废贮存库等定期进行检修，</w:t>
            </w:r>
            <w:r>
              <w:rPr>
                <w:sz w:val="24"/>
              </w:rPr>
              <w:t>防止和减少污染物的跑、冒、滴、漏</w:t>
            </w:r>
            <w:r>
              <w:rPr>
                <w:rFonts w:hint="eastAsia"/>
                <w:sz w:val="24"/>
              </w:rPr>
              <w:t>风险</w:t>
            </w:r>
            <w:r>
              <w:rPr>
                <w:sz w:val="24"/>
              </w:rPr>
              <w:t>。</w:t>
            </w:r>
          </w:p>
          <w:p w14:paraId="24D08DED">
            <w:pPr>
              <w:spacing w:line="480" w:lineRule="exact"/>
              <w:ind w:firstLine="480" w:firstLineChars="200"/>
              <w:rPr>
                <w:sz w:val="24"/>
              </w:rPr>
            </w:pPr>
            <w:r>
              <w:rPr>
                <w:sz w:val="24"/>
              </w:rPr>
              <w:t>②分区防治措施</w:t>
            </w:r>
          </w:p>
          <w:p w14:paraId="5361A449">
            <w:pPr>
              <w:spacing w:line="480" w:lineRule="exact"/>
              <w:ind w:firstLine="480" w:firstLineChars="200"/>
              <w:rPr>
                <w:sz w:val="24"/>
              </w:rPr>
            </w:pPr>
            <w:r>
              <w:rPr>
                <w:sz w:val="24"/>
              </w:rPr>
              <w:t>项目重点防渗区主要为</w:t>
            </w:r>
            <w:r>
              <w:rPr>
                <w:rFonts w:hint="eastAsia"/>
                <w:sz w:val="24"/>
              </w:rPr>
              <w:t>危废贮存库</w:t>
            </w:r>
            <w:r>
              <w:rPr>
                <w:sz w:val="24"/>
              </w:rPr>
              <w:t>、贮油池、事故油池</w:t>
            </w:r>
            <w:r>
              <w:rPr>
                <w:rFonts w:hint="eastAsia"/>
                <w:sz w:val="24"/>
              </w:rPr>
              <w:t>、蓄电池室</w:t>
            </w:r>
            <w:r>
              <w:rPr>
                <w:sz w:val="24"/>
              </w:rPr>
              <w:t>；其他区域为简单防渗区。</w:t>
            </w:r>
          </w:p>
          <w:p w14:paraId="56D8EA0E">
            <w:pPr>
              <w:spacing w:line="480" w:lineRule="exact"/>
              <w:ind w:firstLine="480" w:firstLineChars="200"/>
              <w:rPr>
                <w:sz w:val="24"/>
              </w:rPr>
            </w:pPr>
            <w:r>
              <w:rPr>
                <w:sz w:val="24"/>
              </w:rPr>
              <w:t>在施工过程中，要保质保量，杜绝出现裂、渗情况，应定期对污水管网等地面，侧壁进行检查，一旦出现裂、渗情况，要及时修理。</w:t>
            </w:r>
          </w:p>
          <w:p w14:paraId="5D558CC5">
            <w:pPr>
              <w:spacing w:line="480" w:lineRule="exact"/>
              <w:ind w:firstLine="480" w:firstLineChars="200"/>
              <w:rPr>
                <w:sz w:val="24"/>
              </w:rPr>
            </w:pPr>
            <w:r>
              <w:rPr>
                <w:sz w:val="24"/>
              </w:rPr>
              <w:t>本项目升压站防渗分区情况见下表。</w:t>
            </w:r>
          </w:p>
          <w:p w14:paraId="3085E8EA">
            <w:pPr>
              <w:jc w:val="center"/>
              <w:outlineLvl w:val="3"/>
              <w:rPr>
                <w:b/>
                <w:bCs/>
                <w:szCs w:val="21"/>
              </w:rPr>
            </w:pPr>
          </w:p>
          <w:p w14:paraId="3F15DDCF">
            <w:pPr>
              <w:jc w:val="center"/>
              <w:outlineLvl w:val="3"/>
              <w:rPr>
                <w:b/>
                <w:bCs/>
                <w:szCs w:val="21"/>
              </w:rPr>
            </w:pPr>
            <w:r>
              <w:rPr>
                <w:b/>
                <w:bCs/>
                <w:szCs w:val="21"/>
              </w:rPr>
              <w:t>表4-1</w:t>
            </w:r>
            <w:r>
              <w:rPr>
                <w:rFonts w:hint="eastAsia"/>
                <w:b/>
                <w:bCs/>
                <w:szCs w:val="21"/>
              </w:rPr>
              <w:t>1</w:t>
            </w:r>
            <w:r>
              <w:rPr>
                <w:b/>
                <w:bCs/>
                <w:szCs w:val="21"/>
              </w:rPr>
              <w:t xml:space="preserve">     本项目防渗分区及防渗防腐要求一览表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86"/>
              <w:gridCol w:w="791"/>
              <w:gridCol w:w="4213"/>
              <w:gridCol w:w="1480"/>
            </w:tblGrid>
            <w:tr w14:paraId="2FAD1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tblHeader/>
                <w:jc w:val="center"/>
              </w:trPr>
              <w:tc>
                <w:tcPr>
                  <w:tcW w:w="1287" w:type="pct"/>
                  <w:gridSpan w:val="2"/>
                  <w:tcBorders>
                    <w:tl2br w:val="nil"/>
                    <w:tr2bl w:val="nil"/>
                  </w:tcBorders>
                  <w:vAlign w:val="center"/>
                </w:tcPr>
                <w:p w14:paraId="5496D936">
                  <w:pPr>
                    <w:adjustRightInd w:val="0"/>
                    <w:jc w:val="center"/>
                    <w:textAlignment w:val="baseline"/>
                    <w:rPr>
                      <w:kern w:val="0"/>
                      <w:szCs w:val="21"/>
                    </w:rPr>
                  </w:pPr>
                  <w:r>
                    <w:rPr>
                      <w:kern w:val="0"/>
                      <w:szCs w:val="21"/>
                    </w:rPr>
                    <w:t>防渗分区</w:t>
                  </w:r>
                </w:p>
              </w:tc>
              <w:tc>
                <w:tcPr>
                  <w:tcW w:w="2932" w:type="pct"/>
                  <w:tcBorders>
                    <w:tl2br w:val="nil"/>
                    <w:tr2bl w:val="nil"/>
                  </w:tcBorders>
                  <w:vAlign w:val="center"/>
                </w:tcPr>
                <w:p w14:paraId="173AA162">
                  <w:pPr>
                    <w:adjustRightInd w:val="0"/>
                    <w:jc w:val="center"/>
                    <w:textAlignment w:val="baseline"/>
                    <w:rPr>
                      <w:kern w:val="0"/>
                      <w:szCs w:val="21"/>
                    </w:rPr>
                  </w:pPr>
                  <w:r>
                    <w:rPr>
                      <w:kern w:val="0"/>
                      <w:szCs w:val="21"/>
                    </w:rPr>
                    <w:t>防渗</w:t>
                  </w:r>
                  <w:r>
                    <w:rPr>
                      <w:rFonts w:hint="eastAsia"/>
                      <w:kern w:val="0"/>
                      <w:szCs w:val="21"/>
                    </w:rPr>
                    <w:t>措施</w:t>
                  </w:r>
                </w:p>
              </w:tc>
              <w:tc>
                <w:tcPr>
                  <w:tcW w:w="780" w:type="pct"/>
                  <w:tcBorders>
                    <w:tl2br w:val="nil"/>
                    <w:tr2bl w:val="nil"/>
                  </w:tcBorders>
                  <w:vAlign w:val="center"/>
                </w:tcPr>
                <w:p w14:paraId="33AEF068">
                  <w:pPr>
                    <w:adjustRightInd w:val="0"/>
                    <w:jc w:val="center"/>
                    <w:textAlignment w:val="baseline"/>
                    <w:rPr>
                      <w:kern w:val="0"/>
                      <w:szCs w:val="21"/>
                    </w:rPr>
                  </w:pPr>
                  <w:r>
                    <w:rPr>
                      <w:rFonts w:hint="eastAsia"/>
                      <w:kern w:val="0"/>
                      <w:szCs w:val="21"/>
                    </w:rPr>
                    <w:t>防渗效果</w:t>
                  </w:r>
                </w:p>
              </w:tc>
            </w:tr>
            <w:tr w14:paraId="0C931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5F590B04">
                  <w:pPr>
                    <w:adjustRightInd w:val="0"/>
                    <w:jc w:val="center"/>
                    <w:textAlignment w:val="baseline"/>
                    <w:rPr>
                      <w:kern w:val="0"/>
                      <w:szCs w:val="21"/>
                    </w:rPr>
                  </w:pPr>
                  <w:r>
                    <w:rPr>
                      <w:kern w:val="0"/>
                      <w:szCs w:val="21"/>
                    </w:rPr>
                    <w:t>重点防渗区</w:t>
                  </w:r>
                </w:p>
              </w:tc>
              <w:tc>
                <w:tcPr>
                  <w:tcW w:w="610" w:type="pct"/>
                  <w:tcBorders>
                    <w:tl2br w:val="nil"/>
                    <w:tr2bl w:val="nil"/>
                  </w:tcBorders>
                  <w:vAlign w:val="center"/>
                </w:tcPr>
                <w:p w14:paraId="61FDF09C">
                  <w:pPr>
                    <w:adjustRightInd w:val="0"/>
                    <w:jc w:val="center"/>
                    <w:textAlignment w:val="baseline"/>
                    <w:rPr>
                      <w:kern w:val="0"/>
                      <w:szCs w:val="21"/>
                    </w:rPr>
                  </w:pPr>
                  <w:r>
                    <w:rPr>
                      <w:rFonts w:hint="eastAsia"/>
                      <w:kern w:val="0"/>
                      <w:szCs w:val="21"/>
                    </w:rPr>
                    <w:t>危废贮存库</w:t>
                  </w:r>
                  <w:r>
                    <w:rPr>
                      <w:kern w:val="0"/>
                      <w:szCs w:val="21"/>
                    </w:rPr>
                    <w:t>、事故油池、贮油池</w:t>
                  </w:r>
                  <w:r>
                    <w:rPr>
                      <w:rFonts w:hint="eastAsia"/>
                      <w:kern w:val="0"/>
                      <w:szCs w:val="21"/>
                    </w:rPr>
                    <w:t>、蓄电池室</w:t>
                  </w:r>
                </w:p>
              </w:tc>
              <w:tc>
                <w:tcPr>
                  <w:tcW w:w="2932" w:type="pct"/>
                  <w:tcBorders>
                    <w:tl2br w:val="nil"/>
                    <w:tr2bl w:val="nil"/>
                  </w:tcBorders>
                  <w:vAlign w:val="center"/>
                </w:tcPr>
                <w:p w14:paraId="784C67D3">
                  <w:pPr>
                    <w:adjustRightInd w:val="0"/>
                    <w:jc w:val="center"/>
                    <w:textAlignment w:val="baseline"/>
                    <w:rPr>
                      <w:kern w:val="0"/>
                      <w:szCs w:val="21"/>
                    </w:rPr>
                  </w:pPr>
                  <w:r>
                    <w:rPr>
                      <w:rFonts w:hint="eastAsia"/>
                      <w:kern w:val="0"/>
                      <w:szCs w:val="21"/>
                    </w:rPr>
                    <w:t>危废贮存库</w:t>
                  </w:r>
                  <w:r>
                    <w:rPr>
                      <w:kern w:val="0"/>
                      <w:szCs w:val="21"/>
                    </w:rPr>
                    <w:t>地面与裙脚采取表面</w:t>
                  </w:r>
                  <w:r>
                    <w:rPr>
                      <w:rFonts w:hint="eastAsia"/>
                      <w:kern w:val="0"/>
                      <w:szCs w:val="21"/>
                    </w:rPr>
                    <w:t>防腐</w:t>
                  </w:r>
                  <w:r>
                    <w:rPr>
                      <w:kern w:val="0"/>
                      <w:szCs w:val="21"/>
                    </w:rPr>
                    <w:t>防渗措施，防渗层为至少1m厚黏土层，或2mm厚高密度聚乙烯，或至少2mm厚的其它人工材料</w:t>
                  </w:r>
                  <w:r>
                    <w:rPr>
                      <w:rFonts w:hint="eastAsia"/>
                      <w:kern w:val="0"/>
                      <w:szCs w:val="21"/>
                    </w:rPr>
                    <w:t>；</w:t>
                  </w:r>
                </w:p>
                <w:p w14:paraId="688D77CC">
                  <w:pPr>
                    <w:adjustRightInd w:val="0"/>
                    <w:jc w:val="center"/>
                    <w:textAlignment w:val="baseline"/>
                    <w:rPr>
                      <w:kern w:val="0"/>
                      <w:szCs w:val="21"/>
                    </w:rPr>
                  </w:pPr>
                  <w:r>
                    <w:rPr>
                      <w:rFonts w:hint="eastAsia"/>
                      <w:kern w:val="0"/>
                      <w:szCs w:val="21"/>
                    </w:rPr>
                    <w:t>贮油池、</w:t>
                  </w:r>
                  <w:r>
                    <w:rPr>
                      <w:kern w:val="0"/>
                      <w:szCs w:val="21"/>
                    </w:rPr>
                    <w:t>事故油池采用25cm抗渗混凝土浇筑，池体内部采用防水砂浆，外壁设置防水层，防水层为3mm+3mm厚双层自粘聚合物改性沥青防水卷材</w:t>
                  </w:r>
                  <w:r>
                    <w:rPr>
                      <w:rFonts w:hint="eastAsia"/>
                      <w:kern w:val="0"/>
                      <w:szCs w:val="21"/>
                    </w:rPr>
                    <w:t>；蓄电池室地面采取防腐</w:t>
                  </w:r>
                  <w:r>
                    <w:rPr>
                      <w:kern w:val="0"/>
                      <w:szCs w:val="21"/>
                    </w:rPr>
                    <w:t>防渗措施，</w:t>
                  </w:r>
                  <w:r>
                    <w:rPr>
                      <w:rFonts w:hint="eastAsia"/>
                      <w:kern w:val="0"/>
                      <w:szCs w:val="21"/>
                    </w:rPr>
                    <w:t>确保渗透系数</w:t>
                  </w:r>
                  <w:r>
                    <w:rPr>
                      <w:kern w:val="0"/>
                      <w:szCs w:val="21"/>
                    </w:rPr>
                    <w:t>≤1×10</w:t>
                  </w:r>
                  <w:r>
                    <w:rPr>
                      <w:kern w:val="0"/>
                      <w:szCs w:val="21"/>
                      <w:vertAlign w:val="superscript"/>
                    </w:rPr>
                    <w:t>-7</w:t>
                  </w:r>
                  <w:r>
                    <w:rPr>
                      <w:kern w:val="0"/>
                      <w:szCs w:val="21"/>
                    </w:rPr>
                    <w:t>cm/s</w:t>
                  </w:r>
                </w:p>
              </w:tc>
              <w:tc>
                <w:tcPr>
                  <w:tcW w:w="780" w:type="pct"/>
                  <w:tcBorders>
                    <w:tl2br w:val="nil"/>
                    <w:tr2bl w:val="nil"/>
                  </w:tcBorders>
                  <w:vAlign w:val="center"/>
                </w:tcPr>
                <w:p w14:paraId="5382F4FF">
                  <w:pPr>
                    <w:adjustRightInd w:val="0"/>
                    <w:jc w:val="center"/>
                    <w:textAlignment w:val="baseline"/>
                    <w:rPr>
                      <w:kern w:val="0"/>
                      <w:szCs w:val="21"/>
                    </w:rPr>
                  </w:pPr>
                  <w:r>
                    <w:rPr>
                      <w:kern w:val="0"/>
                      <w:szCs w:val="21"/>
                    </w:rPr>
                    <w:t>等效黏土防渗层 Mb≥6.0m，K≤1×10</w:t>
                  </w:r>
                  <w:r>
                    <w:rPr>
                      <w:kern w:val="0"/>
                      <w:szCs w:val="21"/>
                      <w:vertAlign w:val="superscript"/>
                    </w:rPr>
                    <w:t>-7</w:t>
                  </w:r>
                  <w:r>
                    <w:rPr>
                      <w:kern w:val="0"/>
                      <w:szCs w:val="21"/>
                    </w:rPr>
                    <w:t>cm/s；或参考GB18598执行</w:t>
                  </w:r>
                </w:p>
              </w:tc>
            </w:tr>
            <w:tr w14:paraId="3CAE9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676" w:type="pct"/>
                  <w:tcBorders>
                    <w:tl2br w:val="nil"/>
                    <w:tr2bl w:val="nil"/>
                  </w:tcBorders>
                  <w:vAlign w:val="center"/>
                </w:tcPr>
                <w:p w14:paraId="6F525A37">
                  <w:pPr>
                    <w:adjustRightInd w:val="0"/>
                    <w:jc w:val="center"/>
                    <w:textAlignment w:val="baseline"/>
                    <w:rPr>
                      <w:kern w:val="0"/>
                      <w:szCs w:val="21"/>
                    </w:rPr>
                  </w:pPr>
                  <w:r>
                    <w:rPr>
                      <w:kern w:val="0"/>
                      <w:szCs w:val="21"/>
                    </w:rPr>
                    <w:t>简单防渗区</w:t>
                  </w:r>
                </w:p>
              </w:tc>
              <w:tc>
                <w:tcPr>
                  <w:tcW w:w="610" w:type="pct"/>
                  <w:tcBorders>
                    <w:tl2br w:val="nil"/>
                    <w:tr2bl w:val="nil"/>
                  </w:tcBorders>
                  <w:vAlign w:val="center"/>
                </w:tcPr>
                <w:p w14:paraId="21ED5DD7">
                  <w:pPr>
                    <w:adjustRightInd w:val="0"/>
                    <w:jc w:val="center"/>
                    <w:textAlignment w:val="baseline"/>
                    <w:rPr>
                      <w:kern w:val="0"/>
                      <w:szCs w:val="21"/>
                    </w:rPr>
                  </w:pPr>
                  <w:r>
                    <w:rPr>
                      <w:kern w:val="0"/>
                      <w:szCs w:val="21"/>
                    </w:rPr>
                    <w:t>其他区域</w:t>
                  </w:r>
                </w:p>
              </w:tc>
              <w:tc>
                <w:tcPr>
                  <w:tcW w:w="2932" w:type="pct"/>
                  <w:tcBorders>
                    <w:tl2br w:val="nil"/>
                    <w:tr2bl w:val="nil"/>
                  </w:tcBorders>
                  <w:vAlign w:val="center"/>
                </w:tcPr>
                <w:p w14:paraId="41150ABF">
                  <w:pPr>
                    <w:adjustRightInd w:val="0"/>
                    <w:jc w:val="center"/>
                    <w:textAlignment w:val="baseline"/>
                    <w:rPr>
                      <w:kern w:val="0"/>
                      <w:szCs w:val="21"/>
                    </w:rPr>
                  </w:pPr>
                  <w:r>
                    <w:rPr>
                      <w:rFonts w:hint="eastAsia"/>
                      <w:kern w:val="0"/>
                      <w:szCs w:val="21"/>
                    </w:rPr>
                    <w:t>蓄电池室内蓄电池下方设置托盘，站内及风机基础地面均进行混凝土硬化处理</w:t>
                  </w:r>
                </w:p>
              </w:tc>
              <w:tc>
                <w:tcPr>
                  <w:tcW w:w="780" w:type="pct"/>
                  <w:tcBorders>
                    <w:tl2br w:val="nil"/>
                    <w:tr2bl w:val="nil"/>
                  </w:tcBorders>
                  <w:vAlign w:val="center"/>
                </w:tcPr>
                <w:p w14:paraId="5683B1C8">
                  <w:pPr>
                    <w:adjustRightInd w:val="0"/>
                    <w:jc w:val="center"/>
                    <w:textAlignment w:val="baseline"/>
                    <w:rPr>
                      <w:kern w:val="0"/>
                      <w:szCs w:val="21"/>
                    </w:rPr>
                  </w:pPr>
                  <w:r>
                    <w:rPr>
                      <w:rFonts w:hint="eastAsia"/>
                      <w:kern w:val="0"/>
                      <w:szCs w:val="21"/>
                    </w:rPr>
                    <w:t>/</w:t>
                  </w:r>
                </w:p>
              </w:tc>
            </w:tr>
          </w:tbl>
          <w:p w14:paraId="7FFA9960">
            <w:pPr>
              <w:widowControl/>
              <w:adjustRightInd w:val="0"/>
              <w:snapToGrid w:val="0"/>
              <w:spacing w:line="480" w:lineRule="exact"/>
              <w:ind w:firstLine="480" w:firstLineChars="200"/>
              <w:rPr>
                <w:sz w:val="24"/>
              </w:rPr>
            </w:pPr>
            <w:r>
              <w:rPr>
                <w:sz w:val="24"/>
              </w:rPr>
              <w:t>在确保各项防渗措施得以落实，并加强维护和加强环境管理的前提下，可有效控制废水污染物下渗现象，避免污染土壤环境及地下水，本项目建设将不对区域土壤环境及地下水环境产生明显影响。</w:t>
            </w:r>
          </w:p>
          <w:p w14:paraId="37CE33E7">
            <w:pPr>
              <w:widowControl/>
              <w:adjustRightInd w:val="0"/>
              <w:snapToGrid w:val="0"/>
              <w:spacing w:line="480" w:lineRule="exact"/>
              <w:ind w:firstLine="480" w:firstLineChars="200"/>
              <w:rPr>
                <w:sz w:val="24"/>
              </w:rPr>
            </w:pPr>
            <w:r>
              <w:rPr>
                <w:sz w:val="24"/>
              </w:rPr>
              <w:t>综上，本项目不会对周边水环境及土壤环境产生明显不利影响。</w:t>
            </w:r>
          </w:p>
          <w:p w14:paraId="2DF931E5">
            <w:pPr>
              <w:spacing w:line="480" w:lineRule="exact"/>
              <w:ind w:firstLine="482" w:firstLineChars="200"/>
              <w:outlineLvl w:val="1"/>
              <w:rPr>
                <w:b/>
                <w:bCs/>
                <w:kern w:val="0"/>
                <w:sz w:val="24"/>
              </w:rPr>
            </w:pPr>
            <w:r>
              <w:rPr>
                <w:b/>
                <w:bCs/>
                <w:kern w:val="0"/>
                <w:sz w:val="24"/>
              </w:rPr>
              <w:t>7、环境风险分析</w:t>
            </w:r>
          </w:p>
          <w:p w14:paraId="57BF9B08">
            <w:pPr>
              <w:spacing w:line="480" w:lineRule="exact"/>
              <w:ind w:firstLine="480" w:firstLineChars="200"/>
              <w:rPr>
                <w:sz w:val="24"/>
              </w:rPr>
            </w:pPr>
            <w:r>
              <w:rPr>
                <w:sz w:val="24"/>
              </w:rPr>
              <w:t>根据《建设项目环境风险评价技术导则》（HJ169-2018）对企业原辅料、中间产品、最终产品以及生产过程排放的“三废”污染物等进行风险性识别，筛选风险评价因子，确定本项目涉及的环境风险物质见下表。</w:t>
            </w:r>
          </w:p>
          <w:p w14:paraId="3BFE3158">
            <w:pPr>
              <w:spacing w:line="480" w:lineRule="exact"/>
              <w:jc w:val="center"/>
              <w:outlineLvl w:val="3"/>
              <w:rPr>
                <w:b/>
                <w:bCs/>
                <w:szCs w:val="21"/>
              </w:rPr>
            </w:pPr>
            <w:r>
              <w:rPr>
                <w:b/>
                <w:bCs/>
                <w:szCs w:val="21"/>
              </w:rPr>
              <w:t>表4-1</w:t>
            </w:r>
            <w:r>
              <w:rPr>
                <w:rFonts w:hint="eastAsia"/>
                <w:b/>
                <w:bCs/>
                <w:szCs w:val="21"/>
              </w:rPr>
              <w:t>2</w:t>
            </w:r>
            <w:r>
              <w:rPr>
                <w:b/>
                <w:bCs/>
                <w:szCs w:val="21"/>
              </w:rPr>
              <w:t xml:space="preserve">    本项目风险物质汇总情况表</w:t>
            </w:r>
          </w:p>
          <w:tbl>
            <w:tblPr>
              <w:tblStyle w:val="32"/>
              <w:tblW w:w="78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83"/>
              <w:gridCol w:w="1224"/>
              <w:gridCol w:w="833"/>
              <w:gridCol w:w="1371"/>
              <w:gridCol w:w="1432"/>
              <w:gridCol w:w="1100"/>
              <w:gridCol w:w="1371"/>
            </w:tblGrid>
            <w:tr w14:paraId="0A667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726867C4">
                  <w:pPr>
                    <w:pStyle w:val="105"/>
                    <w:spacing w:line="360" w:lineRule="exact"/>
                    <w:ind w:left="0" w:firstLine="0"/>
                    <w:jc w:val="center"/>
                    <w:rPr>
                      <w:rFonts w:ascii="Times New Roman" w:cs="Times New Roman"/>
                      <w:sz w:val="21"/>
                      <w:szCs w:val="21"/>
                    </w:rPr>
                  </w:pPr>
                  <w:r>
                    <w:rPr>
                      <w:rFonts w:ascii="Times New Roman" w:cs="Times New Roman"/>
                      <w:sz w:val="21"/>
                      <w:szCs w:val="21"/>
                    </w:rPr>
                    <w:t>序号</w:t>
                  </w:r>
                </w:p>
              </w:tc>
              <w:tc>
                <w:tcPr>
                  <w:tcW w:w="783" w:type="pct"/>
                  <w:tcBorders>
                    <w:tl2br w:val="nil"/>
                    <w:tr2bl w:val="nil"/>
                  </w:tcBorders>
                  <w:vAlign w:val="center"/>
                </w:tcPr>
                <w:p w14:paraId="1DE9501E">
                  <w:pPr>
                    <w:pStyle w:val="105"/>
                    <w:spacing w:line="360" w:lineRule="exact"/>
                    <w:ind w:left="0" w:firstLine="0"/>
                    <w:jc w:val="center"/>
                    <w:rPr>
                      <w:rFonts w:ascii="Times New Roman" w:cs="Times New Roman"/>
                      <w:sz w:val="21"/>
                      <w:szCs w:val="21"/>
                    </w:rPr>
                  </w:pPr>
                  <w:r>
                    <w:rPr>
                      <w:rFonts w:ascii="Times New Roman" w:cs="Times New Roman"/>
                      <w:sz w:val="21"/>
                      <w:szCs w:val="21"/>
                    </w:rPr>
                    <w:t>物质名称</w:t>
                  </w:r>
                </w:p>
              </w:tc>
              <w:tc>
                <w:tcPr>
                  <w:tcW w:w="533" w:type="pct"/>
                  <w:tcBorders>
                    <w:tl2br w:val="nil"/>
                    <w:tr2bl w:val="nil"/>
                  </w:tcBorders>
                  <w:vAlign w:val="center"/>
                </w:tcPr>
                <w:p w14:paraId="61F0BFED">
                  <w:pPr>
                    <w:pStyle w:val="105"/>
                    <w:spacing w:line="360" w:lineRule="exact"/>
                    <w:ind w:left="0" w:firstLine="0"/>
                    <w:jc w:val="center"/>
                    <w:rPr>
                      <w:rFonts w:ascii="Times New Roman" w:cs="Times New Roman"/>
                      <w:sz w:val="21"/>
                      <w:szCs w:val="21"/>
                    </w:rPr>
                  </w:pPr>
                  <w:r>
                    <w:rPr>
                      <w:rFonts w:ascii="Times New Roman" w:cs="Times New Roman"/>
                      <w:sz w:val="21"/>
                      <w:szCs w:val="21"/>
                    </w:rPr>
                    <w:t>CAS号</w:t>
                  </w:r>
                </w:p>
              </w:tc>
              <w:tc>
                <w:tcPr>
                  <w:tcW w:w="877" w:type="pct"/>
                  <w:tcBorders>
                    <w:tl2br w:val="nil"/>
                    <w:tr2bl w:val="nil"/>
                  </w:tcBorders>
                  <w:vAlign w:val="center"/>
                </w:tcPr>
                <w:p w14:paraId="240F31D0">
                  <w:pPr>
                    <w:pStyle w:val="105"/>
                    <w:spacing w:line="360" w:lineRule="exact"/>
                    <w:ind w:left="0" w:firstLine="0"/>
                    <w:jc w:val="center"/>
                    <w:rPr>
                      <w:rFonts w:ascii="Times New Roman" w:cs="Times New Roman"/>
                      <w:sz w:val="21"/>
                      <w:szCs w:val="21"/>
                    </w:rPr>
                  </w:pPr>
                  <w:r>
                    <w:rPr>
                      <w:rFonts w:ascii="Times New Roman" w:cs="Times New Roman"/>
                      <w:sz w:val="21"/>
                      <w:szCs w:val="21"/>
                    </w:rPr>
                    <w:t>临界量（t）</w:t>
                  </w:r>
                </w:p>
              </w:tc>
              <w:tc>
                <w:tcPr>
                  <w:tcW w:w="913" w:type="pct"/>
                  <w:tcBorders>
                    <w:tl2br w:val="nil"/>
                    <w:tr2bl w:val="nil"/>
                  </w:tcBorders>
                  <w:vAlign w:val="center"/>
                </w:tcPr>
                <w:p w14:paraId="5BC7000E">
                  <w:pPr>
                    <w:pStyle w:val="105"/>
                    <w:spacing w:line="360" w:lineRule="exact"/>
                    <w:ind w:left="0" w:firstLine="0"/>
                    <w:jc w:val="center"/>
                    <w:rPr>
                      <w:rFonts w:ascii="Times New Roman" w:cs="Times New Roman"/>
                      <w:sz w:val="21"/>
                      <w:szCs w:val="21"/>
                    </w:rPr>
                  </w:pPr>
                  <w:r>
                    <w:rPr>
                      <w:rFonts w:ascii="Times New Roman" w:cs="Times New Roman"/>
                      <w:sz w:val="21"/>
                      <w:szCs w:val="21"/>
                    </w:rPr>
                    <w:t>最大存在量（t）</w:t>
                  </w:r>
                </w:p>
              </w:tc>
              <w:tc>
                <w:tcPr>
                  <w:tcW w:w="704" w:type="pct"/>
                  <w:tcBorders>
                    <w:tl2br w:val="nil"/>
                    <w:tr2bl w:val="nil"/>
                  </w:tcBorders>
                  <w:vAlign w:val="center"/>
                </w:tcPr>
                <w:p w14:paraId="4C7861BB">
                  <w:pPr>
                    <w:pStyle w:val="105"/>
                    <w:spacing w:line="360" w:lineRule="exact"/>
                    <w:ind w:left="0" w:firstLine="0"/>
                    <w:jc w:val="center"/>
                    <w:rPr>
                      <w:rFonts w:ascii="Times New Roman" w:cs="Times New Roman"/>
                      <w:sz w:val="21"/>
                      <w:szCs w:val="21"/>
                    </w:rPr>
                  </w:pPr>
                  <w:r>
                    <w:rPr>
                      <w:rFonts w:ascii="Times New Roman" w:cs="Times New Roman"/>
                      <w:sz w:val="21"/>
                      <w:szCs w:val="21"/>
                    </w:rPr>
                    <w:t>q/Q</w:t>
                  </w:r>
                </w:p>
              </w:tc>
              <w:tc>
                <w:tcPr>
                  <w:tcW w:w="877" w:type="pct"/>
                  <w:tcBorders>
                    <w:tl2br w:val="nil"/>
                    <w:tr2bl w:val="nil"/>
                  </w:tcBorders>
                  <w:vAlign w:val="center"/>
                </w:tcPr>
                <w:p w14:paraId="01B3129F">
                  <w:pPr>
                    <w:pStyle w:val="105"/>
                    <w:spacing w:line="360" w:lineRule="exact"/>
                    <w:ind w:left="0" w:firstLine="0"/>
                    <w:jc w:val="center"/>
                    <w:rPr>
                      <w:rFonts w:ascii="Times New Roman" w:cs="Times New Roman"/>
                      <w:sz w:val="21"/>
                      <w:szCs w:val="21"/>
                    </w:rPr>
                  </w:pPr>
                  <w:r>
                    <w:rPr>
                      <w:rFonts w:ascii="Times New Roman" w:cs="Times New Roman"/>
                      <w:sz w:val="21"/>
                      <w:szCs w:val="21"/>
                    </w:rPr>
                    <w:t>备注</w:t>
                  </w:r>
                </w:p>
              </w:tc>
            </w:tr>
            <w:tr w14:paraId="00EC0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02865472">
                  <w:pPr>
                    <w:pStyle w:val="105"/>
                    <w:spacing w:line="320" w:lineRule="exact"/>
                    <w:ind w:left="0" w:firstLine="0"/>
                    <w:jc w:val="center"/>
                    <w:rPr>
                      <w:rFonts w:ascii="Times New Roman" w:cs="Times New Roman"/>
                      <w:sz w:val="21"/>
                      <w:szCs w:val="21"/>
                    </w:rPr>
                  </w:pPr>
                  <w:r>
                    <w:rPr>
                      <w:rFonts w:ascii="Times New Roman" w:cs="Times New Roman"/>
                      <w:sz w:val="21"/>
                      <w:szCs w:val="21"/>
                    </w:rPr>
                    <w:t>1</w:t>
                  </w:r>
                </w:p>
              </w:tc>
              <w:tc>
                <w:tcPr>
                  <w:tcW w:w="783" w:type="pct"/>
                  <w:tcBorders>
                    <w:tl2br w:val="nil"/>
                    <w:tr2bl w:val="nil"/>
                  </w:tcBorders>
                  <w:vAlign w:val="center"/>
                </w:tcPr>
                <w:p w14:paraId="095C6433">
                  <w:pPr>
                    <w:pStyle w:val="105"/>
                    <w:spacing w:line="320" w:lineRule="exact"/>
                    <w:ind w:left="0" w:firstLine="0"/>
                    <w:jc w:val="center"/>
                    <w:rPr>
                      <w:rFonts w:ascii="Times New Roman" w:cs="Times New Roman"/>
                      <w:sz w:val="21"/>
                      <w:szCs w:val="21"/>
                    </w:rPr>
                  </w:pPr>
                  <w:r>
                    <w:rPr>
                      <w:rFonts w:ascii="Times New Roman" w:cs="Times New Roman"/>
                      <w:sz w:val="21"/>
                      <w:szCs w:val="21"/>
                    </w:rPr>
                    <w:t>变压器油</w:t>
                  </w:r>
                </w:p>
              </w:tc>
              <w:tc>
                <w:tcPr>
                  <w:tcW w:w="533" w:type="pct"/>
                  <w:tcBorders>
                    <w:tl2br w:val="nil"/>
                    <w:tr2bl w:val="nil"/>
                  </w:tcBorders>
                  <w:vAlign w:val="center"/>
                </w:tcPr>
                <w:p w14:paraId="0317B823">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c>
                <w:tcPr>
                  <w:tcW w:w="877" w:type="pct"/>
                  <w:tcBorders>
                    <w:tl2br w:val="nil"/>
                    <w:tr2bl w:val="nil"/>
                  </w:tcBorders>
                  <w:vAlign w:val="center"/>
                </w:tcPr>
                <w:p w14:paraId="5013FCFF">
                  <w:pPr>
                    <w:pStyle w:val="105"/>
                    <w:spacing w:line="320" w:lineRule="exact"/>
                    <w:ind w:left="0" w:firstLine="0"/>
                    <w:jc w:val="center"/>
                    <w:rPr>
                      <w:rFonts w:ascii="Times New Roman" w:cs="Times New Roman"/>
                      <w:sz w:val="21"/>
                      <w:szCs w:val="21"/>
                    </w:rPr>
                  </w:pPr>
                  <w:r>
                    <w:rPr>
                      <w:rFonts w:ascii="Times New Roman" w:cs="Times New Roman"/>
                      <w:sz w:val="21"/>
                      <w:szCs w:val="21"/>
                    </w:rPr>
                    <w:t>2500</w:t>
                  </w:r>
                </w:p>
              </w:tc>
              <w:tc>
                <w:tcPr>
                  <w:tcW w:w="913" w:type="pct"/>
                  <w:tcBorders>
                    <w:tl2br w:val="nil"/>
                    <w:tr2bl w:val="nil"/>
                  </w:tcBorders>
                  <w:vAlign w:val="center"/>
                </w:tcPr>
                <w:p w14:paraId="65616682">
                  <w:pPr>
                    <w:pStyle w:val="105"/>
                    <w:spacing w:line="320" w:lineRule="exact"/>
                    <w:ind w:left="0" w:firstLine="0"/>
                    <w:jc w:val="center"/>
                    <w:rPr>
                      <w:rFonts w:ascii="Times New Roman" w:cs="Times New Roman"/>
                      <w:sz w:val="21"/>
                      <w:szCs w:val="21"/>
                    </w:rPr>
                  </w:pPr>
                  <w:r>
                    <w:rPr>
                      <w:rFonts w:ascii="Times New Roman" w:cs="Times New Roman"/>
                      <w:sz w:val="21"/>
                      <w:szCs w:val="21"/>
                    </w:rPr>
                    <w:t>179</w:t>
                  </w:r>
                </w:p>
              </w:tc>
              <w:tc>
                <w:tcPr>
                  <w:tcW w:w="704" w:type="pct"/>
                  <w:tcBorders>
                    <w:tl2br w:val="nil"/>
                    <w:tr2bl w:val="nil"/>
                  </w:tcBorders>
                  <w:vAlign w:val="center"/>
                </w:tcPr>
                <w:p w14:paraId="655340D8">
                  <w:pPr>
                    <w:pStyle w:val="105"/>
                    <w:spacing w:line="320" w:lineRule="exact"/>
                    <w:ind w:left="0" w:firstLine="0"/>
                    <w:jc w:val="center"/>
                    <w:rPr>
                      <w:rFonts w:ascii="Times New Roman" w:cs="Times New Roman"/>
                      <w:sz w:val="21"/>
                      <w:szCs w:val="21"/>
                    </w:rPr>
                  </w:pPr>
                  <w:r>
                    <w:rPr>
                      <w:rFonts w:ascii="Times New Roman" w:cs="Times New Roman"/>
                      <w:sz w:val="21"/>
                      <w:szCs w:val="21"/>
                    </w:rPr>
                    <w:t>0.0716</w:t>
                  </w:r>
                </w:p>
              </w:tc>
              <w:tc>
                <w:tcPr>
                  <w:tcW w:w="877" w:type="pct"/>
                  <w:tcBorders>
                    <w:tl2br w:val="nil"/>
                    <w:tr2bl w:val="nil"/>
                  </w:tcBorders>
                  <w:vAlign w:val="center"/>
                </w:tcPr>
                <w:p w14:paraId="652F0E4F">
                  <w:pPr>
                    <w:pStyle w:val="105"/>
                    <w:spacing w:line="320" w:lineRule="exact"/>
                    <w:ind w:left="0" w:firstLine="0"/>
                    <w:jc w:val="center"/>
                    <w:rPr>
                      <w:rFonts w:ascii="Times New Roman" w:cs="Times New Roman"/>
                      <w:sz w:val="21"/>
                      <w:szCs w:val="21"/>
                    </w:rPr>
                  </w:pPr>
                  <w:r>
                    <w:rPr>
                      <w:rFonts w:ascii="Times New Roman" w:cs="Times New Roman"/>
                      <w:sz w:val="21"/>
                      <w:szCs w:val="21"/>
                    </w:rPr>
                    <w:t>主变油箱/箱变油箱或事故油池内</w:t>
                  </w:r>
                </w:p>
              </w:tc>
            </w:tr>
            <w:tr w14:paraId="5771D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1A21932E">
                  <w:pPr>
                    <w:pStyle w:val="105"/>
                    <w:spacing w:line="320" w:lineRule="exact"/>
                    <w:ind w:left="0" w:firstLine="0"/>
                    <w:jc w:val="center"/>
                    <w:rPr>
                      <w:rFonts w:ascii="Times New Roman" w:cs="Times New Roman"/>
                      <w:sz w:val="21"/>
                      <w:szCs w:val="21"/>
                    </w:rPr>
                  </w:pPr>
                  <w:r>
                    <w:rPr>
                      <w:rFonts w:ascii="Times New Roman" w:cs="Times New Roman"/>
                      <w:sz w:val="21"/>
                      <w:szCs w:val="21"/>
                    </w:rPr>
                    <w:t>2</w:t>
                  </w:r>
                </w:p>
              </w:tc>
              <w:tc>
                <w:tcPr>
                  <w:tcW w:w="783" w:type="pct"/>
                  <w:tcBorders>
                    <w:tl2br w:val="nil"/>
                    <w:tr2bl w:val="nil"/>
                  </w:tcBorders>
                  <w:vAlign w:val="center"/>
                </w:tcPr>
                <w:p w14:paraId="645BCCC5">
                  <w:pPr>
                    <w:pStyle w:val="105"/>
                    <w:spacing w:line="320" w:lineRule="exact"/>
                    <w:ind w:left="0" w:firstLine="0"/>
                    <w:jc w:val="center"/>
                    <w:rPr>
                      <w:rFonts w:ascii="Times New Roman" w:cs="Times New Roman"/>
                      <w:sz w:val="21"/>
                      <w:szCs w:val="21"/>
                    </w:rPr>
                  </w:pPr>
                  <w:r>
                    <w:rPr>
                      <w:rFonts w:ascii="Times New Roman" w:cs="Times New Roman"/>
                      <w:sz w:val="21"/>
                      <w:szCs w:val="21"/>
                    </w:rPr>
                    <w:t>齿轮油</w:t>
                  </w:r>
                </w:p>
              </w:tc>
              <w:tc>
                <w:tcPr>
                  <w:tcW w:w="533" w:type="pct"/>
                  <w:tcBorders>
                    <w:tl2br w:val="nil"/>
                    <w:tr2bl w:val="nil"/>
                  </w:tcBorders>
                  <w:vAlign w:val="center"/>
                </w:tcPr>
                <w:p w14:paraId="35B37CBF">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c>
                <w:tcPr>
                  <w:tcW w:w="877" w:type="pct"/>
                  <w:tcBorders>
                    <w:tl2br w:val="nil"/>
                    <w:tr2bl w:val="nil"/>
                  </w:tcBorders>
                  <w:vAlign w:val="center"/>
                </w:tcPr>
                <w:p w14:paraId="00168151">
                  <w:pPr>
                    <w:pStyle w:val="105"/>
                    <w:spacing w:line="320" w:lineRule="exact"/>
                    <w:ind w:left="0" w:firstLine="0"/>
                    <w:jc w:val="center"/>
                    <w:rPr>
                      <w:rFonts w:ascii="Times New Roman" w:cs="Times New Roman"/>
                      <w:sz w:val="21"/>
                      <w:szCs w:val="21"/>
                    </w:rPr>
                  </w:pPr>
                  <w:r>
                    <w:rPr>
                      <w:rFonts w:ascii="Times New Roman" w:cs="Times New Roman"/>
                      <w:sz w:val="21"/>
                      <w:szCs w:val="21"/>
                    </w:rPr>
                    <w:t>2500</w:t>
                  </w:r>
                </w:p>
              </w:tc>
              <w:tc>
                <w:tcPr>
                  <w:tcW w:w="913" w:type="pct"/>
                  <w:tcBorders>
                    <w:tl2br w:val="nil"/>
                    <w:tr2bl w:val="nil"/>
                  </w:tcBorders>
                  <w:vAlign w:val="center"/>
                </w:tcPr>
                <w:p w14:paraId="1F9D7AD9">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704" w:type="pct"/>
                  <w:tcBorders>
                    <w:tl2br w:val="nil"/>
                    <w:tr2bl w:val="nil"/>
                  </w:tcBorders>
                  <w:vAlign w:val="center"/>
                </w:tcPr>
                <w:p w14:paraId="1ADF8452">
                  <w:pPr>
                    <w:pStyle w:val="105"/>
                    <w:spacing w:line="320" w:lineRule="exact"/>
                    <w:ind w:left="0" w:firstLine="0"/>
                    <w:jc w:val="center"/>
                    <w:rPr>
                      <w:rFonts w:ascii="Times New Roman" w:cs="Times New Roman"/>
                      <w:sz w:val="21"/>
                      <w:szCs w:val="21"/>
                    </w:rPr>
                  </w:pPr>
                  <w:r>
                    <w:rPr>
                      <w:rFonts w:ascii="Times New Roman" w:cs="Times New Roman"/>
                      <w:sz w:val="21"/>
                      <w:szCs w:val="21"/>
                    </w:rPr>
                    <w:t>0.0016</w:t>
                  </w:r>
                </w:p>
              </w:tc>
              <w:tc>
                <w:tcPr>
                  <w:tcW w:w="877" w:type="pct"/>
                  <w:tcBorders>
                    <w:tl2br w:val="nil"/>
                    <w:tr2bl w:val="nil"/>
                  </w:tcBorders>
                  <w:vAlign w:val="center"/>
                </w:tcPr>
                <w:p w14:paraId="4C171762">
                  <w:pPr>
                    <w:pStyle w:val="105"/>
                    <w:spacing w:line="320" w:lineRule="exact"/>
                    <w:ind w:left="0" w:firstLine="0"/>
                    <w:jc w:val="center"/>
                    <w:rPr>
                      <w:rFonts w:ascii="Times New Roman" w:cs="Times New Roman"/>
                      <w:sz w:val="21"/>
                      <w:szCs w:val="21"/>
                    </w:rPr>
                  </w:pPr>
                  <w:r>
                    <w:rPr>
                      <w:rFonts w:ascii="Times New Roman" w:cs="Times New Roman"/>
                      <w:sz w:val="21"/>
                      <w:szCs w:val="21"/>
                    </w:rPr>
                    <w:t>各风机处</w:t>
                  </w:r>
                </w:p>
              </w:tc>
            </w:tr>
            <w:tr w14:paraId="4950D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6430D5C5">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783" w:type="pct"/>
                  <w:tcBorders>
                    <w:tl2br w:val="nil"/>
                    <w:tr2bl w:val="nil"/>
                  </w:tcBorders>
                  <w:vAlign w:val="center"/>
                </w:tcPr>
                <w:p w14:paraId="7D883C8D">
                  <w:pPr>
                    <w:pStyle w:val="105"/>
                    <w:spacing w:line="320" w:lineRule="exact"/>
                    <w:ind w:left="0" w:firstLine="0"/>
                    <w:jc w:val="center"/>
                    <w:rPr>
                      <w:rFonts w:ascii="Times New Roman" w:cs="Times New Roman"/>
                      <w:sz w:val="21"/>
                      <w:szCs w:val="21"/>
                    </w:rPr>
                  </w:pPr>
                  <w:r>
                    <w:rPr>
                      <w:rFonts w:ascii="Times New Roman" w:cs="Times New Roman"/>
                      <w:sz w:val="21"/>
                      <w:szCs w:val="21"/>
                    </w:rPr>
                    <w:t>废齿轮油</w:t>
                  </w:r>
                </w:p>
              </w:tc>
              <w:tc>
                <w:tcPr>
                  <w:tcW w:w="533" w:type="pct"/>
                  <w:tcBorders>
                    <w:tl2br w:val="nil"/>
                    <w:tr2bl w:val="nil"/>
                  </w:tcBorders>
                  <w:vAlign w:val="center"/>
                </w:tcPr>
                <w:p w14:paraId="4C9A1055">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c>
                <w:tcPr>
                  <w:tcW w:w="877" w:type="pct"/>
                  <w:tcBorders>
                    <w:tl2br w:val="nil"/>
                    <w:tr2bl w:val="nil"/>
                  </w:tcBorders>
                  <w:vAlign w:val="center"/>
                </w:tcPr>
                <w:p w14:paraId="7F48AFA5">
                  <w:pPr>
                    <w:pStyle w:val="105"/>
                    <w:spacing w:line="320" w:lineRule="exact"/>
                    <w:ind w:left="0" w:firstLine="0"/>
                    <w:jc w:val="center"/>
                    <w:rPr>
                      <w:rFonts w:ascii="Times New Roman" w:cs="Times New Roman"/>
                      <w:sz w:val="21"/>
                      <w:szCs w:val="21"/>
                    </w:rPr>
                  </w:pPr>
                  <w:r>
                    <w:rPr>
                      <w:rFonts w:ascii="Times New Roman" w:cs="Times New Roman"/>
                      <w:sz w:val="21"/>
                      <w:szCs w:val="21"/>
                    </w:rPr>
                    <w:t>2500</w:t>
                  </w:r>
                </w:p>
              </w:tc>
              <w:tc>
                <w:tcPr>
                  <w:tcW w:w="913" w:type="pct"/>
                  <w:tcBorders>
                    <w:tl2br w:val="nil"/>
                    <w:tr2bl w:val="nil"/>
                  </w:tcBorders>
                  <w:vAlign w:val="center"/>
                </w:tcPr>
                <w:p w14:paraId="4D1DAF77">
                  <w:pPr>
                    <w:pStyle w:val="105"/>
                    <w:spacing w:line="320" w:lineRule="exact"/>
                    <w:ind w:left="0" w:firstLine="0"/>
                    <w:jc w:val="center"/>
                    <w:rPr>
                      <w:rFonts w:ascii="Times New Roman" w:cs="Times New Roman"/>
                      <w:sz w:val="21"/>
                      <w:szCs w:val="21"/>
                    </w:rPr>
                  </w:pPr>
                  <w:r>
                    <w:rPr>
                      <w:rFonts w:ascii="Times New Roman" w:cs="Times New Roman"/>
                      <w:sz w:val="21"/>
                      <w:szCs w:val="21"/>
                    </w:rPr>
                    <w:t>3</w:t>
                  </w:r>
                </w:p>
              </w:tc>
              <w:tc>
                <w:tcPr>
                  <w:tcW w:w="704" w:type="pct"/>
                  <w:tcBorders>
                    <w:tl2br w:val="nil"/>
                    <w:tr2bl w:val="nil"/>
                  </w:tcBorders>
                  <w:vAlign w:val="center"/>
                </w:tcPr>
                <w:p w14:paraId="631F0316">
                  <w:pPr>
                    <w:pStyle w:val="105"/>
                    <w:spacing w:line="320" w:lineRule="exact"/>
                    <w:ind w:left="0" w:firstLine="0"/>
                    <w:jc w:val="center"/>
                    <w:rPr>
                      <w:rFonts w:ascii="Times New Roman" w:cs="Times New Roman"/>
                      <w:sz w:val="21"/>
                      <w:szCs w:val="21"/>
                    </w:rPr>
                  </w:pPr>
                  <w:r>
                    <w:rPr>
                      <w:rFonts w:ascii="Times New Roman" w:cs="Times New Roman"/>
                      <w:sz w:val="21"/>
                      <w:szCs w:val="21"/>
                    </w:rPr>
                    <w:t>0.0012</w:t>
                  </w:r>
                </w:p>
              </w:tc>
              <w:tc>
                <w:tcPr>
                  <w:tcW w:w="877" w:type="pct"/>
                  <w:tcBorders>
                    <w:tl2br w:val="nil"/>
                    <w:tr2bl w:val="nil"/>
                  </w:tcBorders>
                  <w:vAlign w:val="center"/>
                </w:tcPr>
                <w:p w14:paraId="080CC1A5">
                  <w:pPr>
                    <w:pStyle w:val="105"/>
                    <w:spacing w:line="320" w:lineRule="exact"/>
                    <w:ind w:left="0" w:firstLine="0"/>
                    <w:jc w:val="center"/>
                    <w:rPr>
                      <w:rFonts w:ascii="Times New Roman" w:cs="Times New Roman"/>
                      <w:sz w:val="21"/>
                      <w:szCs w:val="21"/>
                    </w:rPr>
                  </w:pPr>
                  <w:r>
                    <w:rPr>
                      <w:rFonts w:hint="eastAsia" w:ascii="Times New Roman" w:cs="Times New Roman"/>
                      <w:sz w:val="21"/>
                      <w:szCs w:val="21"/>
                    </w:rPr>
                    <w:t>危废贮存库</w:t>
                  </w:r>
                  <w:r>
                    <w:rPr>
                      <w:rFonts w:ascii="Times New Roman" w:cs="Times New Roman"/>
                      <w:sz w:val="21"/>
                      <w:szCs w:val="21"/>
                    </w:rPr>
                    <w:t>内</w:t>
                  </w:r>
                </w:p>
              </w:tc>
            </w:tr>
            <w:tr w14:paraId="0475D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3C43DE4A">
                  <w:pPr>
                    <w:pStyle w:val="105"/>
                    <w:spacing w:line="320" w:lineRule="exact"/>
                    <w:ind w:left="0" w:firstLine="0"/>
                    <w:jc w:val="center"/>
                    <w:rPr>
                      <w:rFonts w:ascii="Times New Roman" w:cs="Times New Roman"/>
                      <w:sz w:val="21"/>
                      <w:szCs w:val="21"/>
                    </w:rPr>
                  </w:pPr>
                  <w:r>
                    <w:rPr>
                      <w:rFonts w:ascii="Times New Roman" w:cs="Times New Roman"/>
                      <w:sz w:val="21"/>
                      <w:szCs w:val="21"/>
                    </w:rPr>
                    <w:t>4</w:t>
                  </w:r>
                </w:p>
              </w:tc>
              <w:tc>
                <w:tcPr>
                  <w:tcW w:w="783" w:type="pct"/>
                  <w:tcBorders>
                    <w:tl2br w:val="nil"/>
                    <w:tr2bl w:val="nil"/>
                  </w:tcBorders>
                  <w:vAlign w:val="center"/>
                </w:tcPr>
                <w:p w14:paraId="49D1B060">
                  <w:pPr>
                    <w:pStyle w:val="105"/>
                    <w:spacing w:line="320" w:lineRule="exact"/>
                    <w:ind w:left="0" w:firstLine="0"/>
                    <w:jc w:val="center"/>
                    <w:rPr>
                      <w:rFonts w:ascii="Times New Roman" w:cs="Times New Roman"/>
                      <w:sz w:val="21"/>
                      <w:szCs w:val="21"/>
                    </w:rPr>
                  </w:pPr>
                  <w:r>
                    <w:rPr>
                      <w:rFonts w:ascii="Times New Roman" w:cs="Times New Roman"/>
                      <w:sz w:val="21"/>
                      <w:szCs w:val="21"/>
                    </w:rPr>
                    <w:t>铅酸蓄电池</w:t>
                  </w:r>
                </w:p>
              </w:tc>
              <w:tc>
                <w:tcPr>
                  <w:tcW w:w="533" w:type="pct"/>
                  <w:tcBorders>
                    <w:tl2br w:val="nil"/>
                    <w:tr2bl w:val="nil"/>
                  </w:tcBorders>
                  <w:vAlign w:val="center"/>
                </w:tcPr>
                <w:p w14:paraId="5AA7DA65">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c>
                <w:tcPr>
                  <w:tcW w:w="877" w:type="pct"/>
                  <w:tcBorders>
                    <w:tl2br w:val="nil"/>
                    <w:tr2bl w:val="nil"/>
                  </w:tcBorders>
                  <w:vAlign w:val="center"/>
                </w:tcPr>
                <w:p w14:paraId="6762A9F3">
                  <w:pPr>
                    <w:pStyle w:val="105"/>
                    <w:spacing w:line="320" w:lineRule="exact"/>
                    <w:ind w:left="0" w:firstLine="0"/>
                    <w:jc w:val="center"/>
                    <w:rPr>
                      <w:rFonts w:ascii="Times New Roman" w:cs="Times New Roman"/>
                      <w:sz w:val="21"/>
                      <w:szCs w:val="21"/>
                    </w:rPr>
                  </w:pPr>
                  <w:r>
                    <w:rPr>
                      <w:rFonts w:ascii="Times New Roman" w:cs="Times New Roman"/>
                      <w:sz w:val="21"/>
                      <w:szCs w:val="21"/>
                    </w:rPr>
                    <w:t>200</w:t>
                  </w:r>
                </w:p>
              </w:tc>
              <w:tc>
                <w:tcPr>
                  <w:tcW w:w="913" w:type="pct"/>
                  <w:tcBorders>
                    <w:tl2br w:val="nil"/>
                    <w:tr2bl w:val="nil"/>
                  </w:tcBorders>
                  <w:vAlign w:val="center"/>
                </w:tcPr>
                <w:p w14:paraId="032DED93">
                  <w:pPr>
                    <w:pStyle w:val="105"/>
                    <w:spacing w:line="320" w:lineRule="exact"/>
                    <w:ind w:left="0" w:firstLine="0"/>
                    <w:jc w:val="center"/>
                    <w:rPr>
                      <w:rFonts w:ascii="Times New Roman" w:cs="Times New Roman"/>
                      <w:sz w:val="21"/>
                      <w:szCs w:val="21"/>
                    </w:rPr>
                  </w:pPr>
                  <w:r>
                    <w:rPr>
                      <w:rFonts w:ascii="Times New Roman" w:cs="Times New Roman"/>
                      <w:sz w:val="21"/>
                      <w:szCs w:val="21"/>
                    </w:rPr>
                    <w:t>0.5</w:t>
                  </w:r>
                </w:p>
              </w:tc>
              <w:tc>
                <w:tcPr>
                  <w:tcW w:w="704" w:type="pct"/>
                  <w:tcBorders>
                    <w:tl2br w:val="nil"/>
                    <w:tr2bl w:val="nil"/>
                  </w:tcBorders>
                  <w:vAlign w:val="center"/>
                </w:tcPr>
                <w:p w14:paraId="1B3B666E">
                  <w:pPr>
                    <w:pStyle w:val="105"/>
                    <w:spacing w:line="320" w:lineRule="exact"/>
                    <w:ind w:left="0" w:firstLine="0"/>
                    <w:jc w:val="center"/>
                    <w:rPr>
                      <w:rFonts w:ascii="Times New Roman" w:cs="Times New Roman"/>
                      <w:sz w:val="21"/>
                      <w:szCs w:val="21"/>
                    </w:rPr>
                  </w:pPr>
                  <w:r>
                    <w:rPr>
                      <w:rFonts w:ascii="Times New Roman" w:cs="Times New Roman"/>
                      <w:sz w:val="21"/>
                      <w:szCs w:val="21"/>
                    </w:rPr>
                    <w:t>0.0025</w:t>
                  </w:r>
                </w:p>
              </w:tc>
              <w:tc>
                <w:tcPr>
                  <w:tcW w:w="877" w:type="pct"/>
                  <w:tcBorders>
                    <w:tl2br w:val="nil"/>
                    <w:tr2bl w:val="nil"/>
                  </w:tcBorders>
                  <w:vAlign w:val="center"/>
                </w:tcPr>
                <w:p w14:paraId="20DEB4BB">
                  <w:pPr>
                    <w:pStyle w:val="105"/>
                    <w:spacing w:line="320" w:lineRule="exact"/>
                    <w:ind w:left="0" w:firstLine="0"/>
                    <w:jc w:val="center"/>
                    <w:rPr>
                      <w:rFonts w:ascii="Times New Roman" w:cs="Times New Roman"/>
                      <w:sz w:val="21"/>
                      <w:szCs w:val="21"/>
                    </w:rPr>
                  </w:pPr>
                  <w:r>
                    <w:rPr>
                      <w:rFonts w:ascii="Times New Roman" w:cs="Times New Roman"/>
                      <w:sz w:val="21"/>
                      <w:szCs w:val="21"/>
                    </w:rPr>
                    <w:t>蓄电池室内</w:t>
                  </w:r>
                </w:p>
              </w:tc>
            </w:tr>
            <w:tr w14:paraId="47F47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9" w:type="pct"/>
                  <w:tcBorders>
                    <w:tl2br w:val="nil"/>
                    <w:tr2bl w:val="nil"/>
                  </w:tcBorders>
                  <w:vAlign w:val="center"/>
                </w:tcPr>
                <w:p w14:paraId="0F380B53">
                  <w:pPr>
                    <w:pStyle w:val="105"/>
                    <w:spacing w:line="320" w:lineRule="exact"/>
                    <w:ind w:left="0" w:firstLine="0"/>
                    <w:jc w:val="center"/>
                    <w:rPr>
                      <w:rFonts w:ascii="Times New Roman" w:cs="Times New Roman"/>
                      <w:sz w:val="21"/>
                      <w:szCs w:val="21"/>
                    </w:rPr>
                  </w:pPr>
                  <w:r>
                    <w:rPr>
                      <w:rFonts w:ascii="Times New Roman" w:cs="Times New Roman"/>
                      <w:sz w:val="21"/>
                      <w:szCs w:val="21"/>
                    </w:rPr>
                    <w:t>5</w:t>
                  </w:r>
                </w:p>
              </w:tc>
              <w:tc>
                <w:tcPr>
                  <w:tcW w:w="783" w:type="pct"/>
                  <w:tcBorders>
                    <w:tl2br w:val="nil"/>
                    <w:tr2bl w:val="nil"/>
                  </w:tcBorders>
                  <w:vAlign w:val="center"/>
                </w:tcPr>
                <w:p w14:paraId="17E48C50">
                  <w:pPr>
                    <w:pStyle w:val="105"/>
                    <w:spacing w:line="320" w:lineRule="exact"/>
                    <w:ind w:left="0" w:firstLine="0"/>
                    <w:jc w:val="center"/>
                    <w:rPr>
                      <w:rFonts w:ascii="Times New Roman" w:cs="Times New Roman"/>
                      <w:sz w:val="21"/>
                      <w:szCs w:val="21"/>
                    </w:rPr>
                  </w:pPr>
                  <w:r>
                    <w:rPr>
                      <w:rFonts w:ascii="Times New Roman" w:cs="Times New Roman"/>
                      <w:sz w:val="21"/>
                      <w:szCs w:val="21"/>
                    </w:rPr>
                    <w:t>废铅酸蓄电池</w:t>
                  </w:r>
                </w:p>
              </w:tc>
              <w:tc>
                <w:tcPr>
                  <w:tcW w:w="533" w:type="pct"/>
                  <w:tcBorders>
                    <w:tl2br w:val="nil"/>
                    <w:tr2bl w:val="nil"/>
                  </w:tcBorders>
                  <w:vAlign w:val="center"/>
                </w:tcPr>
                <w:p w14:paraId="7AB06528">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c>
                <w:tcPr>
                  <w:tcW w:w="877" w:type="pct"/>
                  <w:tcBorders>
                    <w:tl2br w:val="nil"/>
                    <w:tr2bl w:val="nil"/>
                  </w:tcBorders>
                  <w:vAlign w:val="center"/>
                </w:tcPr>
                <w:p w14:paraId="68BF9202">
                  <w:pPr>
                    <w:pStyle w:val="105"/>
                    <w:spacing w:line="320" w:lineRule="exact"/>
                    <w:ind w:left="0" w:firstLine="0"/>
                    <w:jc w:val="center"/>
                    <w:rPr>
                      <w:rFonts w:ascii="Times New Roman" w:cs="Times New Roman"/>
                      <w:sz w:val="21"/>
                      <w:szCs w:val="21"/>
                    </w:rPr>
                  </w:pPr>
                  <w:r>
                    <w:rPr>
                      <w:rFonts w:ascii="Times New Roman" w:cs="Times New Roman"/>
                      <w:sz w:val="21"/>
                      <w:szCs w:val="21"/>
                    </w:rPr>
                    <w:t>200</w:t>
                  </w:r>
                </w:p>
              </w:tc>
              <w:tc>
                <w:tcPr>
                  <w:tcW w:w="913" w:type="pct"/>
                  <w:tcBorders>
                    <w:tl2br w:val="nil"/>
                    <w:tr2bl w:val="nil"/>
                  </w:tcBorders>
                  <w:vAlign w:val="center"/>
                </w:tcPr>
                <w:p w14:paraId="358D3B66">
                  <w:pPr>
                    <w:pStyle w:val="105"/>
                    <w:spacing w:line="320" w:lineRule="exact"/>
                    <w:ind w:left="0" w:firstLine="0"/>
                    <w:jc w:val="center"/>
                    <w:rPr>
                      <w:rFonts w:ascii="Times New Roman" w:cs="Times New Roman"/>
                      <w:sz w:val="21"/>
                      <w:szCs w:val="21"/>
                    </w:rPr>
                  </w:pPr>
                  <w:r>
                    <w:rPr>
                      <w:rFonts w:ascii="Times New Roman" w:cs="Times New Roman"/>
                      <w:sz w:val="21"/>
                      <w:szCs w:val="21"/>
                    </w:rPr>
                    <w:t>0.5</w:t>
                  </w:r>
                </w:p>
              </w:tc>
              <w:tc>
                <w:tcPr>
                  <w:tcW w:w="704" w:type="pct"/>
                  <w:tcBorders>
                    <w:tl2br w:val="nil"/>
                    <w:tr2bl w:val="nil"/>
                  </w:tcBorders>
                  <w:vAlign w:val="center"/>
                </w:tcPr>
                <w:p w14:paraId="17ADAFFB">
                  <w:pPr>
                    <w:pStyle w:val="105"/>
                    <w:spacing w:line="320" w:lineRule="exact"/>
                    <w:ind w:left="0" w:firstLine="0"/>
                    <w:jc w:val="center"/>
                    <w:rPr>
                      <w:rFonts w:ascii="Times New Roman" w:cs="Times New Roman"/>
                      <w:sz w:val="21"/>
                      <w:szCs w:val="21"/>
                    </w:rPr>
                  </w:pPr>
                  <w:r>
                    <w:rPr>
                      <w:rFonts w:ascii="Times New Roman" w:cs="Times New Roman"/>
                      <w:sz w:val="21"/>
                      <w:szCs w:val="21"/>
                    </w:rPr>
                    <w:t>0.0025</w:t>
                  </w:r>
                </w:p>
              </w:tc>
              <w:tc>
                <w:tcPr>
                  <w:tcW w:w="877" w:type="pct"/>
                  <w:tcBorders>
                    <w:tl2br w:val="nil"/>
                    <w:tr2bl w:val="nil"/>
                  </w:tcBorders>
                  <w:vAlign w:val="center"/>
                </w:tcPr>
                <w:p w14:paraId="49862163">
                  <w:pPr>
                    <w:pStyle w:val="105"/>
                    <w:spacing w:line="320" w:lineRule="exact"/>
                    <w:ind w:left="0" w:firstLine="0"/>
                    <w:jc w:val="center"/>
                    <w:rPr>
                      <w:rFonts w:ascii="Times New Roman" w:cs="Times New Roman"/>
                      <w:sz w:val="21"/>
                      <w:szCs w:val="21"/>
                    </w:rPr>
                  </w:pPr>
                  <w:r>
                    <w:rPr>
                      <w:rFonts w:hint="eastAsia" w:ascii="Times New Roman" w:cs="Times New Roman"/>
                      <w:sz w:val="21"/>
                      <w:szCs w:val="21"/>
                    </w:rPr>
                    <w:t>危废贮存库</w:t>
                  </w:r>
                  <w:r>
                    <w:rPr>
                      <w:rFonts w:ascii="Times New Roman" w:cs="Times New Roman"/>
                      <w:sz w:val="21"/>
                      <w:szCs w:val="21"/>
                    </w:rPr>
                    <w:t>内</w:t>
                  </w:r>
                </w:p>
              </w:tc>
            </w:tr>
            <w:tr w14:paraId="0C6CA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18" w:type="pct"/>
                  <w:gridSpan w:val="5"/>
                  <w:tcBorders>
                    <w:tl2br w:val="nil"/>
                    <w:tr2bl w:val="nil"/>
                  </w:tcBorders>
                  <w:vAlign w:val="center"/>
                </w:tcPr>
                <w:p w14:paraId="21B7F49C">
                  <w:pPr>
                    <w:pStyle w:val="105"/>
                    <w:spacing w:line="320" w:lineRule="exact"/>
                    <w:ind w:left="0" w:firstLine="0"/>
                    <w:jc w:val="center"/>
                    <w:rPr>
                      <w:rFonts w:ascii="Times New Roman" w:cs="Times New Roman"/>
                      <w:sz w:val="21"/>
                      <w:szCs w:val="21"/>
                    </w:rPr>
                  </w:pPr>
                  <w:r>
                    <w:rPr>
                      <w:rFonts w:ascii="Times New Roman" w:cs="Times New Roman"/>
                      <w:sz w:val="21"/>
                      <w:szCs w:val="21"/>
                    </w:rPr>
                    <w:t>合计</w:t>
                  </w:r>
                </w:p>
              </w:tc>
              <w:tc>
                <w:tcPr>
                  <w:tcW w:w="704" w:type="pct"/>
                  <w:tcBorders>
                    <w:tl2br w:val="nil"/>
                    <w:tr2bl w:val="nil"/>
                  </w:tcBorders>
                  <w:vAlign w:val="center"/>
                </w:tcPr>
                <w:p w14:paraId="19A57E4B">
                  <w:pPr>
                    <w:pStyle w:val="105"/>
                    <w:spacing w:line="320" w:lineRule="exact"/>
                    <w:ind w:left="0" w:firstLine="0"/>
                    <w:jc w:val="center"/>
                    <w:rPr>
                      <w:rFonts w:ascii="Times New Roman" w:cs="Times New Roman"/>
                      <w:sz w:val="21"/>
                      <w:szCs w:val="21"/>
                    </w:rPr>
                  </w:pPr>
                  <w:r>
                    <w:rPr>
                      <w:rFonts w:ascii="Times New Roman" w:cs="Times New Roman"/>
                      <w:sz w:val="21"/>
                      <w:szCs w:val="21"/>
                    </w:rPr>
                    <w:t>0.0794</w:t>
                  </w:r>
                </w:p>
              </w:tc>
              <w:tc>
                <w:tcPr>
                  <w:tcW w:w="877" w:type="pct"/>
                  <w:tcBorders>
                    <w:tl2br w:val="nil"/>
                    <w:tr2bl w:val="nil"/>
                  </w:tcBorders>
                  <w:vAlign w:val="center"/>
                </w:tcPr>
                <w:p w14:paraId="2F0472FE">
                  <w:pPr>
                    <w:pStyle w:val="105"/>
                    <w:spacing w:line="320" w:lineRule="exact"/>
                    <w:ind w:left="0" w:firstLine="0"/>
                    <w:jc w:val="center"/>
                    <w:rPr>
                      <w:rFonts w:ascii="Times New Roman" w:cs="Times New Roman"/>
                      <w:sz w:val="21"/>
                      <w:szCs w:val="21"/>
                    </w:rPr>
                  </w:pPr>
                  <w:r>
                    <w:rPr>
                      <w:rFonts w:ascii="Times New Roman" w:cs="Times New Roman"/>
                      <w:sz w:val="21"/>
                      <w:szCs w:val="21"/>
                    </w:rPr>
                    <w:t>--</w:t>
                  </w:r>
                </w:p>
              </w:tc>
            </w:tr>
          </w:tbl>
          <w:p w14:paraId="4277658E">
            <w:pPr>
              <w:spacing w:line="480" w:lineRule="exact"/>
              <w:ind w:firstLine="480" w:firstLineChars="200"/>
              <w:rPr>
                <w:sz w:val="24"/>
              </w:rPr>
            </w:pPr>
            <w:r>
              <w:rPr>
                <w:sz w:val="24"/>
              </w:rPr>
              <w:t>由上表可知，本项目危险物质与临界量的比值Q为0.0794，Q＜1，不属于重大风险源。</w:t>
            </w:r>
          </w:p>
          <w:p w14:paraId="68B6BB0C">
            <w:pPr>
              <w:spacing w:line="480" w:lineRule="exact"/>
              <w:ind w:firstLine="480" w:firstLineChars="200"/>
              <w:rPr>
                <w:sz w:val="24"/>
              </w:rPr>
            </w:pPr>
            <w:r>
              <w:rPr>
                <w:sz w:val="24"/>
              </w:rPr>
              <w:t>本项目的风险主要是风险物质泄漏风险、火灾及次生环境污染风险，处理不当将会对周边环境产生一定的影响，同时考虑自然灾害、极端天气对风机的破坏并对周边产生的影响。</w:t>
            </w:r>
          </w:p>
          <w:p w14:paraId="1A787B32">
            <w:pPr>
              <w:spacing w:line="480" w:lineRule="exact"/>
              <w:ind w:firstLine="480" w:firstLineChars="200"/>
              <w:rPr>
                <w:sz w:val="24"/>
              </w:rPr>
            </w:pPr>
            <w:r>
              <w:rPr>
                <w:sz w:val="24"/>
              </w:rPr>
              <w:t>①</w:t>
            </w:r>
            <w:r>
              <w:rPr>
                <w:rFonts w:hint="eastAsia"/>
                <w:sz w:val="24"/>
              </w:rPr>
              <w:t>泄漏</w:t>
            </w:r>
            <w:r>
              <w:rPr>
                <w:sz w:val="24"/>
              </w:rPr>
              <w:t>风险</w:t>
            </w:r>
          </w:p>
          <w:p w14:paraId="5325D279">
            <w:pPr>
              <w:spacing w:line="480" w:lineRule="exact"/>
              <w:ind w:firstLine="480" w:firstLineChars="200"/>
              <w:rPr>
                <w:sz w:val="24"/>
              </w:rPr>
            </w:pPr>
            <w:r>
              <w:rPr>
                <w:sz w:val="24"/>
              </w:rPr>
              <w:t>升压站内建有贮油池及事故油池，各风机箱变处建有事故油池，一旦发生事故，变压器油可通过管道排入事故油池。事故油池按单台变压器最大油量贮存能力设计，满足《高压配电装置设计技术规程》（DL/T5352-2018）及《火力发电厂与升压站设计防火标准》（GB50229-2019）相应设计容量要求。贮油池及事故油池做好防渗。事故油池顶部设盖板，防止雨水进入。</w:t>
            </w:r>
          </w:p>
          <w:p w14:paraId="380DA31A">
            <w:pPr>
              <w:spacing w:line="480" w:lineRule="exact"/>
              <w:ind w:firstLine="480" w:firstLineChars="200"/>
              <w:rPr>
                <w:sz w:val="24"/>
              </w:rPr>
            </w:pPr>
            <w:r>
              <w:rPr>
                <w:sz w:val="24"/>
              </w:rPr>
              <w:t>事故状态泄漏的事故废油通过管道流入事故油池，委托有危废处理资质的单位及时进行处理，常规状态池内不储存废油。</w:t>
            </w:r>
          </w:p>
          <w:p w14:paraId="10642024">
            <w:pPr>
              <w:spacing w:line="480" w:lineRule="exact"/>
              <w:ind w:firstLine="480" w:firstLineChars="200"/>
              <w:rPr>
                <w:sz w:val="24"/>
              </w:rPr>
            </w:pPr>
            <w:r>
              <w:rPr>
                <w:sz w:val="24"/>
              </w:rPr>
              <w:t>蓄电池室内蓄电池下方设置托盘，地面进行混凝土硬化处理</w:t>
            </w:r>
            <w:r>
              <w:rPr>
                <w:rFonts w:hint="eastAsia"/>
                <w:sz w:val="24"/>
              </w:rPr>
              <w:t>并</w:t>
            </w:r>
            <w:r>
              <w:rPr>
                <w:rFonts w:hint="eastAsia"/>
                <w:kern w:val="0"/>
                <w:sz w:val="24"/>
              </w:rPr>
              <w:t>采取防腐</w:t>
            </w:r>
            <w:r>
              <w:rPr>
                <w:kern w:val="0"/>
                <w:sz w:val="24"/>
              </w:rPr>
              <w:t>防渗措施，</w:t>
            </w:r>
            <w:r>
              <w:rPr>
                <w:rFonts w:hint="eastAsia"/>
                <w:kern w:val="0"/>
                <w:sz w:val="24"/>
              </w:rPr>
              <w:t>确保渗透系数</w:t>
            </w:r>
            <w:r>
              <w:rPr>
                <w:kern w:val="0"/>
                <w:sz w:val="24"/>
              </w:rPr>
              <w:t>≤1×10</w:t>
            </w:r>
            <w:r>
              <w:rPr>
                <w:kern w:val="0"/>
                <w:sz w:val="24"/>
                <w:vertAlign w:val="superscript"/>
              </w:rPr>
              <w:t>-7</w:t>
            </w:r>
            <w:r>
              <w:rPr>
                <w:kern w:val="0"/>
                <w:sz w:val="24"/>
              </w:rPr>
              <w:t>cm/s</w:t>
            </w:r>
            <w:r>
              <w:rPr>
                <w:sz w:val="24"/>
              </w:rPr>
              <w:t>，防止蓄电池内酸液泄漏并流散至站内地面。</w:t>
            </w:r>
          </w:p>
          <w:p w14:paraId="07037F38">
            <w:pPr>
              <w:spacing w:line="480" w:lineRule="exact"/>
              <w:ind w:firstLine="480" w:firstLineChars="200"/>
              <w:rPr>
                <w:sz w:val="24"/>
              </w:rPr>
            </w:pPr>
            <w:r>
              <w:rPr>
                <w:sz w:val="24"/>
              </w:rPr>
              <w:t>齿轮油位于风机处，风机位于轮毂顶端，风机基础处进行混凝土硬化处理，且基础处按照坡度可确保泄漏的齿轮油流入箱变配套的事故油池。</w:t>
            </w:r>
          </w:p>
          <w:p w14:paraId="7B1CB3BF">
            <w:pPr>
              <w:spacing w:line="480" w:lineRule="exact"/>
              <w:ind w:firstLine="480" w:firstLineChars="200"/>
              <w:rPr>
                <w:sz w:val="24"/>
              </w:rPr>
            </w:pPr>
            <w:r>
              <w:rPr>
                <w:sz w:val="24"/>
              </w:rPr>
              <w:t>废齿轮油由铁桶盛装，并暂存于升压站内的</w:t>
            </w:r>
            <w:r>
              <w:rPr>
                <w:rFonts w:hint="eastAsia"/>
                <w:sz w:val="24"/>
              </w:rPr>
              <w:t>危废贮存库</w:t>
            </w:r>
            <w:r>
              <w:rPr>
                <w:sz w:val="24"/>
              </w:rPr>
              <w:t>内，定期交由有资质单位处置。废蓄电池由防渗流托盘盛装暂存于升压站内的</w:t>
            </w:r>
            <w:r>
              <w:rPr>
                <w:rFonts w:hint="eastAsia"/>
                <w:sz w:val="24"/>
              </w:rPr>
              <w:t>危废贮存库</w:t>
            </w:r>
            <w:r>
              <w:rPr>
                <w:sz w:val="24"/>
              </w:rPr>
              <w:t>，定期交由有资质单位处置。且</w:t>
            </w:r>
            <w:r>
              <w:rPr>
                <w:rFonts w:hint="eastAsia"/>
                <w:sz w:val="24"/>
              </w:rPr>
              <w:t>危废贮存库</w:t>
            </w:r>
            <w:r>
              <w:rPr>
                <w:sz w:val="24"/>
              </w:rPr>
              <w:t>采取重点防渗，防渗层为至少1m厚黏土层，或至少2mm厚高密度聚乙烯膜等人工防渗材料，或其他防渗性能等效的材料（渗透系数不大于10-10cm/s）。</w:t>
            </w:r>
          </w:p>
          <w:p w14:paraId="7A575EAB">
            <w:pPr>
              <w:spacing w:line="480" w:lineRule="exact"/>
              <w:ind w:firstLine="480" w:firstLineChars="200"/>
              <w:rPr>
                <w:sz w:val="24"/>
              </w:rPr>
            </w:pPr>
            <w:r>
              <w:rPr>
                <w:sz w:val="24"/>
              </w:rPr>
              <w:t>②火灾风险</w:t>
            </w:r>
          </w:p>
          <w:p w14:paraId="7FDBD282">
            <w:pPr>
              <w:spacing w:line="480" w:lineRule="exact"/>
              <w:ind w:firstLine="480" w:firstLineChars="200"/>
              <w:rPr>
                <w:sz w:val="24"/>
              </w:rPr>
            </w:pPr>
            <w:r>
              <w:rPr>
                <w:sz w:val="24"/>
              </w:rPr>
              <w:t>齿轮油、变压器油、废齿轮油、废变压器油属于可燃、易燃物质，泄漏后易引发火灾、爆炸事故，造成人员伤亡，并引发次生环境污染。</w:t>
            </w:r>
          </w:p>
          <w:p w14:paraId="774C1087">
            <w:pPr>
              <w:spacing w:line="480" w:lineRule="exact"/>
              <w:ind w:firstLine="480" w:firstLineChars="200"/>
              <w:rPr>
                <w:sz w:val="24"/>
              </w:rPr>
            </w:pPr>
            <w:r>
              <w:rPr>
                <w:sz w:val="24"/>
              </w:rPr>
              <w:t>变压器本体设安全保护装置、气体继电器、压力释放装置等。贮油池、事故油池、变压器、输电线路、配电装置等设施附近严禁烟火，并设禁火标志。主变附近设置消防小室，消防小室及各风机箱变处均置消防沙箱、消防器材（包括干粉灭火器、消防铲、消防斧、消防桶、消防服等）。</w:t>
            </w:r>
          </w:p>
          <w:p w14:paraId="19E7C89A">
            <w:pPr>
              <w:spacing w:line="480" w:lineRule="exact"/>
              <w:ind w:firstLine="480" w:firstLineChars="200"/>
              <w:rPr>
                <w:sz w:val="24"/>
              </w:rPr>
            </w:pPr>
            <w:r>
              <w:rPr>
                <w:sz w:val="24"/>
              </w:rPr>
              <w:t>③自然灾害、极端天气风险</w:t>
            </w:r>
          </w:p>
          <w:p w14:paraId="1E319209">
            <w:pPr>
              <w:spacing w:line="480" w:lineRule="exact"/>
              <w:ind w:firstLine="480" w:firstLineChars="200"/>
              <w:rPr>
                <w:sz w:val="24"/>
              </w:rPr>
            </w:pPr>
            <w:r>
              <w:rPr>
                <w:sz w:val="24"/>
              </w:rPr>
              <w:t>各风机点位与村庄最近距离为</w:t>
            </w:r>
            <w:r>
              <w:rPr>
                <w:rFonts w:hint="eastAsia"/>
                <w:sz w:val="24"/>
              </w:rPr>
              <w:t>515</w:t>
            </w:r>
            <w:r>
              <w:rPr>
                <w:sz w:val="24"/>
              </w:rPr>
              <w:t>m，远大于轮毂最大高度185m及风轮半径110m，自然灾害情况或极端天气情况下风机倒塌也不会影响到附近村庄。</w:t>
            </w:r>
          </w:p>
          <w:p w14:paraId="64A58F43">
            <w:pPr>
              <w:spacing w:line="480" w:lineRule="exact"/>
              <w:ind w:firstLine="480" w:firstLineChars="200"/>
              <w:rPr>
                <w:sz w:val="24"/>
              </w:rPr>
            </w:pPr>
            <w:r>
              <w:rPr>
                <w:sz w:val="24"/>
              </w:rPr>
              <w:t>本环评认为该项目严格按照各项风险防范措施进行落实，规范操作，即可将环境风险降低到最小，环境风险可控。</w:t>
            </w:r>
          </w:p>
          <w:p w14:paraId="7417898A">
            <w:pPr>
              <w:spacing w:line="480" w:lineRule="exact"/>
              <w:ind w:firstLine="482" w:firstLineChars="200"/>
              <w:outlineLvl w:val="1"/>
              <w:rPr>
                <w:b/>
                <w:bCs/>
                <w:kern w:val="0"/>
                <w:sz w:val="24"/>
              </w:rPr>
            </w:pPr>
            <w:r>
              <w:rPr>
                <w:b/>
                <w:bCs/>
                <w:kern w:val="0"/>
                <w:sz w:val="24"/>
              </w:rPr>
              <w:t>8、风电机组光影影响分析</w:t>
            </w:r>
          </w:p>
          <w:p w14:paraId="40662DA4">
            <w:pPr>
              <w:spacing w:line="480" w:lineRule="exact"/>
              <w:ind w:firstLine="480" w:firstLineChars="200"/>
              <w:rPr>
                <w:sz w:val="24"/>
              </w:rPr>
            </w:pPr>
            <w:r>
              <w:rPr>
                <w:sz w:val="24"/>
              </w:rPr>
              <w:t>（1）光影影响</w:t>
            </w:r>
          </w:p>
          <w:p w14:paraId="23A440ED">
            <w:pPr>
              <w:spacing w:line="480" w:lineRule="exact"/>
              <w:ind w:firstLine="480" w:firstLineChars="200"/>
              <w:rPr>
                <w:sz w:val="24"/>
              </w:rPr>
            </w:pPr>
            <w:r>
              <w:rPr>
                <w:sz w:val="24"/>
              </w:rPr>
              <w:t>太阳光入射方向和地平面之间的夹角称之为太阳高度角，只要太阳高度角小于90度，暴露在阳光下的地平面上的任何物体都会产生影子。风电机组不停地转动的叶片，在阳光入射方向下，投射到居民住宅的玻璃窗户上，即可产生一种闪烁的光影，通常被称之为光影影响，会对居民及鸟类的日常生活产生干扰和影响，可能使人和鸟类感觉不适。</w:t>
            </w:r>
          </w:p>
          <w:p w14:paraId="3621821D">
            <w:pPr>
              <w:spacing w:line="480" w:lineRule="exact"/>
              <w:ind w:firstLine="480" w:firstLineChars="200"/>
              <w:rPr>
                <w:sz w:val="24"/>
              </w:rPr>
            </w:pPr>
            <w:r>
              <w:rPr>
                <w:sz w:val="24"/>
              </w:rPr>
              <w:t>（2）光影范围计算</w:t>
            </w:r>
          </w:p>
          <w:p w14:paraId="409DC941">
            <w:pPr>
              <w:spacing w:line="480" w:lineRule="exact"/>
              <w:ind w:firstLine="480" w:firstLineChars="200"/>
              <w:rPr>
                <w:sz w:val="24"/>
              </w:rPr>
            </w:pPr>
            <w:r>
              <w:rPr>
                <w:sz w:val="24"/>
              </w:rPr>
              <w:t>目前光影影响没有强制性标准和规范，经查阅同类项目及《关于风力发电场风机光影影响防护距离的研究》（气象与环境，第23卷第3期），以风电机组为中心，东西方向为轴，处于北纬地区，轴北侧的居民区有可能受到风电机组的光影影响。</w:t>
            </w:r>
          </w:p>
          <w:p w14:paraId="4AF66ECD">
            <w:pPr>
              <w:spacing w:line="480" w:lineRule="exact"/>
              <w:ind w:firstLine="480" w:firstLineChars="200"/>
              <w:rPr>
                <w:sz w:val="24"/>
              </w:rPr>
            </w:pPr>
            <w:r>
              <w:rPr>
                <w:sz w:val="24"/>
              </w:rPr>
              <w:t>风电机组的光影影响范围取决于太阳高度角的大小，太阳高度角越大，风机的影子越短；太阳高度角越小，风机的影子越长。地球绕太阳公转，由于地轴的倾斜，地轴与轨道平面始终保持着大概66°34'的夹角，这样，才引起太阳直射点在南北纬23°26'之间往返移动。冬至日，太阳直射南回归线—即直射点的纬度为南纬23°26'；夏至日，太阳直射北回归线—即直射点的纬度为北纬23°26′21.4"。</w:t>
            </w:r>
          </w:p>
          <w:p w14:paraId="4EA8E4E0">
            <w:pPr>
              <w:spacing w:line="480" w:lineRule="exact"/>
              <w:ind w:firstLine="480" w:firstLineChars="200"/>
              <w:rPr>
                <w:sz w:val="24"/>
              </w:rPr>
            </w:pPr>
            <w:r>
              <w:rPr>
                <w:sz w:val="24"/>
              </w:rPr>
              <w:t>本项目风电场中心位于东经118°22'18.47"，北纬39°17'34.58"，一年当中冬至时分为太阳高度角最小，光影最长，光影主要影响风电机组北侧的村庄。因此，太阳高度角h</w:t>
            </w:r>
            <w:r>
              <w:rPr>
                <w:sz w:val="24"/>
                <w:vertAlign w:val="subscript"/>
              </w:rPr>
              <w:t>0</w:t>
            </w:r>
            <w:r>
              <w:rPr>
                <w:sz w:val="24"/>
              </w:rPr>
              <w:t>按冬至日正午时刻的太阳高度角计算，即：</w:t>
            </w:r>
          </w:p>
          <w:p w14:paraId="01F4C0C7">
            <w:pPr>
              <w:adjustRightInd w:val="0"/>
              <w:snapToGrid w:val="0"/>
              <w:spacing w:line="480" w:lineRule="exact"/>
              <w:ind w:firstLine="480" w:firstLineChars="200"/>
              <w:jc w:val="center"/>
              <w:rPr>
                <w:sz w:val="24"/>
              </w:rPr>
            </w:pPr>
            <w:r>
              <w:rPr>
                <w:sz w:val="24"/>
              </w:rPr>
              <w:t>h</w:t>
            </w:r>
            <w:r>
              <w:rPr>
                <w:sz w:val="24"/>
                <w:vertAlign w:val="subscript"/>
              </w:rPr>
              <w:t>0</w:t>
            </w:r>
            <w:r>
              <w:rPr>
                <w:sz w:val="24"/>
              </w:rPr>
              <w:t>=90°-θ</w:t>
            </w:r>
          </w:p>
          <w:p w14:paraId="7FE2C072">
            <w:pPr>
              <w:spacing w:line="480" w:lineRule="exact"/>
              <w:ind w:firstLine="480" w:firstLineChars="200"/>
              <w:rPr>
                <w:sz w:val="24"/>
              </w:rPr>
            </w:pPr>
            <w:r>
              <w:rPr>
                <w:sz w:val="24"/>
              </w:rPr>
              <w:t>式中，θ—纬差，即某地的地理纬度与当日直射点所在纬度之间的差值。</w:t>
            </w:r>
          </w:p>
          <w:p w14:paraId="102721A9">
            <w:pPr>
              <w:spacing w:line="480" w:lineRule="exact"/>
              <w:ind w:firstLine="480" w:firstLineChars="200"/>
              <w:rPr>
                <w:sz w:val="24"/>
              </w:rPr>
            </w:pPr>
            <w:r>
              <w:rPr>
                <w:sz w:val="24"/>
              </w:rPr>
              <w:t>项目所在地纬度差=39°17'34.58"+23°26'21.4"=62°43'55.98″，太阳高度角h</w:t>
            </w:r>
            <w:r>
              <w:rPr>
                <w:sz w:val="24"/>
                <w:vertAlign w:val="subscript"/>
              </w:rPr>
              <w:t>0</w:t>
            </w:r>
            <w:r>
              <w:rPr>
                <w:sz w:val="24"/>
              </w:rPr>
              <w:t>=90°-62.7°=27.3°</w:t>
            </w:r>
          </w:p>
          <w:p w14:paraId="746552F6">
            <w:pPr>
              <w:spacing w:line="480" w:lineRule="exact"/>
              <w:ind w:firstLine="480" w:firstLineChars="200"/>
              <w:rPr>
                <w:sz w:val="24"/>
              </w:rPr>
            </w:pPr>
            <w:r>
              <w:rPr>
                <w:sz w:val="24"/>
              </w:rPr>
              <w:t>光影长度L：</w:t>
            </w:r>
          </w:p>
          <w:p w14:paraId="5AA0F18B">
            <w:pPr>
              <w:adjustRightInd w:val="0"/>
              <w:snapToGrid w:val="0"/>
              <w:spacing w:line="480" w:lineRule="exact"/>
              <w:ind w:firstLine="480" w:firstLineChars="200"/>
              <w:jc w:val="center"/>
              <w:rPr>
                <w:sz w:val="24"/>
              </w:rPr>
            </w:pPr>
            <w:r>
              <w:rPr>
                <w:sz w:val="24"/>
              </w:rPr>
              <w:t>L=D/tanh</w:t>
            </w:r>
            <w:r>
              <w:rPr>
                <w:sz w:val="24"/>
                <w:vertAlign w:val="subscript"/>
              </w:rPr>
              <w:t>0</w:t>
            </w:r>
          </w:p>
          <w:p w14:paraId="3C45404E">
            <w:pPr>
              <w:spacing w:line="480" w:lineRule="exact"/>
              <w:ind w:firstLine="480" w:firstLineChars="200"/>
              <w:rPr>
                <w:sz w:val="24"/>
              </w:rPr>
            </w:pPr>
            <w:r>
              <w:rPr>
                <w:sz w:val="24"/>
              </w:rPr>
              <w:t>式中，D—物体有效高度，可按下式计算：</w:t>
            </w:r>
          </w:p>
          <w:p w14:paraId="0D99EE57">
            <w:pPr>
              <w:adjustRightInd w:val="0"/>
              <w:snapToGrid w:val="0"/>
              <w:spacing w:line="480" w:lineRule="exact"/>
              <w:ind w:firstLine="480" w:firstLineChars="200"/>
              <w:jc w:val="center"/>
              <w:rPr>
                <w:sz w:val="24"/>
              </w:rPr>
            </w:pPr>
            <w:r>
              <w:rPr>
                <w:sz w:val="24"/>
              </w:rPr>
              <w:t>D=D</w:t>
            </w:r>
            <w:r>
              <w:rPr>
                <w:sz w:val="24"/>
                <w:vertAlign w:val="subscript"/>
              </w:rPr>
              <w:t>0</w:t>
            </w:r>
            <w:r>
              <w:rPr>
                <w:sz w:val="24"/>
              </w:rPr>
              <w:t>+D</w:t>
            </w:r>
            <w:r>
              <w:rPr>
                <w:sz w:val="24"/>
                <w:vertAlign w:val="subscript"/>
              </w:rPr>
              <w:t>1</w:t>
            </w:r>
          </w:p>
          <w:p w14:paraId="1528E85B">
            <w:pPr>
              <w:spacing w:line="480" w:lineRule="exact"/>
              <w:ind w:firstLine="480" w:firstLineChars="200"/>
              <w:rPr>
                <w:sz w:val="24"/>
              </w:rPr>
            </w:pPr>
            <w:r>
              <w:rPr>
                <w:sz w:val="24"/>
              </w:rPr>
              <w:t>其中D</w:t>
            </w:r>
            <w:r>
              <w:rPr>
                <w:sz w:val="24"/>
                <w:vertAlign w:val="subscript"/>
              </w:rPr>
              <w:t>0</w:t>
            </w:r>
            <w:r>
              <w:rPr>
                <w:sz w:val="24"/>
              </w:rPr>
              <w:t>为风机（含叶轮）高度295m；D</w:t>
            </w:r>
            <w:r>
              <w:rPr>
                <w:sz w:val="24"/>
                <w:vertAlign w:val="subscript"/>
              </w:rPr>
              <w:t>1</w:t>
            </w:r>
            <w:r>
              <w:rPr>
                <w:sz w:val="24"/>
              </w:rPr>
              <w:t>为风机与敏感点之间高程差，取-2m。</w:t>
            </w:r>
          </w:p>
          <w:p w14:paraId="20BD267E">
            <w:pPr>
              <w:spacing w:line="480" w:lineRule="exact"/>
              <w:ind w:firstLine="480" w:firstLineChars="200"/>
              <w:rPr>
                <w:sz w:val="24"/>
              </w:rPr>
            </w:pPr>
            <w:r>
              <w:rPr>
                <w:sz w:val="24"/>
              </w:rPr>
              <w:t>根据上式计算，光影长度为567.68m。</w:t>
            </w:r>
          </w:p>
          <w:p w14:paraId="421C575D">
            <w:pPr>
              <w:spacing w:line="480" w:lineRule="exact"/>
              <w:ind w:firstLine="480" w:firstLineChars="200"/>
              <w:rPr>
                <w:sz w:val="24"/>
              </w:rPr>
            </w:pPr>
            <w:r>
              <w:rPr>
                <w:sz w:val="24"/>
              </w:rPr>
              <w:t xml:space="preserve">本项目将进一步采取如下措施减小风机光影对敏感点的影响： </w:t>
            </w:r>
          </w:p>
          <w:p w14:paraId="1A412EC2">
            <w:pPr>
              <w:spacing w:line="480" w:lineRule="exact"/>
              <w:ind w:firstLine="480" w:firstLineChars="200"/>
              <w:rPr>
                <w:sz w:val="24"/>
              </w:rPr>
            </w:pPr>
            <w:r>
              <w:rPr>
                <w:sz w:val="24"/>
              </w:rPr>
              <w:t>①设计阶段考虑扇叶叶型，选取光影影响效果小的叶型。</w:t>
            </w:r>
          </w:p>
          <w:p w14:paraId="50A26431">
            <w:pPr>
              <w:spacing w:line="480" w:lineRule="exact"/>
              <w:ind w:firstLine="480" w:firstLineChars="200"/>
              <w:rPr>
                <w:sz w:val="24"/>
              </w:rPr>
            </w:pPr>
            <w:r>
              <w:rPr>
                <w:sz w:val="24"/>
              </w:rPr>
              <w:t>②根据风能资源评估报告和多年风向玫瑰图，通过风机偏航和变桨操作，可使得风机叶轮迎风面与太阳光夹角变小，减少对敏感区域的光影影响。</w:t>
            </w:r>
          </w:p>
          <w:p w14:paraId="0033A887">
            <w:pPr>
              <w:spacing w:line="480" w:lineRule="exact"/>
              <w:ind w:firstLine="480" w:firstLineChars="200"/>
              <w:rPr>
                <w:sz w:val="24"/>
              </w:rPr>
            </w:pPr>
            <w:r>
              <w:rPr>
                <w:sz w:val="24"/>
              </w:rPr>
              <w:t>③在冬至前后，采用降功率运行措施降低叶轮转速，从而减少叶轮光影的扫略速度，减少光影影响。</w:t>
            </w:r>
          </w:p>
          <w:p w14:paraId="6E79BE90">
            <w:pPr>
              <w:spacing w:line="480" w:lineRule="exact"/>
              <w:ind w:firstLine="480" w:firstLineChars="200"/>
              <w:rPr>
                <w:sz w:val="24"/>
              </w:rPr>
            </w:pPr>
            <w:r>
              <w:rPr>
                <w:sz w:val="24"/>
              </w:rPr>
              <w:t>④调整检修计划，在冬至前后时段安排风电机组停机进行检修维护，以达到消除对敏感点光影影响的目的。</w:t>
            </w:r>
          </w:p>
          <w:p w14:paraId="0088F88D">
            <w:pPr>
              <w:spacing w:line="480" w:lineRule="exact"/>
              <w:ind w:firstLine="480" w:firstLineChars="200"/>
              <w:rPr>
                <w:sz w:val="24"/>
              </w:rPr>
            </w:pPr>
            <w:r>
              <w:rPr>
                <w:sz w:val="24"/>
              </w:rPr>
              <w:t>项目</w:t>
            </w:r>
            <w:r>
              <w:rPr>
                <w:rFonts w:hint="eastAsia"/>
                <w:sz w:val="24"/>
              </w:rPr>
              <w:t>风机</w:t>
            </w:r>
            <w:r>
              <w:rPr>
                <w:sz w:val="24"/>
              </w:rPr>
              <w:t>周边567.68m范围内</w:t>
            </w:r>
            <w:r>
              <w:rPr>
                <w:rFonts w:hint="eastAsia"/>
                <w:sz w:val="24"/>
              </w:rPr>
              <w:t>涉及的村庄主要包括三农场十队、五场五队、陡坨新村生产队、向阳村、城南庄生产队、祥和村生产队，上述村庄与风机最近距离为515m，</w:t>
            </w:r>
            <w:r>
              <w:rPr>
                <w:sz w:val="24"/>
              </w:rPr>
              <w:t>光影</w:t>
            </w:r>
            <w:r>
              <w:rPr>
                <w:rFonts w:hint="eastAsia"/>
                <w:sz w:val="24"/>
              </w:rPr>
              <w:t>范围内</w:t>
            </w:r>
            <w:r>
              <w:rPr>
                <w:sz w:val="24"/>
              </w:rPr>
              <w:t>住户较少，受影响的居民较少</w:t>
            </w:r>
            <w:r>
              <w:rPr>
                <w:rFonts w:hint="eastAsia"/>
                <w:sz w:val="24"/>
              </w:rPr>
              <w:t>。</w:t>
            </w:r>
            <w:r>
              <w:rPr>
                <w:sz w:val="24"/>
              </w:rPr>
              <w:t>本风电场各风机产生的光影采取上述措施</w:t>
            </w:r>
            <w:r>
              <w:rPr>
                <w:rFonts w:hint="eastAsia"/>
                <w:sz w:val="24"/>
              </w:rPr>
              <w:t>后，对</w:t>
            </w:r>
            <w:r>
              <w:rPr>
                <w:sz w:val="24"/>
              </w:rPr>
              <w:t>周边居民影响</w:t>
            </w:r>
            <w:r>
              <w:rPr>
                <w:rFonts w:hint="eastAsia"/>
                <w:sz w:val="24"/>
              </w:rPr>
              <w:t>较小</w:t>
            </w:r>
            <w:r>
              <w:rPr>
                <w:sz w:val="24"/>
              </w:rPr>
              <w:t>。</w:t>
            </w:r>
          </w:p>
          <w:p w14:paraId="3F08B132">
            <w:pPr>
              <w:spacing w:line="480" w:lineRule="exact"/>
              <w:ind w:firstLine="482" w:firstLineChars="200"/>
              <w:outlineLvl w:val="1"/>
              <w:rPr>
                <w:b/>
                <w:bCs/>
                <w:kern w:val="0"/>
                <w:sz w:val="24"/>
              </w:rPr>
            </w:pPr>
            <w:r>
              <w:rPr>
                <w:b/>
                <w:bCs/>
                <w:kern w:val="0"/>
                <w:sz w:val="24"/>
              </w:rPr>
              <w:t>9、服务期满后</w:t>
            </w:r>
          </w:p>
          <w:p w14:paraId="29C2FF88">
            <w:pPr>
              <w:spacing w:line="480" w:lineRule="exact"/>
              <w:ind w:firstLine="480" w:firstLineChars="200"/>
              <w:rPr>
                <w:sz w:val="24"/>
              </w:rPr>
            </w:pPr>
            <w:r>
              <w:rPr>
                <w:sz w:val="24"/>
              </w:rPr>
              <w:t>本项目设计运营生产期为20年，待项目运营期满后，按国家相关要求，将对风机组件进行全部拆除或者更换。风电场服务期满后影响主要为拆除的风机组件等固体废物影响及基础拆除产生的生态环境影响。为减小本项目服务期满后对场区生态环境影响，提出以下要求：</w:t>
            </w:r>
          </w:p>
          <w:p w14:paraId="7D4D0453">
            <w:pPr>
              <w:spacing w:line="480" w:lineRule="exact"/>
              <w:ind w:firstLine="480" w:firstLineChars="200"/>
              <w:rPr>
                <w:sz w:val="24"/>
              </w:rPr>
            </w:pPr>
            <w:r>
              <w:rPr>
                <w:sz w:val="24"/>
              </w:rPr>
              <w:t>（1）拆除的风机组件等固体废物</w:t>
            </w:r>
          </w:p>
          <w:p w14:paraId="4E854DB2">
            <w:pPr>
              <w:spacing w:line="480" w:lineRule="exact"/>
              <w:ind w:firstLine="480" w:firstLineChars="200"/>
              <w:rPr>
                <w:sz w:val="24"/>
              </w:rPr>
            </w:pPr>
            <w:r>
              <w:rPr>
                <w:sz w:val="24"/>
              </w:rPr>
              <w:t>在风电场服务期满后，拆除所有风机组件</w:t>
            </w:r>
            <w:r>
              <w:rPr>
                <w:rFonts w:hint="eastAsia"/>
                <w:sz w:val="24"/>
              </w:rPr>
              <w:t>、箱变</w:t>
            </w:r>
            <w:r>
              <w:rPr>
                <w:sz w:val="24"/>
              </w:rPr>
              <w:t>等固体废物，并由供应厂商回收处理。</w:t>
            </w:r>
            <w:r>
              <w:rPr>
                <w:rFonts w:hint="eastAsia"/>
                <w:sz w:val="24"/>
              </w:rPr>
              <w:t>拆除过程产生的废变压器油为危险废物，委托有资质单位运输及处置。</w:t>
            </w:r>
          </w:p>
          <w:p w14:paraId="5389E323">
            <w:pPr>
              <w:spacing w:line="480" w:lineRule="exact"/>
              <w:ind w:firstLine="480" w:firstLineChars="200"/>
              <w:rPr>
                <w:sz w:val="24"/>
              </w:rPr>
            </w:pPr>
            <w:r>
              <w:rPr>
                <w:sz w:val="24"/>
              </w:rPr>
              <w:t>（2）基础拆除产生的生态环境影响</w:t>
            </w:r>
          </w:p>
          <w:p w14:paraId="0B1156E8">
            <w:pPr>
              <w:spacing w:line="480" w:lineRule="exact"/>
              <w:ind w:firstLine="480" w:firstLineChars="200"/>
              <w:rPr>
                <w:sz w:val="24"/>
              </w:rPr>
            </w:pPr>
            <w:r>
              <w:rPr>
                <w:sz w:val="24"/>
              </w:rPr>
              <w:t>本项目服务期满后将对风机组件等进行全部拆除，这些活动会造成风机组件基础土地部分破坏。因此，服务期满后应进行生态恢复，主要恢复措施有：</w:t>
            </w:r>
          </w:p>
          <w:p w14:paraId="059D6222">
            <w:pPr>
              <w:spacing w:line="480" w:lineRule="exact"/>
              <w:ind w:firstLine="480" w:firstLineChars="200"/>
              <w:rPr>
                <w:sz w:val="24"/>
              </w:rPr>
            </w:pPr>
            <w:r>
              <w:rPr>
                <w:sz w:val="24"/>
              </w:rPr>
              <w:t>①掘除硬化地面基础，对场地进行恢复；</w:t>
            </w:r>
          </w:p>
          <w:p w14:paraId="76263E29">
            <w:pPr>
              <w:spacing w:line="480" w:lineRule="exact"/>
              <w:ind w:firstLine="480" w:firstLineChars="200"/>
              <w:rPr>
                <w:sz w:val="24"/>
              </w:rPr>
            </w:pPr>
            <w:r>
              <w:rPr>
                <w:sz w:val="24"/>
              </w:rPr>
              <w:t>②拆除过程中应尽量减小对土地的扰动，对于项目区施工检修道路进行土地整治，恢复使用前的地类及生态；</w:t>
            </w:r>
          </w:p>
          <w:p w14:paraId="42DB9060">
            <w:pPr>
              <w:spacing w:line="480" w:lineRule="exact"/>
              <w:ind w:firstLine="480" w:firstLineChars="200"/>
              <w:rPr>
                <w:sz w:val="24"/>
              </w:rPr>
            </w:pPr>
            <w:r>
              <w:rPr>
                <w:sz w:val="24"/>
              </w:rPr>
              <w:t>③掘除混凝土的基础部分场地应进行恢复，恢复后的场地进行洒水、压实，以固结地表，防止产生扬尘和对土壤的风蚀。</w:t>
            </w:r>
          </w:p>
          <w:p w14:paraId="27164E4A">
            <w:pPr>
              <w:spacing w:line="480" w:lineRule="exact"/>
              <w:ind w:firstLine="480" w:firstLineChars="200"/>
              <w:rPr>
                <w:sz w:val="24"/>
              </w:rPr>
            </w:pPr>
            <w:r>
              <w:rPr>
                <w:sz w:val="24"/>
              </w:rPr>
              <w:t>④对扰动的地表恢复农业种植，使植被得到恢复，最大限度减小对生态环境的影响。</w:t>
            </w:r>
          </w:p>
          <w:p w14:paraId="04C36052">
            <w:pPr>
              <w:pStyle w:val="3"/>
              <w:adjustRightInd w:val="0"/>
              <w:snapToGrid w:val="0"/>
              <w:spacing w:beforeLines="0" w:line="480" w:lineRule="exact"/>
              <w:ind w:firstLine="480" w:firstLineChars="200"/>
              <w:rPr>
                <w:rFonts w:ascii="Times New Roman" w:hAnsi="Times New Roman" w:eastAsia="宋体"/>
              </w:rPr>
            </w:pPr>
            <w:r>
              <w:rPr>
                <w:rFonts w:ascii="Times New Roman" w:hAnsi="Times New Roman" w:eastAsia="宋体"/>
                <w:sz w:val="24"/>
              </w:rPr>
              <w:t>项目具体拆除及恢复措施由后续拆除方案中要求，不在本项目评价内容内，施工过程应考虑绿色施工等内容。综上所述，风电场服务期满后，企业在严格采取上述环境保护措施后，对环境影响较小。</w:t>
            </w:r>
          </w:p>
        </w:tc>
      </w:tr>
      <w:tr w14:paraId="7FE59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15" w:type="pct"/>
            <w:vAlign w:val="center"/>
          </w:tcPr>
          <w:p w14:paraId="3942D204">
            <w:pPr>
              <w:pStyle w:val="2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bCs/>
                <w:kern w:val="2"/>
                <w:szCs w:val="24"/>
              </w:rPr>
              <w:t>选址选线环境合理性分析</w:t>
            </w:r>
          </w:p>
        </w:tc>
        <w:tc>
          <w:tcPr>
            <w:tcW w:w="4784" w:type="pct"/>
          </w:tcPr>
          <w:p w14:paraId="405ADBF2">
            <w:pPr>
              <w:pStyle w:val="3"/>
              <w:adjustRightInd w:val="0"/>
              <w:snapToGrid w:val="0"/>
              <w:spacing w:beforeLines="0" w:line="480" w:lineRule="exact"/>
              <w:ind w:firstLine="480" w:firstLineChars="200"/>
              <w:rPr>
                <w:rFonts w:ascii="Times New Roman" w:hAnsi="Times New Roman" w:eastAsia="宋体"/>
                <w:sz w:val="24"/>
              </w:rPr>
            </w:pPr>
          </w:p>
          <w:p w14:paraId="20BF80C9">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本项目建设贯彻生态优先和生态保护的理念，生态影响防控应遵循“避让、减缓、修复、补偿、管理、监测、科研等对策措施”，坚持预防与恢复相结合、全面与重点相结合、自然与美学相结合的原则，做到技术合理、经济可行。</w:t>
            </w:r>
          </w:p>
          <w:p w14:paraId="167FC9D4">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本项目选址位于河北省唐山市曹妃甸区，场址所在地涉及坑塘水面、沟渠、果园、设施农用地、旱地、水田、农村道路等，本项目未占用生态保护红线、永久基本农田，不属于城镇开发边界，符合唐山市国土空间“三条控制线”的规划要求。</w:t>
            </w:r>
          </w:p>
          <w:p w14:paraId="706A3D86">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唐山市曹妃甸区自然资源和规划局出具了</w:t>
            </w:r>
            <w:r>
              <w:rPr>
                <w:rFonts w:ascii="Times New Roman" w:hAnsi="Times New Roman" w:eastAsia="宋体"/>
                <w:kern w:val="0"/>
                <w:sz w:val="24"/>
              </w:rPr>
              <w:t>《建设项目用地预审与选址意见书》（证书编号：用字第1302092025XS0001522号）</w:t>
            </w:r>
            <w:r>
              <w:rPr>
                <w:rFonts w:hint="eastAsia" w:ascii="Times New Roman" w:hAnsi="Times New Roman" w:eastAsia="宋体"/>
                <w:sz w:val="24"/>
              </w:rPr>
              <w:t>。</w:t>
            </w:r>
            <w:r>
              <w:rPr>
                <w:rFonts w:ascii="Times New Roman" w:hAnsi="Times New Roman" w:eastAsia="宋体"/>
                <w:sz w:val="24"/>
              </w:rPr>
              <w:t>本项目</w:t>
            </w:r>
            <w:r>
              <w:rPr>
                <w:rFonts w:hint="eastAsia" w:ascii="Times New Roman" w:hAnsi="Times New Roman" w:eastAsia="宋体"/>
                <w:sz w:val="24"/>
              </w:rPr>
              <w:t>占地</w:t>
            </w:r>
            <w:r>
              <w:rPr>
                <w:rFonts w:ascii="Times New Roman" w:hAnsi="Times New Roman" w:eastAsia="宋体"/>
                <w:sz w:val="24"/>
              </w:rPr>
              <w:t>已避开居住区、文教区、自然保护区、风景名胜区、世界文化和自然遗产地、饮用水水源保护区等环境敏感区，不涉及占用唐山市生态保护红线。</w:t>
            </w:r>
          </w:p>
          <w:p w14:paraId="5BD0D504">
            <w:pPr>
              <w:pStyle w:val="3"/>
              <w:adjustRightInd w:val="0"/>
              <w:snapToGrid w:val="0"/>
              <w:spacing w:beforeLines="0" w:line="480" w:lineRule="exact"/>
              <w:ind w:firstLine="480" w:firstLineChars="200"/>
              <w:rPr>
                <w:rFonts w:ascii="Times New Roman" w:hAnsi="Times New Roman" w:eastAsia="宋体"/>
                <w:sz w:val="24"/>
              </w:rPr>
            </w:pPr>
            <w:r>
              <w:rPr>
                <w:rFonts w:hint="eastAsia" w:ascii="Times New Roman" w:hAnsi="Times New Roman" w:eastAsia="宋体"/>
                <w:sz w:val="24"/>
              </w:rPr>
              <w:t>根据</w:t>
            </w:r>
            <w:r>
              <w:rPr>
                <w:rFonts w:ascii="Times New Roman" w:hAnsi="Times New Roman" w:eastAsia="宋体"/>
                <w:sz w:val="24"/>
              </w:rPr>
              <w:t>唐山市生态环境局曹妃甸区分局关于《关于商洽出具大金重工曹妃甸区70万千瓦陆上风力发电项目（保障性）选址意见的请示》的复函</w:t>
            </w:r>
            <w:r>
              <w:rPr>
                <w:rFonts w:hint="eastAsia" w:ascii="Times New Roman" w:hAnsi="Times New Roman" w:eastAsia="宋体"/>
                <w:sz w:val="24"/>
              </w:rPr>
              <w:t>，该项目不在县级及以上饮用水水源地保护区范围内，位于水土流失区、土壤建设用地污染风险重点管控区和地下水污染风险重点管控区。项目施工和运行时需注意采取防止水土流失和污染土壤、地下水的措施。</w:t>
            </w:r>
            <w:r>
              <w:rPr>
                <w:rFonts w:ascii="Times New Roman" w:hAnsi="Times New Roman" w:eastAsia="宋体"/>
                <w:sz w:val="24"/>
              </w:rPr>
              <w:t>唐山市生态环境局曹妃甸区分局</w:t>
            </w:r>
            <w:r>
              <w:rPr>
                <w:rFonts w:hint="eastAsia" w:ascii="Times New Roman" w:hAnsi="Times New Roman" w:eastAsia="宋体"/>
                <w:sz w:val="24"/>
              </w:rPr>
              <w:t>原则同意该项目实施。</w:t>
            </w:r>
          </w:p>
          <w:p w14:paraId="7787E34C">
            <w:pPr>
              <w:pStyle w:val="3"/>
              <w:adjustRightInd w:val="0"/>
              <w:snapToGrid w:val="0"/>
              <w:spacing w:beforeLines="0" w:line="480" w:lineRule="exact"/>
              <w:ind w:firstLine="480" w:firstLineChars="200"/>
              <w:rPr>
                <w:rFonts w:ascii="Times New Roman" w:hAnsi="Times New Roman" w:eastAsia="宋体"/>
                <w:sz w:val="24"/>
              </w:rPr>
            </w:pPr>
            <w:r>
              <w:rPr>
                <w:rFonts w:hint="eastAsia" w:ascii="Times New Roman" w:hAnsi="Times New Roman" w:eastAsia="宋体"/>
                <w:sz w:val="24"/>
              </w:rPr>
              <w:t>项目所在区域场地平坦、气象适合发展风电工程，项目建设已考虑节约用地且占地范围内耕地面积为0.1204</w:t>
            </w:r>
            <w:r>
              <w:rPr>
                <w:rFonts w:ascii="Times New Roman" w:hAnsi="Times New Roman" w:eastAsia="宋体"/>
                <w:sz w:val="24"/>
              </w:rPr>
              <w:t>hm</w:t>
            </w:r>
            <w:r>
              <w:rPr>
                <w:rFonts w:ascii="Times New Roman" w:hAnsi="Times New Roman" w:eastAsia="宋体"/>
                <w:sz w:val="24"/>
                <w:vertAlign w:val="superscript"/>
              </w:rPr>
              <w:t>2</w:t>
            </w:r>
            <w:r>
              <w:rPr>
                <w:rFonts w:hint="eastAsia" w:ascii="Times New Roman" w:hAnsi="Times New Roman" w:eastAsia="宋体"/>
                <w:sz w:val="24"/>
              </w:rPr>
              <w:t>，其余大部分为盐碱地类等开发强度较低的地类。</w:t>
            </w:r>
          </w:p>
          <w:p w14:paraId="374A3F67">
            <w:pPr>
              <w:pStyle w:val="3"/>
              <w:adjustRightInd w:val="0"/>
              <w:snapToGrid w:val="0"/>
              <w:spacing w:beforeLines="0" w:line="480" w:lineRule="exact"/>
              <w:ind w:firstLine="480" w:firstLineChars="200"/>
              <w:rPr>
                <w:rFonts w:ascii="Times New Roman" w:hAnsi="Times New Roman" w:eastAsia="宋体"/>
                <w:sz w:val="24"/>
              </w:rPr>
            </w:pPr>
            <w:r>
              <w:rPr>
                <w:rFonts w:ascii="Times New Roman" w:hAnsi="Times New Roman" w:eastAsia="宋体"/>
                <w:sz w:val="24"/>
              </w:rPr>
              <w:t>因此，本项目选址合理可行。</w:t>
            </w:r>
          </w:p>
          <w:p w14:paraId="747EF61A">
            <w:pPr>
              <w:pStyle w:val="3"/>
              <w:adjustRightInd w:val="0"/>
              <w:snapToGrid w:val="0"/>
              <w:spacing w:beforeLines="0" w:line="480" w:lineRule="exact"/>
              <w:ind w:firstLine="480" w:firstLineChars="200"/>
              <w:rPr>
                <w:rFonts w:ascii="Times New Roman" w:hAnsi="Times New Roman" w:eastAsia="宋体"/>
                <w:sz w:val="24"/>
              </w:rPr>
            </w:pPr>
          </w:p>
          <w:p w14:paraId="07C8BA33">
            <w:pPr>
              <w:pStyle w:val="3"/>
              <w:adjustRightInd w:val="0"/>
              <w:snapToGrid w:val="0"/>
              <w:spacing w:beforeLines="0" w:line="480" w:lineRule="exact"/>
              <w:ind w:firstLine="480" w:firstLineChars="200"/>
              <w:rPr>
                <w:rFonts w:ascii="Times New Roman" w:hAnsi="Times New Roman" w:eastAsia="宋体"/>
                <w:sz w:val="24"/>
              </w:rPr>
            </w:pPr>
          </w:p>
          <w:p w14:paraId="4C6131EA">
            <w:pPr>
              <w:pStyle w:val="3"/>
              <w:adjustRightInd w:val="0"/>
              <w:snapToGrid w:val="0"/>
              <w:spacing w:beforeLines="0" w:line="480" w:lineRule="exact"/>
              <w:ind w:firstLine="480" w:firstLineChars="200"/>
              <w:rPr>
                <w:rFonts w:ascii="Times New Roman" w:hAnsi="Times New Roman" w:eastAsia="宋体"/>
                <w:sz w:val="24"/>
              </w:rPr>
            </w:pPr>
          </w:p>
          <w:p w14:paraId="708FD198">
            <w:pPr>
              <w:pStyle w:val="3"/>
              <w:adjustRightInd w:val="0"/>
              <w:snapToGrid w:val="0"/>
              <w:spacing w:beforeLines="0" w:line="480" w:lineRule="exact"/>
              <w:ind w:firstLine="480" w:firstLineChars="200"/>
              <w:rPr>
                <w:rFonts w:ascii="Times New Roman" w:hAnsi="Times New Roman" w:eastAsia="宋体"/>
                <w:sz w:val="24"/>
              </w:rPr>
            </w:pPr>
          </w:p>
          <w:p w14:paraId="21BBD723">
            <w:pPr>
              <w:pStyle w:val="3"/>
              <w:adjustRightInd w:val="0"/>
              <w:snapToGrid w:val="0"/>
              <w:spacing w:beforeLines="0" w:line="480" w:lineRule="exact"/>
              <w:ind w:firstLine="480" w:firstLineChars="200"/>
              <w:rPr>
                <w:rFonts w:ascii="Times New Roman" w:hAnsi="Times New Roman" w:eastAsia="宋体"/>
                <w:sz w:val="24"/>
              </w:rPr>
            </w:pPr>
          </w:p>
          <w:p w14:paraId="4C6CCDDF">
            <w:pPr>
              <w:pStyle w:val="3"/>
              <w:adjustRightInd w:val="0"/>
              <w:snapToGrid w:val="0"/>
              <w:spacing w:beforeLines="0" w:line="480" w:lineRule="exact"/>
              <w:ind w:firstLine="480" w:firstLineChars="200"/>
              <w:rPr>
                <w:rFonts w:ascii="Times New Roman" w:hAnsi="Times New Roman" w:eastAsia="宋体"/>
                <w:sz w:val="24"/>
              </w:rPr>
            </w:pPr>
          </w:p>
          <w:p w14:paraId="0D5278C7">
            <w:pPr>
              <w:pStyle w:val="3"/>
              <w:adjustRightInd w:val="0"/>
              <w:snapToGrid w:val="0"/>
              <w:spacing w:beforeLines="0" w:line="480" w:lineRule="exact"/>
              <w:ind w:firstLine="480" w:firstLineChars="200"/>
              <w:rPr>
                <w:rFonts w:ascii="Times New Roman" w:hAnsi="Times New Roman" w:eastAsia="宋体"/>
                <w:sz w:val="24"/>
              </w:rPr>
            </w:pPr>
          </w:p>
          <w:p w14:paraId="638CAADC">
            <w:pPr>
              <w:pStyle w:val="3"/>
              <w:adjustRightInd w:val="0"/>
              <w:snapToGrid w:val="0"/>
              <w:spacing w:beforeLines="0" w:line="480" w:lineRule="exact"/>
              <w:ind w:firstLine="480" w:firstLineChars="200"/>
              <w:rPr>
                <w:rFonts w:ascii="Times New Roman" w:hAnsi="Times New Roman" w:eastAsia="宋体"/>
                <w:sz w:val="24"/>
              </w:rPr>
            </w:pPr>
          </w:p>
          <w:p w14:paraId="5D573BF1">
            <w:pPr>
              <w:pStyle w:val="3"/>
              <w:adjustRightInd w:val="0"/>
              <w:snapToGrid w:val="0"/>
              <w:spacing w:beforeLines="0" w:line="480" w:lineRule="exact"/>
              <w:ind w:firstLine="480" w:firstLineChars="200"/>
              <w:rPr>
                <w:rFonts w:ascii="Times New Roman" w:hAnsi="Times New Roman" w:eastAsia="宋体"/>
                <w:sz w:val="24"/>
              </w:rPr>
            </w:pPr>
          </w:p>
          <w:p w14:paraId="7334FF11">
            <w:pPr>
              <w:pStyle w:val="3"/>
              <w:adjustRightInd w:val="0"/>
              <w:snapToGrid w:val="0"/>
              <w:spacing w:beforeLines="0" w:line="480" w:lineRule="exact"/>
              <w:ind w:firstLine="480" w:firstLineChars="200"/>
              <w:rPr>
                <w:rFonts w:ascii="Times New Roman" w:hAnsi="Times New Roman" w:eastAsia="宋体"/>
                <w:sz w:val="24"/>
              </w:rPr>
            </w:pPr>
          </w:p>
          <w:p w14:paraId="3BB093AC">
            <w:pPr>
              <w:pStyle w:val="3"/>
              <w:adjustRightInd w:val="0"/>
              <w:snapToGrid w:val="0"/>
              <w:spacing w:beforeLines="0" w:line="480" w:lineRule="exact"/>
              <w:ind w:firstLine="480" w:firstLineChars="200"/>
              <w:rPr>
                <w:rFonts w:ascii="Times New Roman" w:hAnsi="Times New Roman" w:eastAsia="宋体"/>
                <w:sz w:val="24"/>
              </w:rPr>
            </w:pPr>
          </w:p>
          <w:p w14:paraId="4803C6E9">
            <w:pPr>
              <w:pStyle w:val="3"/>
              <w:adjustRightInd w:val="0"/>
              <w:snapToGrid w:val="0"/>
              <w:spacing w:beforeLines="0" w:line="480" w:lineRule="exact"/>
              <w:ind w:firstLine="480" w:firstLineChars="200"/>
              <w:rPr>
                <w:rFonts w:ascii="Times New Roman" w:hAnsi="Times New Roman" w:eastAsia="宋体"/>
                <w:sz w:val="24"/>
              </w:rPr>
            </w:pPr>
          </w:p>
          <w:p w14:paraId="0D55183C">
            <w:pPr>
              <w:pStyle w:val="3"/>
              <w:adjustRightInd w:val="0"/>
              <w:snapToGrid w:val="0"/>
              <w:spacing w:beforeLines="0" w:line="480" w:lineRule="exact"/>
              <w:rPr>
                <w:rFonts w:ascii="Times New Roman" w:hAnsi="Times New Roman" w:eastAsia="宋体"/>
                <w:sz w:val="24"/>
              </w:rPr>
            </w:pPr>
          </w:p>
          <w:p w14:paraId="393D8B6E">
            <w:pPr>
              <w:pStyle w:val="3"/>
              <w:adjustRightInd w:val="0"/>
              <w:snapToGrid w:val="0"/>
              <w:spacing w:beforeLines="0" w:line="480" w:lineRule="exact"/>
              <w:rPr>
                <w:rFonts w:ascii="Times New Roman" w:hAnsi="Times New Roman" w:eastAsia="宋体"/>
                <w:sz w:val="24"/>
              </w:rPr>
            </w:pPr>
          </w:p>
        </w:tc>
      </w:tr>
    </w:tbl>
    <w:p w14:paraId="1B940056">
      <w:pPr>
        <w:pStyle w:val="27"/>
        <w:jc w:val="center"/>
        <w:rPr>
          <w:rFonts w:ascii="Times New Roman" w:hAnsi="Times New Roman"/>
          <w:snapToGrid w:val="0"/>
          <w:sz w:val="36"/>
          <w:szCs w:val="36"/>
        </w:rPr>
        <w:sectPr>
          <w:pgSz w:w="11906" w:h="16838"/>
          <w:pgMar w:top="1440" w:right="1800" w:bottom="1440" w:left="1800" w:header="851" w:footer="1077" w:gutter="0"/>
          <w:pgNumType w:fmt="numberInDash"/>
          <w:cols w:space="720" w:num="1"/>
          <w:docGrid w:linePitch="312" w:charSpace="0"/>
        </w:sectPr>
      </w:pPr>
    </w:p>
    <w:p w14:paraId="72F797C5">
      <w:pPr>
        <w:pStyle w:val="27"/>
        <w:adjustRightInd w:val="0"/>
        <w:snapToGrid w:val="0"/>
        <w:spacing w:before="0" w:beforeAutospacing="0" w:after="0" w:afterAutospacing="0" w:line="14" w:lineRule="auto"/>
        <w:jc w:val="center"/>
        <w:rPr>
          <w:rFonts w:ascii="Times New Roman" w:hAnsi="Times New Roman"/>
          <w:snapToGrid w:val="0"/>
          <w:sz w:val="30"/>
          <w:szCs w:val="30"/>
        </w:rPr>
      </w:pPr>
    </w:p>
    <w:p w14:paraId="10476DF7">
      <w:pPr>
        <w:pStyle w:val="27"/>
        <w:jc w:val="center"/>
        <w:outlineLvl w:val="0"/>
        <w:rPr>
          <w:rFonts w:ascii="Times New Roman" w:hAnsi="Times New Roman"/>
          <w:b/>
          <w:bCs/>
          <w:snapToGrid w:val="0"/>
          <w:sz w:val="30"/>
          <w:szCs w:val="30"/>
        </w:rPr>
      </w:pPr>
      <w:r>
        <w:rPr>
          <w:rFonts w:ascii="Times New Roman" w:hAnsi="Times New Roman"/>
          <w:b/>
          <w:bCs/>
          <w:snapToGrid w:val="0"/>
          <w:sz w:val="30"/>
          <w:szCs w:val="30"/>
        </w:rPr>
        <w:t>五、主要生态环境保护措施</w:t>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992"/>
      </w:tblGrid>
      <w:tr w14:paraId="22DFA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183" w:type="pct"/>
            <w:tcMar>
              <w:left w:w="28" w:type="dxa"/>
              <w:right w:w="28" w:type="dxa"/>
            </w:tcMar>
            <w:vAlign w:val="center"/>
          </w:tcPr>
          <w:p w14:paraId="442682E1">
            <w:pPr>
              <w:adjustRightInd w:val="0"/>
              <w:snapToGrid w:val="0"/>
              <w:jc w:val="center"/>
              <w:rPr>
                <w:bCs/>
                <w:sz w:val="24"/>
              </w:rPr>
            </w:pPr>
            <w:r>
              <w:rPr>
                <w:bCs/>
                <w:spacing w:val="10"/>
                <w:sz w:val="24"/>
              </w:rPr>
              <w:t>施工期生态环境保护措施</w:t>
            </w:r>
          </w:p>
        </w:tc>
        <w:tc>
          <w:tcPr>
            <w:tcW w:w="4816" w:type="pct"/>
          </w:tcPr>
          <w:p w14:paraId="358E53A6">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 生态保护措施</w:t>
            </w:r>
          </w:p>
          <w:p w14:paraId="521F9026">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1.1施工占地及土壤保护措施</w:t>
            </w:r>
          </w:p>
          <w:p w14:paraId="6BC3F95E">
            <w:pPr>
              <w:widowControl/>
              <w:adjustRightInd w:val="0"/>
              <w:snapToGrid w:val="0"/>
              <w:spacing w:line="480" w:lineRule="exact"/>
              <w:ind w:firstLine="480" w:firstLineChars="200"/>
              <w:rPr>
                <w:sz w:val="24"/>
              </w:rPr>
            </w:pPr>
            <w:r>
              <w:rPr>
                <w:rFonts w:hint="eastAsia"/>
                <w:sz w:val="24"/>
              </w:rPr>
              <w:t>（</w:t>
            </w:r>
            <w:r>
              <w:rPr>
                <w:sz w:val="24"/>
              </w:rPr>
              <w:t>1</w:t>
            </w:r>
            <w:r>
              <w:rPr>
                <w:rFonts w:hint="eastAsia"/>
                <w:sz w:val="24"/>
              </w:rPr>
              <w:t>）本项目永久占地已取得《建设项目用地预审与选址意见书》，工程开工前应到相关管理部门办理临时占地的占用手续，手续齐全后方可施工，严禁无手续施工建设；</w:t>
            </w:r>
          </w:p>
          <w:p w14:paraId="20A5F958">
            <w:pPr>
              <w:widowControl/>
              <w:adjustRightInd w:val="0"/>
              <w:snapToGrid w:val="0"/>
              <w:spacing w:line="480" w:lineRule="exact"/>
              <w:ind w:firstLine="480" w:firstLineChars="200"/>
              <w:rPr>
                <w:sz w:val="24"/>
              </w:rPr>
            </w:pPr>
            <w:r>
              <w:rPr>
                <w:rFonts w:hint="eastAsia"/>
                <w:sz w:val="24"/>
              </w:rPr>
              <w:t>（</w:t>
            </w:r>
            <w:r>
              <w:rPr>
                <w:sz w:val="24"/>
              </w:rPr>
              <w:t>2</w:t>
            </w:r>
            <w:r>
              <w:rPr>
                <w:rFonts w:hint="eastAsia"/>
                <w:sz w:val="24"/>
              </w:rPr>
              <w:t>）严格控制临时占地范围，严禁在占地范围外的其他区域产生占地；</w:t>
            </w:r>
          </w:p>
          <w:p w14:paraId="4DA364A4">
            <w:pPr>
              <w:widowControl/>
              <w:adjustRightInd w:val="0"/>
              <w:snapToGrid w:val="0"/>
              <w:spacing w:line="480" w:lineRule="exact"/>
              <w:ind w:firstLine="480" w:firstLineChars="200"/>
              <w:rPr>
                <w:sz w:val="24"/>
              </w:rPr>
            </w:pPr>
            <w:r>
              <w:rPr>
                <w:rFonts w:hint="eastAsia"/>
                <w:sz w:val="24"/>
              </w:rPr>
              <w:t>（</w:t>
            </w:r>
            <w:r>
              <w:rPr>
                <w:sz w:val="24"/>
              </w:rPr>
              <w:t>3</w:t>
            </w:r>
            <w:r>
              <w:rPr>
                <w:rFonts w:hint="eastAsia"/>
                <w:sz w:val="24"/>
              </w:rPr>
              <w:t>）施工临时道路应尽可能利用机耕路等现有道路，新建道路应严格控制道路宽度，以减少临时工程对生态环境的影响；</w:t>
            </w:r>
          </w:p>
          <w:p w14:paraId="4507673B">
            <w:pPr>
              <w:widowControl/>
              <w:adjustRightInd w:val="0"/>
              <w:snapToGrid w:val="0"/>
              <w:spacing w:line="480" w:lineRule="exact"/>
              <w:ind w:firstLine="480" w:firstLineChars="200"/>
              <w:rPr>
                <w:sz w:val="24"/>
              </w:rPr>
            </w:pPr>
            <w:r>
              <w:rPr>
                <w:rFonts w:hint="eastAsia"/>
                <w:sz w:val="24"/>
              </w:rPr>
              <w:t>（</w:t>
            </w:r>
            <w:r>
              <w:rPr>
                <w:sz w:val="24"/>
              </w:rPr>
              <w:t>4</w:t>
            </w:r>
            <w:r>
              <w:rPr>
                <w:rFonts w:hint="eastAsia"/>
                <w:sz w:val="24"/>
              </w:rPr>
              <w:t>）在施工前应对施工人员进行宣传教育。施工过程中应严格按图施工，风电机组、升压站等加强选址控制，不得占用生态保护红线和自然保护地等生态敏感区，施工过程中不得在生态敏感区域内修建临时道路、设置堆场等。</w:t>
            </w:r>
          </w:p>
          <w:p w14:paraId="4FF2C8A0">
            <w:pPr>
              <w:widowControl/>
              <w:adjustRightInd w:val="0"/>
              <w:snapToGrid w:val="0"/>
              <w:spacing w:line="480" w:lineRule="exact"/>
              <w:ind w:firstLine="480" w:firstLineChars="200"/>
              <w:rPr>
                <w:sz w:val="24"/>
              </w:rPr>
            </w:pPr>
            <w:r>
              <w:rPr>
                <w:rFonts w:hint="eastAsia"/>
                <w:sz w:val="24"/>
              </w:rPr>
              <w:t>（5）施工期要对临时占地范围内的表层土壤进行剥离并保存；施工场地开挖过程中，土壤要分层开挖，分别回填，最终回覆剥离的表层土壤，减少因施工造成的土壤养分损失，同时要避免间断覆土所造成的土层不坚实形成水土流失等问题。</w:t>
            </w:r>
          </w:p>
          <w:p w14:paraId="0FB7288C">
            <w:pPr>
              <w:widowControl/>
              <w:adjustRightInd w:val="0"/>
              <w:snapToGrid w:val="0"/>
              <w:spacing w:line="480" w:lineRule="exact"/>
              <w:ind w:firstLine="480" w:firstLineChars="200"/>
              <w:rPr>
                <w:sz w:val="24"/>
              </w:rPr>
            </w:pPr>
            <w:r>
              <w:rPr>
                <w:rFonts w:hint="eastAsia"/>
                <w:sz w:val="24"/>
              </w:rPr>
              <w:t>（6）施工单位应加强对施工人员的管理和教育，及时对施工废料进行清理，不得乱丢垃圾和随意堆放材料与弃土，不得将生活垃圾及生活污水留存或倾倒于施工场地内，做到文明施工，避免因施工人员的活动对土壤造成污染和破坏。</w:t>
            </w:r>
          </w:p>
          <w:p w14:paraId="43CBA886">
            <w:pPr>
              <w:widowControl/>
              <w:adjustRightInd w:val="0"/>
              <w:snapToGrid w:val="0"/>
              <w:spacing w:line="480" w:lineRule="exact"/>
              <w:ind w:firstLine="480" w:firstLineChars="200"/>
              <w:rPr>
                <w:sz w:val="24"/>
              </w:rPr>
            </w:pPr>
            <w:r>
              <w:rPr>
                <w:rFonts w:hint="eastAsia"/>
                <w:sz w:val="24"/>
              </w:rPr>
              <w:t>（7）施工现场使用带油料的机械器具，应采取措施防止油料跑、冒、滴、漏，防止对土壤和水体造成污染。</w:t>
            </w:r>
          </w:p>
          <w:p w14:paraId="4385FBD4">
            <w:pPr>
              <w:widowControl/>
              <w:adjustRightInd w:val="0"/>
              <w:snapToGrid w:val="0"/>
              <w:spacing w:line="480" w:lineRule="exact"/>
              <w:ind w:firstLine="480" w:firstLineChars="200"/>
              <w:rPr>
                <w:sz w:val="24"/>
              </w:rPr>
            </w:pPr>
            <w:r>
              <w:rPr>
                <w:rFonts w:hint="eastAsia"/>
                <w:sz w:val="24"/>
              </w:rPr>
              <w:t>（8）施工结束后，应及时清理施工现场，因地制宜进行土地功能恢复，及时开展复耕、绿化等各项工作，恢复坑塘地貌，恢复养殖。</w:t>
            </w:r>
          </w:p>
          <w:p w14:paraId="76A35AD6">
            <w:pPr>
              <w:spacing w:line="480" w:lineRule="exact"/>
              <w:outlineLvl w:val="2"/>
              <w:rPr>
                <w:b/>
                <w:bCs/>
                <w:kern w:val="0"/>
                <w:sz w:val="24"/>
              </w:rPr>
            </w:pPr>
            <w:r>
              <w:rPr>
                <w:rFonts w:hint="eastAsia"/>
                <w:b/>
                <w:bCs/>
                <w:kern w:val="0"/>
                <w:sz w:val="24"/>
              </w:rPr>
              <w:t>1.2对生态系统保护措施</w:t>
            </w:r>
          </w:p>
          <w:p w14:paraId="33E17DA3">
            <w:pPr>
              <w:spacing w:line="480" w:lineRule="exact"/>
              <w:ind w:firstLine="480" w:firstLineChars="200"/>
              <w:rPr>
                <w:sz w:val="24"/>
              </w:rPr>
            </w:pPr>
            <w:r>
              <w:rPr>
                <w:rFonts w:hint="eastAsia"/>
                <w:sz w:val="24"/>
              </w:rPr>
              <w:t>（1）减少占地：</w:t>
            </w:r>
            <w:r>
              <w:rPr>
                <w:sz w:val="24"/>
              </w:rPr>
              <w:t>在施工建设过程中，通过采取规定车辆行驶路线、施工器材集中堆放等措施，尽量减少</w:t>
            </w:r>
            <w:r>
              <w:rPr>
                <w:rFonts w:hint="eastAsia"/>
                <w:sz w:val="24"/>
              </w:rPr>
              <w:t>临时用地的数量及</w:t>
            </w:r>
            <w:r>
              <w:rPr>
                <w:sz w:val="24"/>
              </w:rPr>
              <w:t>占地</w:t>
            </w:r>
            <w:r>
              <w:rPr>
                <w:rFonts w:hint="eastAsia"/>
                <w:sz w:val="24"/>
              </w:rPr>
              <w:t>面积等</w:t>
            </w:r>
            <w:r>
              <w:rPr>
                <w:sz w:val="24"/>
              </w:rPr>
              <w:t>，最大限度</w:t>
            </w:r>
            <w:r>
              <w:rPr>
                <w:bCs/>
                <w:sz w:val="24"/>
              </w:rPr>
              <w:t>减小原生植被</w:t>
            </w:r>
            <w:r>
              <w:rPr>
                <w:rFonts w:hint="eastAsia"/>
                <w:bCs/>
                <w:sz w:val="24"/>
              </w:rPr>
              <w:t>和坑塘水面</w:t>
            </w:r>
            <w:r>
              <w:rPr>
                <w:bCs/>
                <w:sz w:val="24"/>
              </w:rPr>
              <w:t>的破坏面积</w:t>
            </w:r>
            <w:r>
              <w:rPr>
                <w:sz w:val="24"/>
              </w:rPr>
              <w:t>。</w:t>
            </w:r>
          </w:p>
          <w:p w14:paraId="331E1A8D">
            <w:pPr>
              <w:spacing w:line="480" w:lineRule="exact"/>
              <w:ind w:firstLine="480" w:firstLineChars="200"/>
              <w:rPr>
                <w:bCs/>
                <w:sz w:val="24"/>
              </w:rPr>
            </w:pPr>
            <w:r>
              <w:rPr>
                <w:rFonts w:hint="eastAsia"/>
                <w:bCs/>
                <w:sz w:val="24"/>
              </w:rPr>
              <w:t>（2）生态系统恢复：</w:t>
            </w:r>
            <w:r>
              <w:rPr>
                <w:bCs/>
                <w:sz w:val="24"/>
              </w:rPr>
              <w:t>施工结束后及时清理施工场地，进行土地整治，对施工临时占地进行</w:t>
            </w:r>
            <w:r>
              <w:rPr>
                <w:rFonts w:hint="eastAsia"/>
                <w:bCs/>
                <w:sz w:val="24"/>
              </w:rPr>
              <w:t>人工植被</w:t>
            </w:r>
            <w:r>
              <w:rPr>
                <w:bCs/>
                <w:sz w:val="24"/>
              </w:rPr>
              <w:t>恢复，恢复原有土地功能，对施工道路进行边坡防护治理，防止发生新的土壤侵蚀。</w:t>
            </w:r>
            <w:r>
              <w:rPr>
                <w:rFonts w:hint="eastAsia"/>
                <w:bCs/>
                <w:sz w:val="24"/>
              </w:rPr>
              <w:t>坑塘水面恢复坑塘地貌，恢复养殖。</w:t>
            </w:r>
          </w:p>
          <w:p w14:paraId="69DC6C3E">
            <w:pPr>
              <w:spacing w:line="480" w:lineRule="exact"/>
              <w:ind w:firstLine="480" w:firstLineChars="200"/>
              <w:rPr>
                <w:bCs/>
                <w:sz w:val="24"/>
              </w:rPr>
            </w:pPr>
            <w:r>
              <w:rPr>
                <w:bCs/>
                <w:sz w:val="24"/>
              </w:rPr>
              <w:t>从区域自然植被、景观生态空间格局、生态系统的生产力水平等方面看，项目建设不会对区域生态完整性产生较大扰动，对整个项目区的生态系统影响较小。</w:t>
            </w:r>
          </w:p>
          <w:p w14:paraId="25AD58FD">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1.3植被保护措施</w:t>
            </w:r>
          </w:p>
          <w:p w14:paraId="342F2318">
            <w:pPr>
              <w:spacing w:line="480" w:lineRule="exact"/>
              <w:ind w:firstLine="480" w:firstLineChars="200"/>
              <w:rPr>
                <w:sz w:val="24"/>
              </w:rPr>
            </w:pPr>
            <w:r>
              <w:rPr>
                <w:rFonts w:hint="eastAsia"/>
                <w:sz w:val="24"/>
              </w:rPr>
              <w:t>（1）减少占地：</w:t>
            </w:r>
            <w:r>
              <w:rPr>
                <w:sz w:val="24"/>
              </w:rPr>
              <w:t>施工期首先要采取预防保护措施，通过进一步优化施工布置，控制施工占地，减少对施工地区现有植被的占压和破坏；项目施工中所有运输车辆必须沿规定的道路行驶，不得随意行驶；各种施工机具、施工材料、临时</w:t>
            </w:r>
            <w:r>
              <w:rPr>
                <w:rFonts w:hint="eastAsia"/>
                <w:sz w:val="24"/>
              </w:rPr>
              <w:t>堆</w:t>
            </w:r>
            <w:r>
              <w:rPr>
                <w:sz w:val="24"/>
              </w:rPr>
              <w:t>土等均严格按设计规划指定位置放置，不得随意堆放。加强施工管理，优化施工工艺，减轻工程活动对当地植被的不利影响，维护工程及周边区域的生态完整性。</w:t>
            </w:r>
          </w:p>
          <w:p w14:paraId="09392C8D">
            <w:pPr>
              <w:widowControl/>
              <w:adjustRightInd w:val="0"/>
              <w:snapToGrid w:val="0"/>
              <w:spacing w:line="480" w:lineRule="exact"/>
              <w:ind w:firstLine="480" w:firstLineChars="200"/>
              <w:rPr>
                <w:sz w:val="24"/>
              </w:rPr>
            </w:pPr>
            <w:r>
              <w:rPr>
                <w:rFonts w:hint="eastAsia"/>
                <w:sz w:val="24"/>
              </w:rPr>
              <w:t>（</w:t>
            </w:r>
            <w:r>
              <w:rPr>
                <w:sz w:val="24"/>
              </w:rPr>
              <w:t>2</w:t>
            </w:r>
            <w:r>
              <w:rPr>
                <w:rFonts w:hint="eastAsia"/>
                <w:sz w:val="24"/>
              </w:rPr>
              <w:t>）加强对现场施工人员的宣传、教育、管理工作，设置生态保护警示牌，标明施工活动区，严禁施工人员乱砍滥伐，随意砍伐破坏施工区外的植被、作物，避免施工区外围植被的破坏。</w:t>
            </w:r>
          </w:p>
          <w:p w14:paraId="7E2CC2DE">
            <w:pPr>
              <w:widowControl/>
              <w:adjustRightInd w:val="0"/>
              <w:snapToGrid w:val="0"/>
              <w:spacing w:line="480" w:lineRule="exact"/>
              <w:ind w:firstLine="480" w:firstLineChars="200"/>
              <w:rPr>
                <w:sz w:val="24"/>
              </w:rPr>
            </w:pPr>
            <w:r>
              <w:rPr>
                <w:rFonts w:hint="eastAsia"/>
                <w:sz w:val="24"/>
              </w:rPr>
              <w:t>（</w:t>
            </w:r>
            <w:r>
              <w:rPr>
                <w:sz w:val="24"/>
              </w:rPr>
              <w:t>3</w:t>
            </w:r>
            <w:r>
              <w:rPr>
                <w:rFonts w:hint="eastAsia"/>
                <w:sz w:val="24"/>
              </w:rPr>
              <w:t>）施工作业带清理应由熟悉施工区域内自然状况、施工技术要求的人员带队进行，缩小施工作业范围，避免对周边植被的破坏。</w:t>
            </w:r>
          </w:p>
          <w:p w14:paraId="5FC9424F">
            <w:pPr>
              <w:widowControl/>
              <w:adjustRightInd w:val="0"/>
              <w:snapToGrid w:val="0"/>
              <w:spacing w:line="480" w:lineRule="exact"/>
              <w:ind w:firstLine="480" w:firstLineChars="200"/>
              <w:rPr>
                <w:sz w:val="24"/>
              </w:rPr>
            </w:pPr>
            <w:r>
              <w:rPr>
                <w:rFonts w:hint="eastAsia"/>
                <w:sz w:val="24"/>
              </w:rPr>
              <w:t>（</w:t>
            </w:r>
            <w:r>
              <w:rPr>
                <w:sz w:val="24"/>
              </w:rPr>
              <w:t>4</w:t>
            </w:r>
            <w:r>
              <w:rPr>
                <w:rFonts w:hint="eastAsia"/>
                <w:sz w:val="24"/>
              </w:rPr>
              <w:t>）涉及林木砍伐的，在施工前按照林业主管部门要求完成相关手续的办理；涉及耕地区域按照农业主管部门要求在施工前完成相关手续的办理。</w:t>
            </w:r>
          </w:p>
          <w:p w14:paraId="2FEC0B14">
            <w:pPr>
              <w:widowControl/>
              <w:adjustRightInd w:val="0"/>
              <w:snapToGrid w:val="0"/>
              <w:spacing w:line="480" w:lineRule="exact"/>
              <w:ind w:firstLine="480" w:firstLineChars="200"/>
              <w:rPr>
                <w:sz w:val="24"/>
              </w:rPr>
            </w:pPr>
            <w:r>
              <w:rPr>
                <w:rFonts w:hint="eastAsia"/>
                <w:sz w:val="24"/>
              </w:rPr>
              <w:t>（</w:t>
            </w:r>
            <w:r>
              <w:rPr>
                <w:sz w:val="24"/>
              </w:rPr>
              <w:t>5</w:t>
            </w:r>
            <w:r>
              <w:rPr>
                <w:rFonts w:hint="eastAsia"/>
                <w:sz w:val="24"/>
              </w:rPr>
              <w:t>）施工前制定合理、可行的植被恢复方案，拟定详细施工进度，并从组织上落实进度控制责任制，保证施工进度。</w:t>
            </w:r>
          </w:p>
          <w:p w14:paraId="0AFD1028">
            <w:pPr>
              <w:widowControl/>
              <w:adjustRightInd w:val="0"/>
              <w:snapToGrid w:val="0"/>
              <w:spacing w:line="480" w:lineRule="exact"/>
              <w:ind w:firstLine="480" w:firstLineChars="200"/>
              <w:rPr>
                <w:sz w:val="24"/>
              </w:rPr>
            </w:pPr>
            <w:r>
              <w:rPr>
                <w:rFonts w:hint="eastAsia"/>
                <w:sz w:val="24"/>
              </w:rPr>
              <w:t>（6）施工结束后，全面拆除施工临时设施，彻底清除施工废弃杂物，凡受到施工车辆、机械破坏的地方都要及时修整，恢复临时占地植被及原有地貌，并通过复耕或加强绿化等措施对损失的生物量进行恢复；野生杂草占地区按照地表清理—原土回复—撒播草籽的方式进行恢复；耕地区域施工前剥离表层耕种土层，施工结束后完成原位恢复，保障不影响来年作物的种植；果树破坏区施工前，对果树进行砍伐，并结合工程绿化内容，及时完成果树的种植工作。</w:t>
            </w:r>
          </w:p>
          <w:p w14:paraId="3E6AD7A3">
            <w:pPr>
              <w:widowControl/>
              <w:adjustRightInd w:val="0"/>
              <w:snapToGrid w:val="0"/>
              <w:spacing w:line="480" w:lineRule="exact"/>
              <w:ind w:firstLine="480" w:firstLineChars="200"/>
              <w:rPr>
                <w:sz w:val="24"/>
              </w:rPr>
            </w:pPr>
            <w:r>
              <w:rPr>
                <w:rFonts w:hint="eastAsia"/>
                <w:sz w:val="24"/>
              </w:rPr>
              <w:t>（7）附着物补偿：项目所涉及地块的地上附着物，包括果树等，补偿方案由双方共同选定具备相应资质的评估鉴定机构对地上附着物进行清点及核实，依据相关规定等进行评估，建设单位按照评估结果进行补偿。</w:t>
            </w:r>
          </w:p>
          <w:p w14:paraId="5EF1A306">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1.4对鸟类等野生动物保护措施</w:t>
            </w:r>
          </w:p>
          <w:p w14:paraId="78E8853B">
            <w:pPr>
              <w:adjustRightInd w:val="0"/>
              <w:snapToGrid w:val="0"/>
              <w:spacing w:line="480" w:lineRule="exact"/>
              <w:ind w:firstLine="480" w:firstLineChars="200"/>
              <w:rPr>
                <w:sz w:val="24"/>
                <w:szCs w:val="20"/>
              </w:rPr>
            </w:pPr>
            <w:r>
              <w:rPr>
                <w:rFonts w:hint="eastAsia"/>
                <w:sz w:val="24"/>
                <w:szCs w:val="20"/>
              </w:rPr>
              <w:t>（1）风机及输电线路合理布局，风机布局预留鸟类迁徙通道，集电线路尽量采取地埋敷设方式，减少架空线路，尽量减小对鸟类的影响。</w:t>
            </w:r>
          </w:p>
          <w:p w14:paraId="5A6431E4">
            <w:pPr>
              <w:adjustRightInd w:val="0"/>
              <w:snapToGrid w:val="0"/>
              <w:spacing w:line="480" w:lineRule="exact"/>
              <w:ind w:firstLine="480" w:firstLineChars="200"/>
              <w:rPr>
                <w:sz w:val="24"/>
                <w:szCs w:val="20"/>
              </w:rPr>
            </w:pPr>
            <w:r>
              <w:rPr>
                <w:rFonts w:hint="eastAsia"/>
                <w:sz w:val="24"/>
                <w:szCs w:val="20"/>
              </w:rPr>
              <w:t>（2）施工过程中</w:t>
            </w:r>
            <w:r>
              <w:rPr>
                <w:sz w:val="24"/>
              </w:rPr>
              <w:t>选择低噪声施工机械和运输车辆，禁止运输车辆鸣放高音喇叭，利用多孔性吸声材料等措施降低施工噪声。</w:t>
            </w:r>
            <w:r>
              <w:rPr>
                <w:rFonts w:hint="eastAsia"/>
                <w:sz w:val="24"/>
                <w:szCs w:val="20"/>
              </w:rPr>
              <w:t>同时加强施工设备的维护和保养，对振动大的机械设备使用减振机座或减振垫，从根本上降低噪声源强。</w:t>
            </w:r>
          </w:p>
          <w:p w14:paraId="25C01DF6">
            <w:pPr>
              <w:adjustRightInd w:val="0"/>
              <w:snapToGrid w:val="0"/>
              <w:spacing w:line="480" w:lineRule="exact"/>
              <w:ind w:firstLine="480" w:firstLineChars="200"/>
              <w:rPr>
                <w:sz w:val="24"/>
                <w:szCs w:val="20"/>
              </w:rPr>
            </w:pPr>
            <w:r>
              <w:rPr>
                <w:rFonts w:hint="eastAsia"/>
                <w:sz w:val="24"/>
                <w:szCs w:val="20"/>
              </w:rPr>
              <w:t>（3）合理安排施工时间，避开鸟类迁徙高峰时段。项目施工活动均安排在白天进行，夜间禁止施工，避免夜间光照对野生动物的潜在影响。野生鸟类和兽类大多是早晨、黄昏或夜间外出觅食，正午是鸟类休息时间。为了减少工程施工噪声对野生动物的惊扰，应做好施工方式和时间的计划，并力求避免在晨昏和正午进行大型机械施工，降低产生的噪声影响等。</w:t>
            </w:r>
          </w:p>
          <w:p w14:paraId="3291C860">
            <w:pPr>
              <w:adjustRightInd w:val="0"/>
              <w:snapToGrid w:val="0"/>
              <w:spacing w:line="480" w:lineRule="exact"/>
              <w:ind w:firstLine="480" w:firstLineChars="200"/>
              <w:rPr>
                <w:sz w:val="24"/>
                <w:szCs w:val="20"/>
              </w:rPr>
            </w:pPr>
            <w:r>
              <w:rPr>
                <w:rFonts w:hint="eastAsia"/>
                <w:sz w:val="24"/>
                <w:szCs w:val="20"/>
              </w:rPr>
              <w:t>（4）</w:t>
            </w:r>
            <w:r>
              <w:rPr>
                <w:sz w:val="24"/>
              </w:rPr>
              <w:t>风电机组</w:t>
            </w:r>
            <w:r>
              <w:rPr>
                <w:rFonts w:hint="eastAsia"/>
                <w:sz w:val="24"/>
              </w:rPr>
              <w:t>采用</w:t>
            </w:r>
            <w:r>
              <w:rPr>
                <w:sz w:val="24"/>
              </w:rPr>
              <w:t>滚动式</w:t>
            </w:r>
            <w:r>
              <w:rPr>
                <w:rFonts w:hint="eastAsia"/>
                <w:sz w:val="24"/>
              </w:rPr>
              <w:t>施工</w:t>
            </w:r>
            <w:r>
              <w:rPr>
                <w:sz w:val="24"/>
              </w:rPr>
              <w:t>，逐个进行，无大面积施工，影响范围较小，且不会明显割裂原有生境。施工期结束后</w:t>
            </w:r>
            <w:r>
              <w:rPr>
                <w:rFonts w:hint="eastAsia"/>
                <w:sz w:val="24"/>
              </w:rPr>
              <w:t>采取</w:t>
            </w:r>
            <w:r>
              <w:rPr>
                <w:sz w:val="24"/>
              </w:rPr>
              <w:t>场地清理、植被恢复等措施，逐步恢复该区域生境功能。</w:t>
            </w:r>
          </w:p>
          <w:p w14:paraId="78843C14">
            <w:pPr>
              <w:adjustRightInd w:val="0"/>
              <w:snapToGrid w:val="0"/>
              <w:spacing w:line="480" w:lineRule="exact"/>
              <w:ind w:firstLine="480" w:firstLineChars="200"/>
              <w:rPr>
                <w:sz w:val="24"/>
                <w:szCs w:val="20"/>
              </w:rPr>
            </w:pPr>
            <w:r>
              <w:rPr>
                <w:rFonts w:hint="eastAsia"/>
                <w:sz w:val="24"/>
                <w:szCs w:val="20"/>
              </w:rPr>
              <w:t>（5）合理安排施工期，避开鸟类迁徙、繁殖期，加快施工进度，尽量缩短工期，避免长时间对项目区域内的野生动物活动进行惊扰。</w:t>
            </w:r>
          </w:p>
          <w:p w14:paraId="1A5762D2">
            <w:pPr>
              <w:adjustRightInd w:val="0"/>
              <w:snapToGrid w:val="0"/>
              <w:spacing w:line="480" w:lineRule="exact"/>
              <w:ind w:firstLine="480" w:firstLineChars="200"/>
              <w:rPr>
                <w:sz w:val="24"/>
                <w:szCs w:val="20"/>
              </w:rPr>
            </w:pPr>
            <w:r>
              <w:rPr>
                <w:rFonts w:hint="eastAsia"/>
                <w:sz w:val="24"/>
                <w:szCs w:val="20"/>
              </w:rPr>
              <w:t>（6）施工运输车辆严格行驶路线，并应限速行驶、禁止鸣笛，以减少对陆生动物的惊扰。</w:t>
            </w:r>
          </w:p>
          <w:p w14:paraId="6DE48399">
            <w:pPr>
              <w:adjustRightInd w:val="0"/>
              <w:snapToGrid w:val="0"/>
              <w:spacing w:line="480" w:lineRule="exact"/>
              <w:ind w:firstLine="480" w:firstLineChars="200"/>
              <w:rPr>
                <w:sz w:val="24"/>
                <w:szCs w:val="20"/>
              </w:rPr>
            </w:pPr>
            <w:r>
              <w:rPr>
                <w:rFonts w:hint="eastAsia"/>
                <w:sz w:val="24"/>
                <w:szCs w:val="20"/>
              </w:rPr>
              <w:t>（7）加强施工期环境管理，严格控制施工期废水和固体废物的处置去向，严格禁止施工用料、泥浆、垃圾和其他施工机械的废油等污染物进入沿线沟渠及附近水体，避免对施工河段内的水生生物造成影响。</w:t>
            </w:r>
          </w:p>
          <w:p w14:paraId="088AB213">
            <w:pPr>
              <w:adjustRightInd w:val="0"/>
              <w:snapToGrid w:val="0"/>
              <w:spacing w:line="480" w:lineRule="exact"/>
              <w:ind w:firstLine="480" w:firstLineChars="200"/>
              <w:rPr>
                <w:sz w:val="24"/>
                <w:szCs w:val="20"/>
              </w:rPr>
            </w:pPr>
            <w:r>
              <w:rPr>
                <w:rFonts w:hint="eastAsia"/>
                <w:sz w:val="24"/>
                <w:szCs w:val="20"/>
              </w:rPr>
              <w:t>（8）做好现场施工人员的宣传、教育、管理工作，增强对野生动物的保护意识，严禁施工人员非法猎捕野生动物，并以警戒线划分施工区域边界，防止施工人员误入施工区外，对非施工区范围内的动物造成影响，严禁施工人员搭设补鸟装置。</w:t>
            </w:r>
          </w:p>
          <w:p w14:paraId="29811AFF">
            <w:pPr>
              <w:adjustRightInd w:val="0"/>
              <w:snapToGrid w:val="0"/>
              <w:spacing w:line="480" w:lineRule="exact"/>
              <w:ind w:firstLine="480" w:firstLineChars="200"/>
              <w:rPr>
                <w:sz w:val="24"/>
                <w:szCs w:val="20"/>
              </w:rPr>
            </w:pPr>
            <w:r>
              <w:rPr>
                <w:rFonts w:hint="eastAsia"/>
                <w:sz w:val="24"/>
                <w:szCs w:val="20"/>
              </w:rPr>
              <w:t>（9）依据施工总平面布置图，确定施工用地范围，严格控制施工作业带范围，减少对现有土壤和植被的破坏，减少对鸟类栖息环境的破坏。</w:t>
            </w:r>
          </w:p>
          <w:p w14:paraId="4CD363DD">
            <w:pPr>
              <w:adjustRightInd w:val="0"/>
              <w:snapToGrid w:val="0"/>
              <w:spacing w:line="480" w:lineRule="exact"/>
              <w:ind w:firstLine="480" w:firstLineChars="200"/>
              <w:rPr>
                <w:sz w:val="24"/>
                <w:szCs w:val="20"/>
              </w:rPr>
            </w:pPr>
            <w:r>
              <w:rPr>
                <w:rFonts w:hint="eastAsia"/>
                <w:sz w:val="24"/>
                <w:szCs w:val="20"/>
              </w:rPr>
              <w:t>（10）施工期开展鸟类现状监测</w:t>
            </w:r>
            <w:r>
              <w:rPr>
                <w:sz w:val="24"/>
                <w:szCs w:val="20"/>
              </w:rPr>
              <w:t>，及时掌握鸟类信息。</w:t>
            </w:r>
          </w:p>
          <w:p w14:paraId="1932928E">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1.5 水土保持措施</w:t>
            </w:r>
          </w:p>
          <w:p w14:paraId="1B97DB8D">
            <w:pPr>
              <w:adjustRightInd w:val="0"/>
              <w:snapToGrid w:val="0"/>
              <w:spacing w:line="480" w:lineRule="exact"/>
              <w:ind w:firstLine="480" w:firstLineChars="200"/>
              <w:rPr>
                <w:sz w:val="24"/>
                <w:szCs w:val="20"/>
              </w:rPr>
            </w:pPr>
            <w:r>
              <w:rPr>
                <w:rFonts w:hint="eastAsia"/>
                <w:sz w:val="24"/>
                <w:szCs w:val="20"/>
              </w:rPr>
              <w:t>施工期，在每个风机机位和升压站施工区四周可能造成土壤顺坡流失的地段，布置拦挡措施采用编织袋装土筑坎；施工结束后，将风机机位和升压站施工区的弃土石清理，可回用土方用于工程垫土、场地平整等，淤泥和废弃泥浆</w:t>
            </w:r>
            <w:r>
              <w:rPr>
                <w:sz w:val="24"/>
              </w:rPr>
              <w:t>委托有资质单位运送至相关管理部门指定地点处理</w:t>
            </w:r>
            <w:r>
              <w:rPr>
                <w:rFonts w:hint="eastAsia"/>
                <w:sz w:val="24"/>
                <w:szCs w:val="20"/>
              </w:rPr>
              <w:t>。对裸露的风机机位和升压站场地，进行平整翻松，恢复植被。</w:t>
            </w:r>
          </w:p>
          <w:p w14:paraId="6BCCADA2">
            <w:pPr>
              <w:adjustRightInd w:val="0"/>
              <w:snapToGrid w:val="0"/>
              <w:spacing w:line="480" w:lineRule="exact"/>
              <w:ind w:firstLine="480" w:firstLineChars="200"/>
              <w:rPr>
                <w:sz w:val="24"/>
                <w:szCs w:val="20"/>
              </w:rPr>
            </w:pPr>
            <w:r>
              <w:rPr>
                <w:rFonts w:hint="eastAsia"/>
                <w:sz w:val="24"/>
                <w:szCs w:val="20"/>
              </w:rPr>
              <w:t>施工临时设施区施工前需先对表层土清除后进行集中堆置防护，后用于场地复土。施工区临时堆土场（位于各风机吊装平台）采取了编织袋装土防护和苫布覆盖、设置了临时排水导流系统，采取了植物绿化措施；临时道路、集电线路采取了土石方临时挡护措施、边坡防护、排水导流以及绿化措施等。</w:t>
            </w:r>
          </w:p>
          <w:p w14:paraId="7EA22C0C">
            <w:pPr>
              <w:adjustRightInd w:val="0"/>
              <w:snapToGrid w:val="0"/>
              <w:spacing w:line="480" w:lineRule="exact"/>
              <w:jc w:val="center"/>
              <w:rPr>
                <w:sz w:val="24"/>
                <w:szCs w:val="20"/>
              </w:rPr>
            </w:pPr>
            <w:r>
              <w:rPr>
                <w:rFonts w:hint="eastAsia"/>
                <w:b/>
                <w:bCs/>
                <w:szCs w:val="16"/>
              </w:rPr>
              <w:t>表5-1    水土流失分区防护措施一览表</w:t>
            </w:r>
          </w:p>
          <w:tbl>
            <w:tblPr>
              <w:tblStyle w:val="33"/>
              <w:tblW w:w="77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612"/>
              <w:gridCol w:w="4548"/>
            </w:tblGrid>
            <w:tr w14:paraId="0A6DE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tcBorders>
                    <w:tl2br w:val="nil"/>
                    <w:tr2bl w:val="nil"/>
                  </w:tcBorders>
                  <w:vAlign w:val="center"/>
                </w:tcPr>
                <w:p w14:paraId="44573C05">
                  <w:pPr>
                    <w:adjustRightInd w:val="0"/>
                    <w:snapToGrid w:val="0"/>
                    <w:spacing w:line="480" w:lineRule="exact"/>
                    <w:jc w:val="center"/>
                    <w:rPr>
                      <w:szCs w:val="16"/>
                    </w:rPr>
                  </w:pPr>
                  <w:r>
                    <w:rPr>
                      <w:szCs w:val="16"/>
                    </w:rPr>
                    <w:t>防治分区</w:t>
                  </w:r>
                </w:p>
              </w:tc>
              <w:tc>
                <w:tcPr>
                  <w:tcW w:w="1612" w:type="dxa"/>
                  <w:tcBorders>
                    <w:tl2br w:val="nil"/>
                    <w:tr2bl w:val="nil"/>
                  </w:tcBorders>
                  <w:vAlign w:val="center"/>
                </w:tcPr>
                <w:p w14:paraId="63192789">
                  <w:pPr>
                    <w:adjustRightInd w:val="0"/>
                    <w:snapToGrid w:val="0"/>
                    <w:spacing w:line="480" w:lineRule="exact"/>
                    <w:jc w:val="center"/>
                    <w:rPr>
                      <w:szCs w:val="16"/>
                    </w:rPr>
                  </w:pPr>
                  <w:r>
                    <w:rPr>
                      <w:szCs w:val="16"/>
                    </w:rPr>
                    <w:t>措施类型</w:t>
                  </w:r>
                </w:p>
              </w:tc>
              <w:tc>
                <w:tcPr>
                  <w:tcW w:w="4548" w:type="dxa"/>
                  <w:tcBorders>
                    <w:tl2br w:val="nil"/>
                    <w:tr2bl w:val="nil"/>
                  </w:tcBorders>
                  <w:vAlign w:val="center"/>
                </w:tcPr>
                <w:p w14:paraId="58E6150E">
                  <w:pPr>
                    <w:adjustRightInd w:val="0"/>
                    <w:snapToGrid w:val="0"/>
                    <w:spacing w:line="480" w:lineRule="exact"/>
                    <w:jc w:val="center"/>
                    <w:rPr>
                      <w:szCs w:val="16"/>
                    </w:rPr>
                  </w:pPr>
                  <w:r>
                    <w:rPr>
                      <w:szCs w:val="16"/>
                    </w:rPr>
                    <w:t>水土保持工程</w:t>
                  </w:r>
                </w:p>
              </w:tc>
            </w:tr>
            <w:tr w14:paraId="07CA9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restart"/>
                  <w:tcBorders>
                    <w:tl2br w:val="nil"/>
                    <w:tr2bl w:val="nil"/>
                  </w:tcBorders>
                  <w:vAlign w:val="center"/>
                </w:tcPr>
                <w:p w14:paraId="72197213">
                  <w:pPr>
                    <w:adjustRightInd w:val="0"/>
                    <w:snapToGrid w:val="0"/>
                    <w:spacing w:line="480" w:lineRule="exact"/>
                    <w:jc w:val="center"/>
                    <w:rPr>
                      <w:szCs w:val="16"/>
                    </w:rPr>
                  </w:pPr>
                  <w:r>
                    <w:rPr>
                      <w:szCs w:val="16"/>
                    </w:rPr>
                    <w:t>风电机组区</w:t>
                  </w:r>
                </w:p>
              </w:tc>
              <w:tc>
                <w:tcPr>
                  <w:tcW w:w="1612" w:type="dxa"/>
                  <w:tcBorders>
                    <w:tl2br w:val="nil"/>
                    <w:tr2bl w:val="nil"/>
                  </w:tcBorders>
                  <w:vAlign w:val="center"/>
                </w:tcPr>
                <w:p w14:paraId="0F9A1739">
                  <w:pPr>
                    <w:adjustRightInd w:val="0"/>
                    <w:snapToGrid w:val="0"/>
                    <w:spacing w:line="480" w:lineRule="exact"/>
                    <w:jc w:val="center"/>
                    <w:rPr>
                      <w:szCs w:val="16"/>
                    </w:rPr>
                  </w:pPr>
                  <w:r>
                    <w:rPr>
                      <w:szCs w:val="16"/>
                    </w:rPr>
                    <w:t>工程措施</w:t>
                  </w:r>
                </w:p>
              </w:tc>
              <w:tc>
                <w:tcPr>
                  <w:tcW w:w="4548" w:type="dxa"/>
                  <w:tcBorders>
                    <w:tl2br w:val="nil"/>
                    <w:tr2bl w:val="nil"/>
                  </w:tcBorders>
                  <w:vAlign w:val="center"/>
                </w:tcPr>
                <w:p w14:paraId="1FC39F3C">
                  <w:pPr>
                    <w:adjustRightInd w:val="0"/>
                    <w:snapToGrid w:val="0"/>
                    <w:spacing w:line="480" w:lineRule="exact"/>
                    <w:jc w:val="center"/>
                    <w:rPr>
                      <w:szCs w:val="16"/>
                    </w:rPr>
                  </w:pPr>
                  <w:r>
                    <w:rPr>
                      <w:szCs w:val="16"/>
                    </w:rPr>
                    <w:t>表土剥离、覆土平整、砂砾压盖</w:t>
                  </w:r>
                </w:p>
              </w:tc>
            </w:tr>
            <w:tr w14:paraId="386FC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20C5B818">
                  <w:pPr>
                    <w:adjustRightInd w:val="0"/>
                    <w:snapToGrid w:val="0"/>
                    <w:spacing w:line="480" w:lineRule="exact"/>
                    <w:jc w:val="center"/>
                    <w:rPr>
                      <w:szCs w:val="16"/>
                    </w:rPr>
                  </w:pPr>
                </w:p>
              </w:tc>
              <w:tc>
                <w:tcPr>
                  <w:tcW w:w="1612" w:type="dxa"/>
                  <w:tcBorders>
                    <w:tl2br w:val="nil"/>
                    <w:tr2bl w:val="nil"/>
                  </w:tcBorders>
                  <w:vAlign w:val="center"/>
                </w:tcPr>
                <w:p w14:paraId="333675EB">
                  <w:pPr>
                    <w:adjustRightInd w:val="0"/>
                    <w:snapToGrid w:val="0"/>
                    <w:spacing w:line="480" w:lineRule="exact"/>
                    <w:jc w:val="center"/>
                    <w:rPr>
                      <w:szCs w:val="16"/>
                    </w:rPr>
                  </w:pPr>
                  <w:r>
                    <w:rPr>
                      <w:szCs w:val="16"/>
                    </w:rPr>
                    <w:t>临时措施</w:t>
                  </w:r>
                </w:p>
              </w:tc>
              <w:tc>
                <w:tcPr>
                  <w:tcW w:w="4548" w:type="dxa"/>
                  <w:tcBorders>
                    <w:tl2br w:val="nil"/>
                    <w:tr2bl w:val="nil"/>
                  </w:tcBorders>
                  <w:vAlign w:val="center"/>
                </w:tcPr>
                <w:p w14:paraId="4E4A0294">
                  <w:pPr>
                    <w:adjustRightInd w:val="0"/>
                    <w:snapToGrid w:val="0"/>
                    <w:spacing w:line="480" w:lineRule="exact"/>
                    <w:jc w:val="center"/>
                    <w:rPr>
                      <w:szCs w:val="16"/>
                    </w:rPr>
                  </w:pPr>
                  <w:r>
                    <w:rPr>
                      <w:szCs w:val="16"/>
                    </w:rPr>
                    <w:t>临时遮盖、临时拦挡、沉淀池、泥浆池</w:t>
                  </w:r>
                </w:p>
              </w:tc>
            </w:tr>
            <w:tr w14:paraId="37AEB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restart"/>
                  <w:tcBorders>
                    <w:tl2br w:val="nil"/>
                    <w:tr2bl w:val="nil"/>
                  </w:tcBorders>
                  <w:vAlign w:val="center"/>
                </w:tcPr>
                <w:p w14:paraId="389BCA64">
                  <w:pPr>
                    <w:adjustRightInd w:val="0"/>
                    <w:snapToGrid w:val="0"/>
                    <w:spacing w:line="480" w:lineRule="exact"/>
                    <w:jc w:val="center"/>
                    <w:rPr>
                      <w:szCs w:val="16"/>
                    </w:rPr>
                  </w:pPr>
                  <w:r>
                    <w:rPr>
                      <w:szCs w:val="16"/>
                    </w:rPr>
                    <w:t>升压站区</w:t>
                  </w:r>
                </w:p>
              </w:tc>
              <w:tc>
                <w:tcPr>
                  <w:tcW w:w="1612" w:type="dxa"/>
                  <w:tcBorders>
                    <w:tl2br w:val="nil"/>
                    <w:tr2bl w:val="nil"/>
                  </w:tcBorders>
                  <w:vAlign w:val="center"/>
                </w:tcPr>
                <w:p w14:paraId="44F9D172">
                  <w:pPr>
                    <w:adjustRightInd w:val="0"/>
                    <w:snapToGrid w:val="0"/>
                    <w:spacing w:line="480" w:lineRule="exact"/>
                    <w:jc w:val="center"/>
                    <w:rPr>
                      <w:szCs w:val="16"/>
                    </w:rPr>
                  </w:pPr>
                  <w:r>
                    <w:rPr>
                      <w:szCs w:val="16"/>
                    </w:rPr>
                    <w:t>工程措施</w:t>
                  </w:r>
                </w:p>
              </w:tc>
              <w:tc>
                <w:tcPr>
                  <w:tcW w:w="4548" w:type="dxa"/>
                  <w:tcBorders>
                    <w:tl2br w:val="nil"/>
                    <w:tr2bl w:val="nil"/>
                  </w:tcBorders>
                  <w:vAlign w:val="center"/>
                </w:tcPr>
                <w:p w14:paraId="7A115B0E">
                  <w:pPr>
                    <w:adjustRightInd w:val="0"/>
                    <w:snapToGrid w:val="0"/>
                    <w:spacing w:line="480" w:lineRule="exact"/>
                    <w:jc w:val="center"/>
                    <w:rPr>
                      <w:szCs w:val="16"/>
                    </w:rPr>
                  </w:pPr>
                  <w:r>
                    <w:rPr>
                      <w:szCs w:val="16"/>
                    </w:rPr>
                    <w:t>表土剥离、覆土平整、排水系统</w:t>
                  </w:r>
                </w:p>
              </w:tc>
            </w:tr>
            <w:tr w14:paraId="6A45B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74F38498">
                  <w:pPr>
                    <w:adjustRightInd w:val="0"/>
                    <w:snapToGrid w:val="0"/>
                    <w:spacing w:line="480" w:lineRule="exact"/>
                    <w:jc w:val="center"/>
                    <w:rPr>
                      <w:szCs w:val="16"/>
                    </w:rPr>
                  </w:pPr>
                </w:p>
              </w:tc>
              <w:tc>
                <w:tcPr>
                  <w:tcW w:w="1612" w:type="dxa"/>
                  <w:tcBorders>
                    <w:tl2br w:val="nil"/>
                    <w:tr2bl w:val="nil"/>
                  </w:tcBorders>
                  <w:vAlign w:val="center"/>
                </w:tcPr>
                <w:p w14:paraId="159827AF">
                  <w:pPr>
                    <w:adjustRightInd w:val="0"/>
                    <w:snapToGrid w:val="0"/>
                    <w:spacing w:line="480" w:lineRule="exact"/>
                    <w:jc w:val="center"/>
                    <w:rPr>
                      <w:szCs w:val="16"/>
                    </w:rPr>
                  </w:pPr>
                  <w:r>
                    <w:rPr>
                      <w:szCs w:val="16"/>
                    </w:rPr>
                    <w:t>临时措施</w:t>
                  </w:r>
                </w:p>
              </w:tc>
              <w:tc>
                <w:tcPr>
                  <w:tcW w:w="4548" w:type="dxa"/>
                  <w:tcBorders>
                    <w:tl2br w:val="nil"/>
                    <w:tr2bl w:val="nil"/>
                  </w:tcBorders>
                  <w:vAlign w:val="center"/>
                </w:tcPr>
                <w:p w14:paraId="220E921D">
                  <w:pPr>
                    <w:adjustRightInd w:val="0"/>
                    <w:snapToGrid w:val="0"/>
                    <w:spacing w:line="480" w:lineRule="exact"/>
                    <w:jc w:val="center"/>
                    <w:rPr>
                      <w:szCs w:val="16"/>
                    </w:rPr>
                  </w:pPr>
                  <w:r>
                    <w:rPr>
                      <w:szCs w:val="16"/>
                    </w:rPr>
                    <w:t>临时遮盖、临时拦挡、沉淀池、临时排水</w:t>
                  </w:r>
                </w:p>
              </w:tc>
            </w:tr>
            <w:tr w14:paraId="4C162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6623C278">
                  <w:pPr>
                    <w:adjustRightInd w:val="0"/>
                    <w:snapToGrid w:val="0"/>
                    <w:spacing w:line="480" w:lineRule="exact"/>
                    <w:jc w:val="center"/>
                    <w:rPr>
                      <w:szCs w:val="16"/>
                    </w:rPr>
                  </w:pPr>
                </w:p>
              </w:tc>
              <w:tc>
                <w:tcPr>
                  <w:tcW w:w="1612" w:type="dxa"/>
                  <w:tcBorders>
                    <w:tl2br w:val="nil"/>
                    <w:tr2bl w:val="nil"/>
                  </w:tcBorders>
                  <w:vAlign w:val="center"/>
                </w:tcPr>
                <w:p w14:paraId="27F33A48">
                  <w:pPr>
                    <w:adjustRightInd w:val="0"/>
                    <w:snapToGrid w:val="0"/>
                    <w:spacing w:line="480" w:lineRule="exact"/>
                    <w:jc w:val="center"/>
                    <w:rPr>
                      <w:szCs w:val="16"/>
                    </w:rPr>
                  </w:pPr>
                  <w:r>
                    <w:rPr>
                      <w:szCs w:val="16"/>
                    </w:rPr>
                    <w:t>植物措施</w:t>
                  </w:r>
                </w:p>
              </w:tc>
              <w:tc>
                <w:tcPr>
                  <w:tcW w:w="4548" w:type="dxa"/>
                  <w:tcBorders>
                    <w:tl2br w:val="nil"/>
                    <w:tr2bl w:val="nil"/>
                  </w:tcBorders>
                  <w:vAlign w:val="center"/>
                </w:tcPr>
                <w:p w14:paraId="619D25B1">
                  <w:pPr>
                    <w:adjustRightInd w:val="0"/>
                    <w:snapToGrid w:val="0"/>
                    <w:spacing w:line="480" w:lineRule="exact"/>
                    <w:jc w:val="center"/>
                    <w:rPr>
                      <w:szCs w:val="16"/>
                    </w:rPr>
                  </w:pPr>
                  <w:r>
                    <w:rPr>
                      <w:szCs w:val="16"/>
                    </w:rPr>
                    <w:t>站内绿化</w:t>
                  </w:r>
                </w:p>
              </w:tc>
            </w:tr>
            <w:tr w14:paraId="5D378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restart"/>
                  <w:tcBorders>
                    <w:tl2br w:val="nil"/>
                    <w:tr2bl w:val="nil"/>
                  </w:tcBorders>
                  <w:vAlign w:val="center"/>
                </w:tcPr>
                <w:p w14:paraId="0DEA76A4">
                  <w:pPr>
                    <w:adjustRightInd w:val="0"/>
                    <w:snapToGrid w:val="0"/>
                    <w:spacing w:line="480" w:lineRule="exact"/>
                    <w:jc w:val="center"/>
                    <w:rPr>
                      <w:szCs w:val="16"/>
                    </w:rPr>
                  </w:pPr>
                  <w:r>
                    <w:rPr>
                      <w:szCs w:val="16"/>
                    </w:rPr>
                    <w:t>集电线路区</w:t>
                  </w:r>
                </w:p>
              </w:tc>
              <w:tc>
                <w:tcPr>
                  <w:tcW w:w="1612" w:type="dxa"/>
                  <w:tcBorders>
                    <w:tl2br w:val="nil"/>
                    <w:tr2bl w:val="nil"/>
                  </w:tcBorders>
                  <w:vAlign w:val="center"/>
                </w:tcPr>
                <w:p w14:paraId="5C8A8CB5">
                  <w:pPr>
                    <w:adjustRightInd w:val="0"/>
                    <w:snapToGrid w:val="0"/>
                    <w:spacing w:line="480" w:lineRule="exact"/>
                    <w:jc w:val="center"/>
                    <w:rPr>
                      <w:szCs w:val="16"/>
                    </w:rPr>
                  </w:pPr>
                  <w:r>
                    <w:rPr>
                      <w:szCs w:val="16"/>
                    </w:rPr>
                    <w:t>植物措施</w:t>
                  </w:r>
                </w:p>
              </w:tc>
              <w:tc>
                <w:tcPr>
                  <w:tcW w:w="4548" w:type="dxa"/>
                  <w:tcBorders>
                    <w:tl2br w:val="nil"/>
                    <w:tr2bl w:val="nil"/>
                  </w:tcBorders>
                  <w:vAlign w:val="center"/>
                </w:tcPr>
                <w:p w14:paraId="0B61400C">
                  <w:pPr>
                    <w:adjustRightInd w:val="0"/>
                    <w:snapToGrid w:val="0"/>
                    <w:spacing w:line="480" w:lineRule="exact"/>
                    <w:jc w:val="center"/>
                    <w:rPr>
                      <w:szCs w:val="16"/>
                    </w:rPr>
                  </w:pPr>
                  <w:r>
                    <w:rPr>
                      <w:szCs w:val="16"/>
                    </w:rPr>
                    <w:t>种草</w:t>
                  </w:r>
                </w:p>
              </w:tc>
            </w:tr>
            <w:tr w14:paraId="4F81A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08DB9995">
                  <w:pPr>
                    <w:adjustRightInd w:val="0"/>
                    <w:snapToGrid w:val="0"/>
                    <w:spacing w:line="480" w:lineRule="exact"/>
                    <w:jc w:val="center"/>
                    <w:rPr>
                      <w:szCs w:val="16"/>
                    </w:rPr>
                  </w:pPr>
                </w:p>
              </w:tc>
              <w:tc>
                <w:tcPr>
                  <w:tcW w:w="1612" w:type="dxa"/>
                  <w:tcBorders>
                    <w:tl2br w:val="nil"/>
                    <w:tr2bl w:val="nil"/>
                  </w:tcBorders>
                  <w:vAlign w:val="center"/>
                </w:tcPr>
                <w:p w14:paraId="16D39C7C">
                  <w:pPr>
                    <w:adjustRightInd w:val="0"/>
                    <w:snapToGrid w:val="0"/>
                    <w:spacing w:line="480" w:lineRule="exact"/>
                    <w:jc w:val="center"/>
                    <w:rPr>
                      <w:szCs w:val="16"/>
                    </w:rPr>
                  </w:pPr>
                  <w:r>
                    <w:rPr>
                      <w:szCs w:val="16"/>
                    </w:rPr>
                    <w:t>工程措施</w:t>
                  </w:r>
                </w:p>
              </w:tc>
              <w:tc>
                <w:tcPr>
                  <w:tcW w:w="4548" w:type="dxa"/>
                  <w:tcBorders>
                    <w:tl2br w:val="nil"/>
                    <w:tr2bl w:val="nil"/>
                  </w:tcBorders>
                  <w:vAlign w:val="center"/>
                </w:tcPr>
                <w:p w14:paraId="72A05A1D">
                  <w:pPr>
                    <w:adjustRightInd w:val="0"/>
                    <w:snapToGrid w:val="0"/>
                    <w:spacing w:line="480" w:lineRule="exact"/>
                    <w:jc w:val="center"/>
                    <w:rPr>
                      <w:szCs w:val="16"/>
                    </w:rPr>
                  </w:pPr>
                  <w:r>
                    <w:rPr>
                      <w:szCs w:val="16"/>
                    </w:rPr>
                    <w:t>土地平整、浆砌石护坡</w:t>
                  </w:r>
                </w:p>
              </w:tc>
            </w:tr>
            <w:tr w14:paraId="5692E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restart"/>
                  <w:tcBorders>
                    <w:tl2br w:val="nil"/>
                    <w:tr2bl w:val="nil"/>
                  </w:tcBorders>
                  <w:vAlign w:val="center"/>
                </w:tcPr>
                <w:p w14:paraId="68D2983A">
                  <w:pPr>
                    <w:adjustRightInd w:val="0"/>
                    <w:snapToGrid w:val="0"/>
                    <w:spacing w:line="480" w:lineRule="exact"/>
                    <w:jc w:val="center"/>
                    <w:rPr>
                      <w:szCs w:val="16"/>
                    </w:rPr>
                  </w:pPr>
                  <w:r>
                    <w:rPr>
                      <w:rFonts w:hint="eastAsia"/>
                      <w:szCs w:val="16"/>
                    </w:rPr>
                    <w:t>施工</w:t>
                  </w:r>
                  <w:r>
                    <w:rPr>
                      <w:szCs w:val="16"/>
                    </w:rPr>
                    <w:t>道路区</w:t>
                  </w:r>
                </w:p>
              </w:tc>
              <w:tc>
                <w:tcPr>
                  <w:tcW w:w="1612" w:type="dxa"/>
                  <w:tcBorders>
                    <w:tl2br w:val="nil"/>
                    <w:tr2bl w:val="nil"/>
                  </w:tcBorders>
                  <w:vAlign w:val="center"/>
                </w:tcPr>
                <w:p w14:paraId="0962E8E3">
                  <w:pPr>
                    <w:adjustRightInd w:val="0"/>
                    <w:snapToGrid w:val="0"/>
                    <w:spacing w:line="480" w:lineRule="exact"/>
                    <w:jc w:val="center"/>
                    <w:rPr>
                      <w:szCs w:val="16"/>
                    </w:rPr>
                  </w:pPr>
                  <w:r>
                    <w:rPr>
                      <w:szCs w:val="16"/>
                    </w:rPr>
                    <w:t>工程措施</w:t>
                  </w:r>
                </w:p>
              </w:tc>
              <w:tc>
                <w:tcPr>
                  <w:tcW w:w="4548" w:type="dxa"/>
                  <w:tcBorders>
                    <w:tl2br w:val="nil"/>
                    <w:tr2bl w:val="nil"/>
                  </w:tcBorders>
                  <w:vAlign w:val="center"/>
                </w:tcPr>
                <w:p w14:paraId="228E0797">
                  <w:pPr>
                    <w:adjustRightInd w:val="0"/>
                    <w:snapToGrid w:val="0"/>
                    <w:spacing w:line="480" w:lineRule="exact"/>
                    <w:jc w:val="center"/>
                    <w:rPr>
                      <w:szCs w:val="16"/>
                    </w:rPr>
                  </w:pPr>
                  <w:r>
                    <w:rPr>
                      <w:szCs w:val="16"/>
                    </w:rPr>
                    <w:t>覆土平整、进站道路排水</w:t>
                  </w:r>
                </w:p>
              </w:tc>
            </w:tr>
            <w:tr w14:paraId="54AC7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22F96091">
                  <w:pPr>
                    <w:adjustRightInd w:val="0"/>
                    <w:snapToGrid w:val="0"/>
                    <w:spacing w:line="480" w:lineRule="exact"/>
                    <w:jc w:val="center"/>
                    <w:rPr>
                      <w:szCs w:val="16"/>
                    </w:rPr>
                  </w:pPr>
                </w:p>
              </w:tc>
              <w:tc>
                <w:tcPr>
                  <w:tcW w:w="1612" w:type="dxa"/>
                  <w:tcBorders>
                    <w:tl2br w:val="nil"/>
                    <w:tr2bl w:val="nil"/>
                  </w:tcBorders>
                  <w:vAlign w:val="center"/>
                </w:tcPr>
                <w:p w14:paraId="70DFD978">
                  <w:pPr>
                    <w:adjustRightInd w:val="0"/>
                    <w:snapToGrid w:val="0"/>
                    <w:spacing w:line="480" w:lineRule="exact"/>
                    <w:jc w:val="center"/>
                    <w:rPr>
                      <w:szCs w:val="16"/>
                    </w:rPr>
                  </w:pPr>
                  <w:r>
                    <w:rPr>
                      <w:szCs w:val="16"/>
                    </w:rPr>
                    <w:t>植物措施</w:t>
                  </w:r>
                </w:p>
              </w:tc>
              <w:tc>
                <w:tcPr>
                  <w:tcW w:w="4548" w:type="dxa"/>
                  <w:tcBorders>
                    <w:tl2br w:val="nil"/>
                    <w:tr2bl w:val="nil"/>
                  </w:tcBorders>
                  <w:vAlign w:val="center"/>
                </w:tcPr>
                <w:p w14:paraId="4B1B9218">
                  <w:pPr>
                    <w:adjustRightInd w:val="0"/>
                    <w:snapToGrid w:val="0"/>
                    <w:spacing w:line="480" w:lineRule="exact"/>
                    <w:jc w:val="center"/>
                    <w:rPr>
                      <w:szCs w:val="16"/>
                    </w:rPr>
                  </w:pPr>
                  <w:r>
                    <w:rPr>
                      <w:szCs w:val="16"/>
                    </w:rPr>
                    <w:t>两侧栽种灌木</w:t>
                  </w:r>
                </w:p>
              </w:tc>
            </w:tr>
            <w:tr w14:paraId="0E229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restart"/>
                  <w:tcBorders>
                    <w:tl2br w:val="nil"/>
                    <w:tr2bl w:val="nil"/>
                  </w:tcBorders>
                  <w:vAlign w:val="center"/>
                </w:tcPr>
                <w:p w14:paraId="637E3286">
                  <w:pPr>
                    <w:adjustRightInd w:val="0"/>
                    <w:snapToGrid w:val="0"/>
                    <w:spacing w:line="480" w:lineRule="exact"/>
                    <w:jc w:val="center"/>
                    <w:rPr>
                      <w:szCs w:val="16"/>
                    </w:rPr>
                  </w:pPr>
                  <w:r>
                    <w:rPr>
                      <w:szCs w:val="16"/>
                    </w:rPr>
                    <w:t>施工临建区</w:t>
                  </w:r>
                </w:p>
              </w:tc>
              <w:tc>
                <w:tcPr>
                  <w:tcW w:w="1612" w:type="dxa"/>
                  <w:tcBorders>
                    <w:tl2br w:val="nil"/>
                    <w:tr2bl w:val="nil"/>
                  </w:tcBorders>
                  <w:vAlign w:val="center"/>
                </w:tcPr>
                <w:p w14:paraId="3D91A23A">
                  <w:pPr>
                    <w:adjustRightInd w:val="0"/>
                    <w:snapToGrid w:val="0"/>
                    <w:spacing w:line="480" w:lineRule="exact"/>
                    <w:jc w:val="center"/>
                    <w:rPr>
                      <w:szCs w:val="16"/>
                    </w:rPr>
                  </w:pPr>
                  <w:r>
                    <w:rPr>
                      <w:szCs w:val="16"/>
                    </w:rPr>
                    <w:t>工程措施</w:t>
                  </w:r>
                </w:p>
              </w:tc>
              <w:tc>
                <w:tcPr>
                  <w:tcW w:w="4548" w:type="dxa"/>
                  <w:tcBorders>
                    <w:tl2br w:val="nil"/>
                    <w:tr2bl w:val="nil"/>
                  </w:tcBorders>
                  <w:vAlign w:val="center"/>
                </w:tcPr>
                <w:p w14:paraId="16D6C2DF">
                  <w:pPr>
                    <w:adjustRightInd w:val="0"/>
                    <w:snapToGrid w:val="0"/>
                    <w:spacing w:line="480" w:lineRule="exact"/>
                    <w:jc w:val="center"/>
                    <w:rPr>
                      <w:szCs w:val="16"/>
                    </w:rPr>
                  </w:pPr>
                  <w:r>
                    <w:rPr>
                      <w:szCs w:val="16"/>
                    </w:rPr>
                    <w:t>表土剥离、覆土平整</w:t>
                  </w:r>
                </w:p>
              </w:tc>
            </w:tr>
            <w:tr w14:paraId="33E5E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6" w:type="dxa"/>
                  <w:vMerge w:val="continue"/>
                  <w:tcBorders>
                    <w:tl2br w:val="nil"/>
                    <w:tr2bl w:val="nil"/>
                  </w:tcBorders>
                  <w:vAlign w:val="center"/>
                </w:tcPr>
                <w:p w14:paraId="26E9D368">
                  <w:pPr>
                    <w:adjustRightInd w:val="0"/>
                    <w:snapToGrid w:val="0"/>
                    <w:spacing w:line="480" w:lineRule="exact"/>
                    <w:jc w:val="center"/>
                    <w:rPr>
                      <w:szCs w:val="16"/>
                    </w:rPr>
                  </w:pPr>
                </w:p>
              </w:tc>
              <w:tc>
                <w:tcPr>
                  <w:tcW w:w="1612" w:type="dxa"/>
                  <w:tcBorders>
                    <w:tl2br w:val="nil"/>
                    <w:tr2bl w:val="nil"/>
                  </w:tcBorders>
                  <w:vAlign w:val="center"/>
                </w:tcPr>
                <w:p w14:paraId="66E04869">
                  <w:pPr>
                    <w:adjustRightInd w:val="0"/>
                    <w:snapToGrid w:val="0"/>
                    <w:spacing w:line="480" w:lineRule="exact"/>
                    <w:jc w:val="center"/>
                    <w:rPr>
                      <w:szCs w:val="16"/>
                    </w:rPr>
                  </w:pPr>
                  <w:r>
                    <w:rPr>
                      <w:szCs w:val="16"/>
                    </w:rPr>
                    <w:t>临时措施</w:t>
                  </w:r>
                </w:p>
              </w:tc>
              <w:tc>
                <w:tcPr>
                  <w:tcW w:w="4548" w:type="dxa"/>
                  <w:tcBorders>
                    <w:tl2br w:val="nil"/>
                    <w:tr2bl w:val="nil"/>
                  </w:tcBorders>
                  <w:vAlign w:val="center"/>
                </w:tcPr>
                <w:p w14:paraId="042DB412">
                  <w:pPr>
                    <w:adjustRightInd w:val="0"/>
                    <w:snapToGrid w:val="0"/>
                    <w:spacing w:line="480" w:lineRule="exact"/>
                    <w:jc w:val="center"/>
                    <w:rPr>
                      <w:szCs w:val="16"/>
                    </w:rPr>
                  </w:pPr>
                  <w:r>
                    <w:rPr>
                      <w:szCs w:val="16"/>
                    </w:rPr>
                    <w:t>临时遮盖、临时排水、沉淀池</w:t>
                  </w:r>
                </w:p>
              </w:tc>
            </w:tr>
          </w:tbl>
          <w:p w14:paraId="1C6B182D">
            <w:pPr>
              <w:adjustRightInd w:val="0"/>
              <w:snapToGrid w:val="0"/>
              <w:spacing w:line="480" w:lineRule="exact"/>
              <w:ind w:firstLine="480" w:firstLineChars="200"/>
              <w:rPr>
                <w:sz w:val="24"/>
                <w:szCs w:val="20"/>
              </w:rPr>
            </w:pPr>
            <w:r>
              <w:rPr>
                <w:sz w:val="24"/>
                <w:szCs w:val="20"/>
              </w:rPr>
              <w:t>①风电机组区</w:t>
            </w:r>
          </w:p>
          <w:p w14:paraId="6CA033BE">
            <w:pPr>
              <w:adjustRightInd w:val="0"/>
              <w:snapToGrid w:val="0"/>
              <w:spacing w:line="480" w:lineRule="exact"/>
              <w:ind w:firstLine="480" w:firstLineChars="200"/>
              <w:rPr>
                <w:sz w:val="24"/>
                <w:szCs w:val="20"/>
              </w:rPr>
            </w:pPr>
            <w:r>
              <w:rPr>
                <w:sz w:val="24"/>
                <w:szCs w:val="20"/>
              </w:rPr>
              <w:t>风机安装场地施工前剥离表土；在风电机组安装场地边坡坡脚增设护脚墙，周边增设排水沟，排水沟出口处设沉淀池，施工期间对临时堆存表土采取临时覆盖措施，施工结束后对扰动区域进行覆土</w:t>
            </w:r>
            <w:r>
              <w:rPr>
                <w:rFonts w:hint="eastAsia"/>
                <w:sz w:val="24"/>
                <w:szCs w:val="20"/>
              </w:rPr>
              <w:t>平整</w:t>
            </w:r>
            <w:r>
              <w:rPr>
                <w:sz w:val="24"/>
                <w:szCs w:val="20"/>
              </w:rPr>
              <w:t>并撒播草籽。</w:t>
            </w:r>
          </w:p>
          <w:p w14:paraId="010D1FF3">
            <w:pPr>
              <w:adjustRightInd w:val="0"/>
              <w:snapToGrid w:val="0"/>
              <w:spacing w:line="480" w:lineRule="exact"/>
              <w:ind w:firstLine="480" w:firstLineChars="200"/>
              <w:rPr>
                <w:sz w:val="24"/>
                <w:szCs w:val="20"/>
              </w:rPr>
            </w:pPr>
            <w:r>
              <w:rPr>
                <w:sz w:val="24"/>
                <w:szCs w:val="20"/>
              </w:rPr>
              <w:t>②升压站区</w:t>
            </w:r>
          </w:p>
          <w:p w14:paraId="1631DCF2">
            <w:pPr>
              <w:adjustRightInd w:val="0"/>
              <w:snapToGrid w:val="0"/>
              <w:spacing w:line="480" w:lineRule="exact"/>
              <w:ind w:firstLine="480" w:firstLineChars="200"/>
              <w:rPr>
                <w:sz w:val="24"/>
                <w:szCs w:val="20"/>
              </w:rPr>
            </w:pPr>
            <w:r>
              <w:rPr>
                <w:sz w:val="24"/>
                <w:szCs w:val="20"/>
              </w:rPr>
              <w:t>设置浆砌石排水沟，厂内未硬化区域进行绿化；对开挖边坡增加植物措施，开挖边坡顶部设置截水沟，截水沟顺接场内排水沟</w:t>
            </w:r>
            <w:r>
              <w:rPr>
                <w:rFonts w:hint="eastAsia"/>
                <w:sz w:val="24"/>
                <w:szCs w:val="20"/>
              </w:rPr>
              <w:t>，</w:t>
            </w:r>
            <w:r>
              <w:rPr>
                <w:sz w:val="24"/>
                <w:szCs w:val="20"/>
              </w:rPr>
              <w:t>在站内增设临时排水措施，排水沟出口设沉淀池，场内临时堆存</w:t>
            </w:r>
            <w:r>
              <w:rPr>
                <w:rFonts w:hint="eastAsia"/>
                <w:sz w:val="24"/>
                <w:szCs w:val="20"/>
              </w:rPr>
              <w:t>土方</w:t>
            </w:r>
            <w:r>
              <w:rPr>
                <w:sz w:val="24"/>
                <w:szCs w:val="20"/>
              </w:rPr>
              <w:t>布设临时拦挡和临时覆盖措施。</w:t>
            </w:r>
          </w:p>
          <w:p w14:paraId="212B260C">
            <w:pPr>
              <w:adjustRightInd w:val="0"/>
              <w:snapToGrid w:val="0"/>
              <w:spacing w:line="480" w:lineRule="exact"/>
              <w:ind w:firstLine="480" w:firstLineChars="200"/>
              <w:rPr>
                <w:sz w:val="24"/>
                <w:szCs w:val="20"/>
              </w:rPr>
            </w:pPr>
            <w:r>
              <w:rPr>
                <w:sz w:val="24"/>
                <w:szCs w:val="20"/>
              </w:rPr>
              <w:t>③集电线路区</w:t>
            </w:r>
          </w:p>
          <w:p w14:paraId="7C587E47">
            <w:pPr>
              <w:adjustRightInd w:val="0"/>
              <w:snapToGrid w:val="0"/>
              <w:spacing w:line="480" w:lineRule="exact"/>
              <w:ind w:firstLine="480" w:firstLineChars="200"/>
              <w:rPr>
                <w:sz w:val="24"/>
                <w:szCs w:val="20"/>
              </w:rPr>
            </w:pPr>
            <w:r>
              <w:rPr>
                <w:sz w:val="24"/>
                <w:szCs w:val="20"/>
              </w:rPr>
              <w:t>采用分段、分组施工，主体工程设计中在集电线路施工前进行表土剥离，为防止开挖后松散土石方流失，对临时堆存的表土和回填土采取临时覆盖措施，施工完成后对扰动区域进行覆土并播撒草籽。</w:t>
            </w:r>
          </w:p>
          <w:p w14:paraId="30703686">
            <w:pPr>
              <w:adjustRightInd w:val="0"/>
              <w:snapToGrid w:val="0"/>
              <w:spacing w:line="480" w:lineRule="exact"/>
              <w:ind w:firstLine="480" w:firstLineChars="200"/>
              <w:rPr>
                <w:sz w:val="24"/>
                <w:szCs w:val="20"/>
              </w:rPr>
            </w:pPr>
            <w:r>
              <w:rPr>
                <w:sz w:val="24"/>
                <w:szCs w:val="20"/>
              </w:rPr>
              <w:t>④</w:t>
            </w:r>
            <w:r>
              <w:rPr>
                <w:rFonts w:hint="eastAsia"/>
                <w:sz w:val="24"/>
                <w:szCs w:val="20"/>
              </w:rPr>
              <w:t>施工</w:t>
            </w:r>
            <w:r>
              <w:rPr>
                <w:sz w:val="24"/>
                <w:szCs w:val="20"/>
              </w:rPr>
              <w:t>道路区</w:t>
            </w:r>
          </w:p>
          <w:p w14:paraId="201CF8D4">
            <w:pPr>
              <w:adjustRightInd w:val="0"/>
              <w:snapToGrid w:val="0"/>
              <w:spacing w:line="480" w:lineRule="exact"/>
              <w:ind w:firstLine="480" w:firstLineChars="200"/>
              <w:rPr>
                <w:sz w:val="24"/>
                <w:szCs w:val="20"/>
              </w:rPr>
            </w:pPr>
            <w:r>
              <w:rPr>
                <w:sz w:val="24"/>
                <w:szCs w:val="20"/>
              </w:rPr>
              <w:t>道路施工前进行表土剥离，沿道路布设浆砌石排水沟；道路边坡覆土后撒播草籽部分边坡采用喷湿植生护坡，施工临时道路后期种植航道树；为疏导施工范围内积水，施工期间结合永久排水沟布设临时排水沟，并对裸露边坡进行临时覆盖。</w:t>
            </w:r>
          </w:p>
          <w:p w14:paraId="4C465D25">
            <w:pPr>
              <w:adjustRightInd w:val="0"/>
              <w:snapToGrid w:val="0"/>
              <w:spacing w:line="480" w:lineRule="exact"/>
              <w:ind w:firstLine="480" w:firstLineChars="200"/>
              <w:rPr>
                <w:sz w:val="24"/>
                <w:szCs w:val="20"/>
              </w:rPr>
            </w:pPr>
            <w:r>
              <w:rPr>
                <w:sz w:val="24"/>
                <w:szCs w:val="20"/>
              </w:rPr>
              <w:t>⑤施工</w:t>
            </w:r>
            <w:r>
              <w:rPr>
                <w:rFonts w:hint="eastAsia"/>
                <w:sz w:val="24"/>
                <w:szCs w:val="20"/>
              </w:rPr>
              <w:t>临建</w:t>
            </w:r>
            <w:r>
              <w:rPr>
                <w:sz w:val="24"/>
                <w:szCs w:val="20"/>
              </w:rPr>
              <w:t>区</w:t>
            </w:r>
          </w:p>
          <w:p w14:paraId="6A80C1C7">
            <w:pPr>
              <w:adjustRightInd w:val="0"/>
              <w:snapToGrid w:val="0"/>
              <w:spacing w:line="480" w:lineRule="exact"/>
              <w:ind w:firstLine="480" w:firstLineChars="200"/>
              <w:rPr>
                <w:sz w:val="24"/>
                <w:szCs w:val="20"/>
              </w:rPr>
            </w:pPr>
            <w:r>
              <w:rPr>
                <w:rFonts w:hint="eastAsia"/>
                <w:sz w:val="24"/>
                <w:szCs w:val="20"/>
              </w:rPr>
              <w:t>施工临建区剥离的表土临时堆放在区内一角，为减少表土在堆放过程中产生水土流失，需进行防护。</w:t>
            </w:r>
            <w:r>
              <w:rPr>
                <w:sz w:val="24"/>
                <w:szCs w:val="20"/>
              </w:rPr>
              <w:t>在工程施工结束后对场区布设植物措施，沿场地四周增设临时排水沟，排水沟出口设沉淀池，对临时堆存表土采取临时拦挡和临时覆盖措施</w:t>
            </w:r>
            <w:r>
              <w:rPr>
                <w:rFonts w:hint="eastAsia"/>
                <w:sz w:val="24"/>
                <w:szCs w:val="20"/>
              </w:rPr>
              <w:t>，表土表面采用密目网苦盖，表土坡脚四周采用装土编织袋拦挡。</w:t>
            </w:r>
          </w:p>
          <w:p w14:paraId="410BE28B">
            <w:pPr>
              <w:adjustRightInd w:val="0"/>
              <w:snapToGrid w:val="0"/>
              <w:spacing w:line="480" w:lineRule="exact"/>
              <w:ind w:firstLine="480" w:firstLineChars="200"/>
              <w:rPr>
                <w:sz w:val="24"/>
                <w:szCs w:val="20"/>
              </w:rPr>
            </w:pPr>
            <w:r>
              <w:rPr>
                <w:rFonts w:hint="eastAsia"/>
                <w:sz w:val="24"/>
                <w:szCs w:val="20"/>
              </w:rPr>
              <w:t>此外，还需采取以下措施控制水土流失：</w:t>
            </w:r>
          </w:p>
          <w:p w14:paraId="79D7C0D0">
            <w:pPr>
              <w:adjustRightInd w:val="0"/>
              <w:snapToGrid w:val="0"/>
              <w:spacing w:line="480" w:lineRule="exact"/>
              <w:ind w:firstLine="480" w:firstLineChars="200"/>
              <w:rPr>
                <w:sz w:val="24"/>
                <w:szCs w:val="20"/>
              </w:rPr>
            </w:pPr>
            <w:r>
              <w:rPr>
                <w:rFonts w:hint="eastAsia"/>
                <w:sz w:val="24"/>
                <w:szCs w:val="20"/>
              </w:rPr>
              <w:t>（1）工程用土尽量做到开挖土方的回用，减少水土流失。对堆放的开挖土方进行推平、削坡等，要随时施工、随时保护，减少土方施工面的裸露时间；对形成的裸地地表，平整土地后及时碾压，消除松软地表土方，采用随挖、随填、随运、随压的施工方法。</w:t>
            </w:r>
          </w:p>
          <w:p w14:paraId="57159FA1">
            <w:pPr>
              <w:adjustRightInd w:val="0"/>
              <w:snapToGrid w:val="0"/>
              <w:spacing w:line="480" w:lineRule="exact"/>
              <w:ind w:firstLine="480" w:firstLineChars="200"/>
              <w:rPr>
                <w:sz w:val="24"/>
                <w:szCs w:val="20"/>
              </w:rPr>
            </w:pPr>
            <w:r>
              <w:rPr>
                <w:rFonts w:hint="eastAsia"/>
                <w:sz w:val="24"/>
                <w:szCs w:val="20"/>
              </w:rPr>
              <w:t>（2）临时堆土区坡面坡度一般控制在</w:t>
            </w:r>
            <w:r>
              <w:rPr>
                <w:sz w:val="24"/>
                <w:szCs w:val="20"/>
              </w:rPr>
              <w:t xml:space="preserve">1:1 </w:t>
            </w:r>
            <w:r>
              <w:rPr>
                <w:rFonts w:hint="eastAsia"/>
                <w:sz w:val="24"/>
                <w:szCs w:val="20"/>
              </w:rPr>
              <w:t>或</w:t>
            </w:r>
            <w:r>
              <w:rPr>
                <w:sz w:val="24"/>
                <w:szCs w:val="20"/>
              </w:rPr>
              <w:t>1:1.5</w:t>
            </w:r>
            <w:r>
              <w:rPr>
                <w:rFonts w:hint="eastAsia"/>
                <w:sz w:val="24"/>
                <w:szCs w:val="20"/>
              </w:rPr>
              <w:t>，周边采用土袋围堰进行拦挡，土方实际堆放高度不应超过</w:t>
            </w:r>
            <w:r>
              <w:rPr>
                <w:sz w:val="24"/>
                <w:szCs w:val="20"/>
              </w:rPr>
              <w:t>2m</w:t>
            </w:r>
            <w:r>
              <w:rPr>
                <w:rFonts w:hint="eastAsia"/>
                <w:sz w:val="24"/>
                <w:szCs w:val="20"/>
              </w:rPr>
              <w:t>，采用篷布或彩条编织布进行临时覆盖。</w:t>
            </w:r>
          </w:p>
          <w:p w14:paraId="28DC5151">
            <w:pPr>
              <w:adjustRightInd w:val="0"/>
              <w:snapToGrid w:val="0"/>
              <w:spacing w:line="480" w:lineRule="exact"/>
              <w:ind w:firstLine="480" w:firstLineChars="200"/>
              <w:rPr>
                <w:sz w:val="24"/>
                <w:szCs w:val="20"/>
              </w:rPr>
            </w:pPr>
            <w:r>
              <w:rPr>
                <w:rFonts w:hint="eastAsia"/>
                <w:sz w:val="24"/>
                <w:szCs w:val="20"/>
              </w:rPr>
              <w:t>（3）应做好挖填土方的合理调配工作，避免在降雨期间挖填土方，以防雨水冲刷造成水土流失。统一安排建筑垃圾运输路线，应避开主要居民区。</w:t>
            </w:r>
          </w:p>
          <w:p w14:paraId="36312506">
            <w:pPr>
              <w:adjustRightInd w:val="0"/>
              <w:snapToGrid w:val="0"/>
              <w:spacing w:line="480" w:lineRule="exact"/>
              <w:ind w:firstLine="480" w:firstLineChars="200"/>
              <w:rPr>
                <w:sz w:val="24"/>
                <w:szCs w:val="20"/>
              </w:rPr>
            </w:pPr>
            <w:r>
              <w:rPr>
                <w:rFonts w:hint="eastAsia"/>
                <w:sz w:val="24"/>
                <w:szCs w:val="20"/>
              </w:rPr>
              <w:t>（4）为有效控制临时排水沟汇流时夹带泥沙流入附近河道，造成水土流失，临时排水沟汇水排入河道前需设置临时沉砂池缓流沉沙，沉沙池进水口与排水沟相衔接。施工结束将排水沟和沉沙池进行恢复。</w:t>
            </w:r>
          </w:p>
          <w:p w14:paraId="08792CF7">
            <w:pPr>
              <w:adjustRightInd w:val="0"/>
              <w:snapToGrid w:val="0"/>
              <w:spacing w:line="480" w:lineRule="exact"/>
              <w:ind w:firstLine="480" w:firstLineChars="200"/>
              <w:rPr>
                <w:sz w:val="24"/>
                <w:szCs w:val="20"/>
              </w:rPr>
            </w:pPr>
            <w:r>
              <w:rPr>
                <w:rFonts w:hint="eastAsia"/>
                <w:sz w:val="24"/>
                <w:szCs w:val="20"/>
              </w:rPr>
              <w:t>（5）加强施工管理，加强对施工人员关于水土保持的教育，雨季减少施工，暴雨时不施工，减少水土流失量。</w:t>
            </w:r>
          </w:p>
          <w:p w14:paraId="5ED32B58">
            <w:pPr>
              <w:adjustRightInd w:val="0"/>
              <w:snapToGrid w:val="0"/>
              <w:spacing w:line="480" w:lineRule="exact"/>
              <w:ind w:firstLine="480" w:firstLineChars="200"/>
              <w:rPr>
                <w:sz w:val="24"/>
                <w:szCs w:val="20"/>
              </w:rPr>
            </w:pPr>
            <w:r>
              <w:rPr>
                <w:rFonts w:hint="eastAsia"/>
                <w:sz w:val="24"/>
                <w:szCs w:val="20"/>
              </w:rPr>
              <w:t>（6）合理安排施工进度，缩短工期，减少水土流失。</w:t>
            </w:r>
          </w:p>
          <w:p w14:paraId="1D8563AB">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2 占地恢复与补偿措施</w:t>
            </w:r>
          </w:p>
          <w:p w14:paraId="5435EC39">
            <w:pPr>
              <w:adjustRightInd w:val="0"/>
              <w:snapToGrid w:val="0"/>
              <w:spacing w:line="480" w:lineRule="exact"/>
              <w:ind w:firstLine="480" w:firstLineChars="200"/>
              <w:rPr>
                <w:sz w:val="24"/>
                <w:szCs w:val="20"/>
              </w:rPr>
            </w:pPr>
            <w:r>
              <w:rPr>
                <w:rFonts w:hint="eastAsia"/>
                <w:sz w:val="24"/>
              </w:rPr>
              <w:t>永久占地包括风机及箱变基础、升压站、进站道路占地，占地面积4.4918h</w:t>
            </w:r>
            <w:r>
              <w:rPr>
                <w:sz w:val="24"/>
              </w:rPr>
              <w:t>m</w:t>
            </w:r>
            <w:r>
              <w:rPr>
                <w:sz w:val="24"/>
                <w:vertAlign w:val="superscript"/>
              </w:rPr>
              <w:t>2</w:t>
            </w:r>
            <w:r>
              <w:rPr>
                <w:rFonts w:hint="eastAsia"/>
                <w:sz w:val="24"/>
                <w:szCs w:val="20"/>
              </w:rPr>
              <w:t>。工程占地现状涉及</w:t>
            </w:r>
            <w:r>
              <w:rPr>
                <w:rFonts w:hint="eastAsia"/>
                <w:sz w:val="24"/>
              </w:rPr>
              <w:t>坑塘水面、沟渠、水田、果园、旱地、设施农用地、农村道路</w:t>
            </w:r>
            <w:r>
              <w:rPr>
                <w:rFonts w:hint="eastAsia"/>
                <w:sz w:val="24"/>
                <w:szCs w:val="20"/>
              </w:rPr>
              <w:t>等。</w:t>
            </w:r>
            <w:r>
              <w:rPr>
                <w:sz w:val="24"/>
              </w:rPr>
              <w:t>工程临时占地包括</w:t>
            </w:r>
            <w:r>
              <w:rPr>
                <w:rFonts w:hint="eastAsia"/>
                <w:sz w:val="24"/>
              </w:rPr>
              <w:t>场内集电线路塔基占地、施工临建区、</w:t>
            </w:r>
            <w:r>
              <w:rPr>
                <w:sz w:val="24"/>
              </w:rPr>
              <w:t>风电机组吊装场地、施工道路</w:t>
            </w:r>
            <w:r>
              <w:rPr>
                <w:rFonts w:hint="eastAsia"/>
                <w:sz w:val="24"/>
              </w:rPr>
              <w:t>、</w:t>
            </w:r>
            <w:r>
              <w:rPr>
                <w:sz w:val="24"/>
              </w:rPr>
              <w:t>集电线路</w:t>
            </w:r>
            <w:r>
              <w:rPr>
                <w:rFonts w:hint="eastAsia"/>
                <w:sz w:val="24"/>
              </w:rPr>
              <w:t>施工占地</w:t>
            </w:r>
            <w:r>
              <w:rPr>
                <w:sz w:val="24"/>
              </w:rPr>
              <w:t>等</w:t>
            </w:r>
            <w:r>
              <w:rPr>
                <w:rFonts w:hint="eastAsia"/>
                <w:sz w:val="24"/>
              </w:rPr>
              <w:t>，</w:t>
            </w:r>
            <w:r>
              <w:rPr>
                <w:sz w:val="24"/>
              </w:rPr>
              <w:t>临时占地用地现状为坑塘水面、</w:t>
            </w:r>
            <w:r>
              <w:rPr>
                <w:rFonts w:hint="eastAsia"/>
                <w:sz w:val="24"/>
              </w:rPr>
              <w:t>旱地</w:t>
            </w:r>
            <w:r>
              <w:rPr>
                <w:sz w:val="24"/>
              </w:rPr>
              <w:t>等</w:t>
            </w:r>
            <w:r>
              <w:rPr>
                <w:rFonts w:hint="eastAsia"/>
                <w:sz w:val="24"/>
              </w:rPr>
              <w:t>，</w:t>
            </w:r>
            <w:r>
              <w:rPr>
                <w:sz w:val="24"/>
              </w:rPr>
              <w:t>占地面积</w:t>
            </w:r>
            <w:r>
              <w:rPr>
                <w:rFonts w:hint="eastAsia"/>
                <w:kern w:val="0"/>
                <w:sz w:val="24"/>
              </w:rPr>
              <w:t>60.722h</w:t>
            </w:r>
            <w:r>
              <w:rPr>
                <w:sz w:val="24"/>
              </w:rPr>
              <w:t>m</w:t>
            </w:r>
            <w:r>
              <w:rPr>
                <w:sz w:val="24"/>
                <w:vertAlign w:val="superscript"/>
              </w:rPr>
              <w:t>2</w:t>
            </w:r>
            <w:r>
              <w:rPr>
                <w:sz w:val="24"/>
              </w:rPr>
              <w:t>。</w:t>
            </w:r>
          </w:p>
          <w:p w14:paraId="3E29AA87">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）坑塘水面</w:t>
            </w:r>
          </w:p>
          <w:p w14:paraId="777E31F7">
            <w:pPr>
              <w:adjustRightInd w:val="0"/>
              <w:snapToGrid w:val="0"/>
              <w:spacing w:line="480" w:lineRule="exact"/>
              <w:ind w:firstLine="480" w:firstLineChars="200"/>
              <w:rPr>
                <w:sz w:val="24"/>
                <w:szCs w:val="20"/>
              </w:rPr>
            </w:pPr>
            <w:bookmarkStart w:id="27" w:name="6.1.5.4占地补偿及恢复措施"/>
            <w:bookmarkEnd w:id="27"/>
            <w:r>
              <w:rPr>
                <w:rFonts w:hint="eastAsia"/>
                <w:sz w:val="24"/>
                <w:szCs w:val="20"/>
              </w:rPr>
              <w:t>坑塘水面主要用于经济水产品的养殖。冬季将坑塘内养殖的经济水产品全部清理干净后开始施工，坑塘施工期间建设单位整体承包。</w:t>
            </w:r>
          </w:p>
          <w:p w14:paraId="12DE493D">
            <w:pPr>
              <w:adjustRightInd w:val="0"/>
              <w:snapToGrid w:val="0"/>
              <w:spacing w:line="480" w:lineRule="exact"/>
              <w:ind w:firstLine="480" w:firstLineChars="200"/>
              <w:rPr>
                <w:sz w:val="24"/>
                <w:szCs w:val="20"/>
              </w:rPr>
            </w:pPr>
            <w:r>
              <w:rPr>
                <w:rFonts w:hint="eastAsia"/>
                <w:sz w:val="24"/>
                <w:szCs w:val="20"/>
              </w:rPr>
              <w:t>风电机组及箱变基础、升压站等在坑塘处施工时，应控制施工区域，减少对坑塘其他区域底泥的挖损。风电机组及箱变基础、升压站永久占地边坡采取浆砌石护坡措施，施工结束后，风电机组及箱变基础、升压站永久占地外的坑塘可恢复养殖。</w:t>
            </w:r>
          </w:p>
          <w:p w14:paraId="02EDC86F">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）沟渠</w:t>
            </w:r>
          </w:p>
          <w:p w14:paraId="11AD8EF0">
            <w:pPr>
              <w:adjustRightInd w:val="0"/>
              <w:snapToGrid w:val="0"/>
              <w:spacing w:line="480" w:lineRule="exact"/>
              <w:ind w:firstLine="480" w:firstLineChars="200"/>
              <w:rPr>
                <w:sz w:val="24"/>
                <w:szCs w:val="20"/>
              </w:rPr>
            </w:pPr>
            <w:r>
              <w:rPr>
                <w:rFonts w:hint="eastAsia"/>
                <w:sz w:val="24"/>
                <w:szCs w:val="20"/>
              </w:rPr>
              <w:t>涉及占压沟渠的风电机组，主要利用沟渠边坡进行基座的建设，风电机组永久占地涉及沟渠两侧人工种植的杨树、柳树等树木。建设单位在施工前应按照相关部门规定和要求履行相关手续，进行异地移植、补种等补偿措施；若需要采伐则应协调林木所有单位（者）依法办理采伐许可手续，施工结束后及时进行补种。</w:t>
            </w:r>
          </w:p>
          <w:p w14:paraId="1F5EF6E5">
            <w:pPr>
              <w:adjustRightInd w:val="0"/>
              <w:snapToGrid w:val="0"/>
              <w:spacing w:line="480" w:lineRule="exact"/>
              <w:ind w:firstLine="480" w:firstLineChars="200"/>
              <w:rPr>
                <w:sz w:val="24"/>
                <w:szCs w:val="20"/>
              </w:rPr>
            </w:pPr>
            <w:r>
              <w:rPr>
                <w:rFonts w:hint="eastAsia"/>
                <w:sz w:val="24"/>
                <w:szCs w:val="20"/>
              </w:rPr>
              <w:t>风电机组及箱变基础等在沟渠处施工时，应控制施工区，减少对沟渠其他区域底泥的挖损。风电机组及箱变基础永久占地边坡采取浆砌石护坡措施，施工结束后，风电机组及箱变基础永久占地外的沟渠可恢复蓄水。本次设计风机基础承台采取深埋处理方案，风机基础顶标高不高于渠道（沟）底标高，不影响沟渠行洪和灌溉等功能。</w:t>
            </w:r>
          </w:p>
          <w:p w14:paraId="419BC9FA">
            <w:pPr>
              <w:adjustRightInd w:val="0"/>
              <w:snapToGrid w:val="0"/>
              <w:spacing w:line="480" w:lineRule="exact"/>
              <w:ind w:firstLine="480" w:firstLineChars="200"/>
              <w:rPr>
                <w:sz w:val="24"/>
                <w:szCs w:val="20"/>
              </w:rPr>
            </w:pPr>
            <w:r>
              <w:rPr>
                <w:rFonts w:hint="eastAsia"/>
                <w:sz w:val="24"/>
                <w:szCs w:val="20"/>
              </w:rPr>
              <w:t>（3）水田</w:t>
            </w:r>
          </w:p>
          <w:p w14:paraId="55817D28">
            <w:pPr>
              <w:adjustRightInd w:val="0"/>
              <w:snapToGrid w:val="0"/>
              <w:spacing w:line="480" w:lineRule="exact"/>
              <w:ind w:firstLine="480" w:firstLineChars="200"/>
              <w:rPr>
                <w:sz w:val="24"/>
                <w:szCs w:val="20"/>
              </w:rPr>
            </w:pPr>
            <w:r>
              <w:rPr>
                <w:rFonts w:hint="eastAsia"/>
                <w:sz w:val="24"/>
                <w:szCs w:val="20"/>
              </w:rPr>
              <w:t>风电机组占用水田，风机吊装场地采用山皮石铺设，复垦工程措施为山皮石清运、表土剥离、表土苫盖、土地平整、表土回覆、增施商品有机肥、土地翻耕、植被恢复。</w:t>
            </w:r>
          </w:p>
          <w:p w14:paraId="7AA020EB">
            <w:pPr>
              <w:adjustRightInd w:val="0"/>
              <w:snapToGrid w:val="0"/>
              <w:spacing w:line="480" w:lineRule="exact"/>
              <w:ind w:firstLine="480" w:firstLineChars="200"/>
              <w:rPr>
                <w:sz w:val="24"/>
                <w:szCs w:val="20"/>
              </w:rPr>
            </w:pPr>
            <w:r>
              <w:rPr>
                <w:rFonts w:hint="eastAsia"/>
                <w:sz w:val="24"/>
                <w:szCs w:val="20"/>
              </w:rPr>
              <w:t>使用铲车对风机吊装场地地表山皮石进行清运，清运后的山皮石运送至相关管理部门指定地点处理。对风机吊装场地占用的水田进行表土剥离，剥离厚度30cm。剥离表土堆存在堆土区内，并用密目网苫盖保护，保存土壤肥力。施工结束后，避免地面凹凸不平，影响后续土地利用，因此需采用推土机平整土地，平整厚度20cm。表土回覆前先对场地进行土地翻耕，以打破因机械施工碾压形成的表层土壤坚实层，翻耕深度为0.3m，然后回覆剥离的表土，回覆表土厚30cm，来源于剥离表土。原有土壤肥力满足耕地质量标准，考虑剥离的表土堆存期间肥力损失，为更好地保证土壤肥力，采取增施有机肥的措施来提高土壤肥力、改善土壤结构，设计按照1t/亩的施肥标准增施商品有机肥。表土回覆并增施商品有机肥后，再次进行土地翻耕，翻耕深度为0.3m。项目区水田采用沟渠灌溉和排水，在主体工程完工后对现状沟渠进行修复还原，按照沟渠规格，开挖沟渠，保证沟渠与周边的连通。</w:t>
            </w:r>
          </w:p>
          <w:p w14:paraId="63137D02">
            <w:pPr>
              <w:adjustRightInd w:val="0"/>
              <w:snapToGrid w:val="0"/>
              <w:spacing w:line="480" w:lineRule="exact"/>
              <w:ind w:firstLine="480" w:firstLineChars="200"/>
              <w:rPr>
                <w:sz w:val="24"/>
                <w:szCs w:val="20"/>
              </w:rPr>
            </w:pPr>
            <w:r>
              <w:rPr>
                <w:rFonts w:hint="eastAsia"/>
                <w:sz w:val="24"/>
                <w:szCs w:val="20"/>
              </w:rPr>
              <w:t>（4）果园</w:t>
            </w:r>
          </w:p>
          <w:p w14:paraId="57D03F16">
            <w:pPr>
              <w:adjustRightInd w:val="0"/>
              <w:snapToGrid w:val="0"/>
              <w:spacing w:line="480" w:lineRule="exact"/>
              <w:ind w:firstLine="480" w:firstLineChars="200"/>
              <w:rPr>
                <w:sz w:val="24"/>
                <w:szCs w:val="20"/>
              </w:rPr>
            </w:pPr>
            <w:r>
              <w:rPr>
                <w:rFonts w:hint="eastAsia"/>
                <w:sz w:val="24"/>
                <w:szCs w:val="20"/>
              </w:rPr>
              <w:t>对风电机组占用的果园进行表土剥离，剥离厚度40cm。剥离表土堆存在堆土区内，并用密目网苫盖保护，保存土壤肥力。施工结束后，避免地面凹凸不平，影响后续土地利用，因此采用推土机平整土地。表土回覆前先对场地进行土地翻耕，以打破因机械施工碾压形成的表层土壤坚实层，翻耕深度为0.3m，然后回覆剥离的表土，回覆表土厚40cm，来源于剥离表土。原有土壤肥力满足耕地质量标准，考虑剥离的表土堆存期间肥力损失，为更好地保证土壤肥力，采取增施有机肥的措施来提高土壤肥力、改善土壤结构，设计按照1t/亩的施肥标准增施商品有机肥。表土回覆并增施商品有机肥后，再次进行土地翻耕，翻耕深度为0.3m。对平整后的土地进行生态恢复措施，主要措施为桃树移栽，株间距1m*3m。</w:t>
            </w:r>
          </w:p>
          <w:p w14:paraId="2EDC9788">
            <w:pPr>
              <w:adjustRightInd w:val="0"/>
              <w:snapToGrid w:val="0"/>
              <w:spacing w:line="480" w:lineRule="exact"/>
              <w:ind w:firstLine="480" w:firstLineChars="200"/>
              <w:rPr>
                <w:sz w:val="24"/>
                <w:szCs w:val="20"/>
              </w:rPr>
            </w:pPr>
            <w:r>
              <w:rPr>
                <w:rFonts w:hint="eastAsia"/>
                <w:sz w:val="24"/>
                <w:szCs w:val="20"/>
              </w:rPr>
              <w:t>（5）旱地</w:t>
            </w:r>
            <w:r>
              <w:rPr>
                <w:rFonts w:hint="eastAsia"/>
                <w:sz w:val="24"/>
              </w:rPr>
              <w:t>旱地、设施农用地、农村道路</w:t>
            </w:r>
          </w:p>
          <w:p w14:paraId="2A9EF579">
            <w:pPr>
              <w:adjustRightInd w:val="0"/>
              <w:snapToGrid w:val="0"/>
              <w:spacing w:line="480" w:lineRule="exact"/>
              <w:ind w:firstLine="480" w:firstLineChars="200"/>
              <w:rPr>
                <w:sz w:val="24"/>
                <w:szCs w:val="20"/>
              </w:rPr>
            </w:pPr>
            <w:r>
              <w:rPr>
                <w:rFonts w:hint="eastAsia"/>
                <w:sz w:val="24"/>
                <w:szCs w:val="20"/>
              </w:rPr>
              <w:t>施工前先要进行青苗补偿，施工需待当季作物收割完成后再开展作业，施工开始首先进行表层熟土剥离，做好表土防护工作，尽最大可能避免土壤有机质流失。施工结束后立即进行耕地恢复，进行土地翻耕及土地平整。</w:t>
            </w:r>
          </w:p>
          <w:p w14:paraId="0728B9EA">
            <w:pPr>
              <w:adjustRightInd w:val="0"/>
              <w:snapToGrid w:val="0"/>
              <w:spacing w:line="480" w:lineRule="exact"/>
              <w:ind w:firstLine="480" w:firstLineChars="200"/>
              <w:rPr>
                <w:sz w:val="24"/>
                <w:szCs w:val="20"/>
              </w:rPr>
            </w:pPr>
            <w:r>
              <w:rPr>
                <w:rFonts w:hint="eastAsia"/>
                <w:sz w:val="24"/>
                <w:szCs w:val="20"/>
              </w:rPr>
              <w:t>按照“谁建设谁复垦”的原则，土地复垦义务人为建设单位。复垦工程对于耕地主要恢复土地种植能力，进行土壤的增肥与改良，不对作物品种进行规定。待土壤增肥改良完毕后，复垦的耕地交付给权属单位和权属人继续种植耕作。</w:t>
            </w:r>
          </w:p>
          <w:p w14:paraId="561F8302">
            <w:pPr>
              <w:adjustRightInd w:val="0"/>
              <w:snapToGrid w:val="0"/>
              <w:spacing w:line="480" w:lineRule="exact"/>
              <w:ind w:firstLine="480" w:firstLineChars="200"/>
              <w:rPr>
                <w:sz w:val="24"/>
                <w:szCs w:val="20"/>
              </w:rPr>
            </w:pPr>
            <w:r>
              <w:rPr>
                <w:rFonts w:hint="eastAsia"/>
                <w:sz w:val="24"/>
                <w:szCs w:val="20"/>
              </w:rPr>
              <w:t>由于施工便道在压占损毁过程中难免会对田块中现状生产设施进行破坏，在施工便道碎石路面拆除后，对损毁的农村道路及沟渠进行恢复，修复挖损的农村道路和沟渠。</w:t>
            </w:r>
          </w:p>
          <w:p w14:paraId="63D79366">
            <w:pPr>
              <w:adjustRightInd w:val="0"/>
              <w:snapToGrid w:val="0"/>
              <w:spacing w:line="480" w:lineRule="exact"/>
              <w:ind w:firstLine="480" w:firstLineChars="200"/>
              <w:rPr>
                <w:sz w:val="24"/>
                <w:szCs w:val="20"/>
              </w:rPr>
            </w:pPr>
            <w:r>
              <w:rPr>
                <w:rFonts w:hint="eastAsia"/>
                <w:sz w:val="24"/>
                <w:szCs w:val="20"/>
              </w:rPr>
              <w:t>因临时用地的面积为动态的数据，施工结束前均有可能有新增面积，遂在办理本工程临时用地手续前需按最终确定的临时用地边界至当地国土资源主管部门核实准确的拟损毁的一般耕地位置及数量。在恢复成耕地的基础上，应严格按照《高标准基本农田建设标准》进行复垦：</w:t>
            </w:r>
          </w:p>
          <w:p w14:paraId="08922ECF">
            <w:pPr>
              <w:adjustRightInd w:val="0"/>
              <w:snapToGrid w:val="0"/>
              <w:spacing w:line="480" w:lineRule="exact"/>
              <w:ind w:firstLine="480" w:firstLineChars="200"/>
              <w:rPr>
                <w:sz w:val="24"/>
                <w:szCs w:val="20"/>
              </w:rPr>
            </w:pPr>
            <w:r>
              <w:rPr>
                <w:sz w:val="24"/>
                <w:szCs w:val="20"/>
              </w:rPr>
              <w:t>a</w:t>
            </w:r>
            <w:r>
              <w:rPr>
                <w:rFonts w:hint="eastAsia"/>
                <w:sz w:val="24"/>
                <w:szCs w:val="20"/>
              </w:rPr>
              <w:t>、土地平整应以田块集中的原则进行复垦，耕作层土壤理化性质指标满足作物高产稳产要求，耕作田面必须达到平整标准；</w:t>
            </w:r>
          </w:p>
          <w:p w14:paraId="4B6D780E">
            <w:pPr>
              <w:adjustRightInd w:val="0"/>
              <w:snapToGrid w:val="0"/>
              <w:spacing w:line="480" w:lineRule="exact"/>
              <w:ind w:firstLine="480" w:firstLineChars="200"/>
              <w:rPr>
                <w:sz w:val="24"/>
                <w:szCs w:val="20"/>
              </w:rPr>
            </w:pPr>
            <w:r>
              <w:rPr>
                <w:sz w:val="24"/>
                <w:szCs w:val="20"/>
              </w:rPr>
              <w:t>b</w:t>
            </w:r>
            <w:r>
              <w:rPr>
                <w:rFonts w:hint="eastAsia"/>
                <w:sz w:val="24"/>
                <w:szCs w:val="20"/>
              </w:rPr>
              <w:t>、在恢复原有土地功能的基础上，必须按原有规格或者高于原有规格修复沟、路、渠等措施，恢复原有路网配置，保障沟路渠畅通，严格把关质量及规格；</w:t>
            </w:r>
          </w:p>
          <w:p w14:paraId="75A0F9D6">
            <w:pPr>
              <w:adjustRightInd w:val="0"/>
              <w:snapToGrid w:val="0"/>
              <w:spacing w:line="480" w:lineRule="exact"/>
              <w:ind w:firstLine="480" w:firstLineChars="200"/>
              <w:rPr>
                <w:sz w:val="24"/>
                <w:szCs w:val="20"/>
              </w:rPr>
            </w:pPr>
            <w:r>
              <w:rPr>
                <w:sz w:val="24"/>
                <w:szCs w:val="20"/>
              </w:rPr>
              <w:t>c</w:t>
            </w:r>
            <w:r>
              <w:rPr>
                <w:rFonts w:hint="eastAsia"/>
                <w:sz w:val="24"/>
                <w:szCs w:val="20"/>
              </w:rPr>
              <w:t>、工程实际施工中如破坏较大数量田间道，应合理确定田间道密度，满足机械化生产生活的便利需要。田间道及生产路通达度应集中连片；</w:t>
            </w:r>
          </w:p>
          <w:p w14:paraId="14229F4F">
            <w:pPr>
              <w:adjustRightInd w:val="0"/>
              <w:snapToGrid w:val="0"/>
              <w:spacing w:line="480" w:lineRule="exact"/>
              <w:ind w:firstLine="480" w:firstLineChars="200"/>
              <w:rPr>
                <w:sz w:val="24"/>
                <w:szCs w:val="20"/>
              </w:rPr>
            </w:pPr>
            <w:r>
              <w:rPr>
                <w:sz w:val="24"/>
                <w:szCs w:val="20"/>
              </w:rPr>
              <w:t>d</w:t>
            </w:r>
            <w:r>
              <w:rPr>
                <w:rFonts w:hint="eastAsia"/>
                <w:sz w:val="24"/>
                <w:szCs w:val="20"/>
              </w:rPr>
              <w:t>、对拟破坏的防护林，应合理配置农田防护林，树种选择优先考虑原有树种或选择表现良好的乡土品种和适合当地条件的配置方式。</w:t>
            </w:r>
          </w:p>
          <w:p w14:paraId="3E484F80">
            <w:pPr>
              <w:adjustRightInd w:val="0"/>
              <w:snapToGrid w:val="0"/>
              <w:spacing w:line="480" w:lineRule="exact"/>
              <w:ind w:firstLine="480" w:firstLineChars="200"/>
              <w:rPr>
                <w:sz w:val="24"/>
                <w:szCs w:val="20"/>
              </w:rPr>
            </w:pPr>
            <w:r>
              <w:rPr>
                <w:sz w:val="24"/>
                <w:szCs w:val="20"/>
              </w:rPr>
              <w:t>e</w:t>
            </w:r>
            <w:r>
              <w:rPr>
                <w:rFonts w:hint="eastAsia"/>
                <w:sz w:val="24"/>
                <w:szCs w:val="20"/>
              </w:rPr>
              <w:t>、以当地土地利用总体规划和土地整治规划为依据，积极与当地相关部门及群众沟通，及时吸纳意见及建议，高标准、严要求的恢复基本农田。</w:t>
            </w:r>
          </w:p>
          <w:p w14:paraId="2F03AB4E">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 施工废气防治措施</w:t>
            </w:r>
          </w:p>
          <w:p w14:paraId="30538412">
            <w:pPr>
              <w:spacing w:line="480" w:lineRule="exact"/>
              <w:ind w:firstLine="480" w:firstLineChars="200"/>
              <w:rPr>
                <w:sz w:val="24"/>
              </w:rPr>
            </w:pPr>
            <w:r>
              <w:rPr>
                <w:sz w:val="24"/>
              </w:rPr>
              <w:t>为减少施工扬尘对外环境的影响，根据《施工场地扬尘排放标准》（DB13/2934-2019）、《</w:t>
            </w:r>
            <w:r>
              <w:rPr>
                <w:rFonts w:hint="eastAsia"/>
                <w:sz w:val="24"/>
              </w:rPr>
              <w:t>2024年建筑施工扬尘污染防治工作方案</w:t>
            </w:r>
            <w:r>
              <w:rPr>
                <w:sz w:val="24"/>
              </w:rPr>
              <w:t>》及《唐山市住房和城乡建设局关于进一步强化建筑工地扬尘治理有关措施的通知》(简称“六项强化措施”)(唐住建发[2018]44号)，本项目施工过程中要采取如下防尘和抑尘措施：</w:t>
            </w:r>
          </w:p>
          <w:p w14:paraId="30DAC7B7">
            <w:pPr>
              <w:spacing w:line="480" w:lineRule="exact"/>
              <w:rPr>
                <w:b/>
                <w:bCs/>
                <w:sz w:val="24"/>
              </w:rPr>
            </w:pPr>
            <w:r>
              <w:rPr>
                <w:rFonts w:hint="eastAsia"/>
                <w:b/>
                <w:bCs/>
                <w:sz w:val="24"/>
              </w:rPr>
              <w:t>3</w:t>
            </w:r>
            <w:r>
              <w:rPr>
                <w:b/>
                <w:bCs/>
                <w:sz w:val="24"/>
              </w:rPr>
              <w:t>.1</w:t>
            </w:r>
            <w:r>
              <w:rPr>
                <w:rFonts w:hint="eastAsia"/>
                <w:b/>
                <w:bCs/>
                <w:sz w:val="24"/>
              </w:rPr>
              <w:t xml:space="preserve"> </w:t>
            </w:r>
            <w:r>
              <w:rPr>
                <w:b/>
                <w:bCs/>
                <w:sz w:val="24"/>
              </w:rPr>
              <w:t>施工区扬尘防治措施</w:t>
            </w:r>
          </w:p>
          <w:p w14:paraId="737FAD89">
            <w:pPr>
              <w:spacing w:line="480" w:lineRule="exact"/>
              <w:ind w:firstLine="480" w:firstLineChars="200"/>
              <w:rPr>
                <w:sz w:val="24"/>
              </w:rPr>
            </w:pPr>
            <w:r>
              <w:rPr>
                <w:rFonts w:hint="eastAsia"/>
                <w:sz w:val="24"/>
              </w:rPr>
              <w:t>3</w:t>
            </w:r>
            <w:r>
              <w:rPr>
                <w:sz w:val="24"/>
              </w:rPr>
              <w:t>.1</w:t>
            </w:r>
            <w:r>
              <w:rPr>
                <w:rFonts w:hint="eastAsia"/>
                <w:sz w:val="24"/>
              </w:rPr>
              <w:t>.1</w:t>
            </w:r>
            <w:r>
              <w:rPr>
                <w:sz w:val="24"/>
              </w:rPr>
              <w:t>施工场地区扬尘防治措施</w:t>
            </w:r>
          </w:p>
          <w:p w14:paraId="6CE56954">
            <w:pPr>
              <w:spacing w:line="480" w:lineRule="exact"/>
              <w:ind w:firstLine="480" w:firstLineChars="200"/>
              <w:rPr>
                <w:sz w:val="24"/>
              </w:rPr>
            </w:pPr>
            <w:r>
              <w:rPr>
                <w:sz w:val="24"/>
              </w:rPr>
              <w:t>（1）强化扬尘污染防治责任，严格实行网络化管理，施工企业要在开工前制定建筑施工现场扬尘控制措施，严格落实“六个百分之百”的工作措施；在保证施工安全前提下，</w:t>
            </w:r>
            <w:r>
              <w:rPr>
                <w:rFonts w:hint="eastAsia"/>
                <w:sz w:val="24"/>
              </w:rPr>
              <w:t>施工场地四周</w:t>
            </w:r>
            <w:r>
              <w:rPr>
                <w:sz w:val="24"/>
              </w:rPr>
              <w:t>采取密目式安全网封闭，并保持整洁、无破损。</w:t>
            </w:r>
          </w:p>
          <w:p w14:paraId="1D80E73E">
            <w:pPr>
              <w:spacing w:line="480" w:lineRule="exact"/>
              <w:ind w:firstLine="480" w:firstLineChars="200"/>
              <w:rPr>
                <w:sz w:val="24"/>
              </w:rPr>
            </w:pPr>
            <w:r>
              <w:rPr>
                <w:sz w:val="24"/>
              </w:rPr>
              <w:t>（2）施工场地区材料入棚，现场主要道路及场地硬化，施工道路及裸露地面定期洒水，保持地面整洁。</w:t>
            </w:r>
          </w:p>
          <w:p w14:paraId="12E0A6BD">
            <w:pPr>
              <w:spacing w:line="480" w:lineRule="exact"/>
              <w:ind w:firstLine="480" w:firstLineChars="200"/>
              <w:rPr>
                <w:sz w:val="24"/>
              </w:rPr>
            </w:pPr>
            <w:r>
              <w:rPr>
                <w:sz w:val="24"/>
              </w:rPr>
              <w:t>（3）规范设置公示牌、周边围挡和车辆清洗设施，有条件的工地落实“三段式”（清洗池、自动冲洗、人工冲洗）车辆清洗措施；对驶出的机动车辆冲洗干净，渣土车辆密闭运输，场内道路、加工区实施混凝土硬化。硬化后的地面，不得有浮土、积土，裸露场地应当采取覆盖或绿化措施。</w:t>
            </w:r>
          </w:p>
          <w:p w14:paraId="57361883">
            <w:pPr>
              <w:spacing w:line="480" w:lineRule="exact"/>
              <w:ind w:firstLine="480" w:firstLineChars="200"/>
              <w:rPr>
                <w:sz w:val="24"/>
              </w:rPr>
            </w:pPr>
            <w:r>
              <w:rPr>
                <w:sz w:val="24"/>
              </w:rPr>
              <w:t>（4）施工现场按规定使用预拌混凝土、预拌砂浆。</w:t>
            </w:r>
          </w:p>
          <w:p w14:paraId="1AB43E43">
            <w:pPr>
              <w:spacing w:line="480" w:lineRule="exact"/>
              <w:ind w:firstLine="480" w:firstLineChars="200"/>
              <w:rPr>
                <w:sz w:val="24"/>
              </w:rPr>
            </w:pPr>
            <w:r>
              <w:rPr>
                <w:sz w:val="24"/>
              </w:rPr>
              <w:t>（5）</w:t>
            </w:r>
            <w:r>
              <w:rPr>
                <w:rFonts w:hint="eastAsia"/>
                <w:sz w:val="24"/>
              </w:rPr>
              <w:t>限制车辆行驶速度，</w:t>
            </w:r>
            <w:r>
              <w:rPr>
                <w:sz w:val="24"/>
              </w:rPr>
              <w:t>装卸建筑材料，必须采用封闭式车辆运输</w:t>
            </w:r>
            <w:r>
              <w:rPr>
                <w:rFonts w:hint="eastAsia"/>
                <w:sz w:val="24"/>
              </w:rPr>
              <w:t>；</w:t>
            </w:r>
            <w:r>
              <w:rPr>
                <w:sz w:val="24"/>
              </w:rPr>
              <w:t>渣土运输车车厢封闭严密，冲洗干净；</w:t>
            </w:r>
            <w:r>
              <w:rPr>
                <w:rFonts w:hint="eastAsia"/>
                <w:sz w:val="24"/>
              </w:rPr>
              <w:t>物料及土方等装卸过程采用雾炮喷雾抑尘；</w:t>
            </w:r>
            <w:r>
              <w:rPr>
                <w:sz w:val="24"/>
              </w:rPr>
              <w:t>施工建筑材料须集中堆放，并采取防尘覆盖措施，水泥、石灰、砂子密闭存放；当风力大于4级时应停止施工</w:t>
            </w:r>
            <w:r>
              <w:rPr>
                <w:rFonts w:hint="eastAsia"/>
                <w:sz w:val="24"/>
              </w:rPr>
              <w:t>，</w:t>
            </w:r>
            <w:r>
              <w:rPr>
                <w:sz w:val="24"/>
              </w:rPr>
              <w:t>防止干燥、大风时期产生大量的扬尘；施工层建筑垃圾采用封闭式管道或装袋运送，禁止高空抛撒；建筑工程施工现场内应当专门设置集中堆放建筑垃圾、工程渣土的场地，并在48小时内完成清运，不能按时完成清运的建筑垃圾，应采取围档、遮盖等防尘措施</w:t>
            </w:r>
            <w:r>
              <w:rPr>
                <w:rFonts w:hint="eastAsia"/>
                <w:sz w:val="24"/>
              </w:rPr>
              <w:t>；</w:t>
            </w:r>
            <w:r>
              <w:rPr>
                <w:sz w:val="24"/>
              </w:rPr>
              <w:t>对已完成的作业面和未进行作业的裸露地面应当采取表面压实、遮盖等防尘措施，堆放超过八小时不扰动的裸土应当进行遮盖</w:t>
            </w:r>
            <w:r>
              <w:rPr>
                <w:rFonts w:hint="eastAsia"/>
                <w:sz w:val="24"/>
              </w:rPr>
              <w:t>。</w:t>
            </w:r>
          </w:p>
          <w:p w14:paraId="2F9ED99E">
            <w:pPr>
              <w:spacing w:line="480" w:lineRule="exact"/>
              <w:ind w:firstLine="480" w:firstLineChars="200"/>
              <w:rPr>
                <w:sz w:val="24"/>
              </w:rPr>
            </w:pPr>
            <w:r>
              <w:rPr>
                <w:sz w:val="24"/>
              </w:rPr>
              <w:t>（6）回填土、临时堆料在指定地点堆放，采取围挡、覆盖措施，临时</w:t>
            </w:r>
            <w:r>
              <w:rPr>
                <w:rFonts w:hint="eastAsia"/>
                <w:sz w:val="24"/>
              </w:rPr>
              <w:t>堆土</w:t>
            </w:r>
            <w:r>
              <w:rPr>
                <w:sz w:val="24"/>
              </w:rPr>
              <w:t>及时回填</w:t>
            </w:r>
            <w:r>
              <w:rPr>
                <w:rFonts w:hint="eastAsia"/>
                <w:sz w:val="24"/>
              </w:rPr>
              <w:t>，</w:t>
            </w:r>
            <w:r>
              <w:rPr>
                <w:sz w:val="24"/>
              </w:rPr>
              <w:t>土石方作业和清扫时洒水、喷雾降尘、抑尘。</w:t>
            </w:r>
          </w:p>
          <w:p w14:paraId="61D1BBD9">
            <w:pPr>
              <w:spacing w:line="480" w:lineRule="exact"/>
              <w:ind w:firstLine="480" w:firstLineChars="200"/>
              <w:rPr>
                <w:sz w:val="24"/>
              </w:rPr>
            </w:pPr>
            <w:r>
              <w:rPr>
                <w:sz w:val="24"/>
              </w:rPr>
              <w:t>（7）</w:t>
            </w:r>
            <w:r>
              <w:rPr>
                <w:rFonts w:hint="eastAsia"/>
                <w:sz w:val="24"/>
              </w:rPr>
              <w:t>施工现场进行焊接操作时，需采用焊烟净化器进行处理。</w:t>
            </w:r>
          </w:p>
          <w:p w14:paraId="72B1E561">
            <w:pPr>
              <w:spacing w:line="480" w:lineRule="exact"/>
              <w:ind w:firstLine="480" w:firstLineChars="200"/>
              <w:rPr>
                <w:sz w:val="24"/>
              </w:rPr>
            </w:pPr>
            <w:r>
              <w:rPr>
                <w:rFonts w:hint="eastAsia"/>
                <w:sz w:val="24"/>
              </w:rPr>
              <w:t>（8）路面开挖作业采取分段开挖、分段回填的方式，按要求设置围挡和抑尘装置，及时清运土方、回填沟槽、进行硬化或绿化。优化施工计划管理，避开大风季节，项目集中人员、设备，减少动土面积，缩短工程周期。</w:t>
            </w:r>
          </w:p>
          <w:p w14:paraId="30B75B2E">
            <w:pPr>
              <w:spacing w:line="480" w:lineRule="exact"/>
              <w:ind w:firstLine="480" w:firstLineChars="200"/>
              <w:rPr>
                <w:bCs/>
                <w:sz w:val="24"/>
              </w:rPr>
            </w:pPr>
            <w:r>
              <w:rPr>
                <w:rFonts w:hint="eastAsia"/>
                <w:sz w:val="24"/>
              </w:rPr>
              <w:t>（9）</w:t>
            </w:r>
            <w:r>
              <w:rPr>
                <w:sz w:val="24"/>
              </w:rPr>
              <w:t>建筑施工现场视频监控设备和PM</w:t>
            </w:r>
            <w:r>
              <w:rPr>
                <w:rFonts w:hint="eastAsia"/>
                <w:sz w:val="24"/>
                <w:vertAlign w:val="subscript"/>
              </w:rPr>
              <w:t>10</w:t>
            </w:r>
            <w:r>
              <w:rPr>
                <w:rFonts w:hint="eastAsia"/>
                <w:sz w:val="24"/>
              </w:rPr>
              <w:t>空</w:t>
            </w:r>
            <w:r>
              <w:rPr>
                <w:sz w:val="24"/>
              </w:rPr>
              <w:t>气在线监测系统必须做到应装尽装，并分别与当地建设主管部门、生态环境主管部门联网，保证系统正常运行</w:t>
            </w:r>
            <w:r>
              <w:rPr>
                <w:rFonts w:hint="eastAsia"/>
                <w:sz w:val="24"/>
              </w:rPr>
              <w:t>。</w:t>
            </w:r>
            <w:r>
              <w:rPr>
                <w:bCs/>
                <w:sz w:val="24"/>
              </w:rPr>
              <w:t>PM</w:t>
            </w:r>
            <w:r>
              <w:rPr>
                <w:bCs/>
                <w:sz w:val="24"/>
                <w:vertAlign w:val="subscript"/>
              </w:rPr>
              <w:t>10</w:t>
            </w:r>
            <w:r>
              <w:rPr>
                <w:bCs/>
                <w:sz w:val="24"/>
              </w:rPr>
              <w:t>监测点数量根据施工作业面积，按照按照下表确认</w:t>
            </w:r>
            <w:r>
              <w:rPr>
                <w:rFonts w:hint="eastAsia"/>
                <w:bCs/>
                <w:sz w:val="24"/>
              </w:rPr>
              <w:t>。</w:t>
            </w:r>
          </w:p>
          <w:p w14:paraId="1DA9E3A0">
            <w:pPr>
              <w:spacing w:line="480" w:lineRule="exact"/>
              <w:jc w:val="center"/>
              <w:outlineLvl w:val="3"/>
              <w:rPr>
                <w:b/>
                <w:bCs/>
                <w:szCs w:val="21"/>
              </w:rPr>
            </w:pPr>
            <w:r>
              <w:rPr>
                <w:b/>
                <w:bCs/>
                <w:szCs w:val="21"/>
              </w:rPr>
              <w:t>表</w:t>
            </w:r>
            <w:r>
              <w:rPr>
                <w:rFonts w:hint="eastAsia"/>
                <w:b/>
                <w:bCs/>
                <w:szCs w:val="21"/>
              </w:rPr>
              <w:t>5-2</w:t>
            </w:r>
            <w:r>
              <w:rPr>
                <w:b/>
                <w:bCs/>
                <w:szCs w:val="21"/>
              </w:rPr>
              <w:t xml:space="preserve"> </w:t>
            </w:r>
            <w:r>
              <w:rPr>
                <w:rFonts w:hint="eastAsia"/>
                <w:b/>
                <w:bCs/>
                <w:szCs w:val="21"/>
              </w:rPr>
              <w:t xml:space="preserve">    </w:t>
            </w:r>
            <w:r>
              <w:rPr>
                <w:b/>
                <w:bCs/>
                <w:szCs w:val="21"/>
              </w:rPr>
              <w:t>施工场地扬尘监测点数量表</w:t>
            </w:r>
          </w:p>
          <w:tbl>
            <w:tblPr>
              <w:tblStyle w:val="3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5784"/>
            </w:tblGrid>
            <w:tr w14:paraId="11D4C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718E796A">
                  <w:pPr>
                    <w:pStyle w:val="111"/>
                    <w:adjustRightInd w:val="0"/>
                    <w:ind w:firstLine="0" w:firstLineChars="0"/>
                    <w:jc w:val="center"/>
                    <w:textAlignment w:val="baseline"/>
                    <w:rPr>
                      <w:kern w:val="0"/>
                      <w:szCs w:val="21"/>
                    </w:rPr>
                  </w:pPr>
                  <w:r>
                    <w:rPr>
                      <w:kern w:val="0"/>
                      <w:szCs w:val="21"/>
                    </w:rPr>
                    <w:t>占地面积 S（m</w:t>
                  </w:r>
                  <w:r>
                    <w:rPr>
                      <w:kern w:val="0"/>
                      <w:szCs w:val="21"/>
                      <w:vertAlign w:val="superscript"/>
                    </w:rPr>
                    <w:t>2</w:t>
                  </w:r>
                  <w:r>
                    <w:rPr>
                      <w:kern w:val="0"/>
                      <w:szCs w:val="21"/>
                    </w:rPr>
                    <w:t>）</w:t>
                  </w:r>
                </w:p>
              </w:tc>
              <w:tc>
                <w:tcPr>
                  <w:tcW w:w="6298" w:type="dxa"/>
                  <w:vAlign w:val="center"/>
                </w:tcPr>
                <w:p w14:paraId="6DAAFD2C">
                  <w:pPr>
                    <w:pStyle w:val="111"/>
                    <w:adjustRightInd w:val="0"/>
                    <w:ind w:firstLine="0" w:firstLineChars="0"/>
                    <w:jc w:val="center"/>
                    <w:textAlignment w:val="baseline"/>
                    <w:rPr>
                      <w:kern w:val="0"/>
                      <w:szCs w:val="21"/>
                    </w:rPr>
                  </w:pPr>
                  <w:r>
                    <w:rPr>
                      <w:kern w:val="0"/>
                      <w:szCs w:val="21"/>
                    </w:rPr>
                    <w:t>监测点数量(个)</w:t>
                  </w:r>
                </w:p>
              </w:tc>
            </w:tr>
            <w:tr w14:paraId="40711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349E9371">
                  <w:pPr>
                    <w:pStyle w:val="111"/>
                    <w:adjustRightInd w:val="0"/>
                    <w:ind w:firstLine="0" w:firstLineChars="0"/>
                    <w:jc w:val="center"/>
                    <w:textAlignment w:val="baseline"/>
                    <w:rPr>
                      <w:kern w:val="0"/>
                      <w:szCs w:val="21"/>
                    </w:rPr>
                  </w:pPr>
                  <w:r>
                    <w:rPr>
                      <w:kern w:val="0"/>
                      <w:szCs w:val="21"/>
                    </w:rPr>
                    <w:t>S≤5000</w:t>
                  </w:r>
                </w:p>
              </w:tc>
              <w:tc>
                <w:tcPr>
                  <w:tcW w:w="6298" w:type="dxa"/>
                  <w:vAlign w:val="center"/>
                </w:tcPr>
                <w:p w14:paraId="76BBA8E8">
                  <w:pPr>
                    <w:pStyle w:val="111"/>
                    <w:adjustRightInd w:val="0"/>
                    <w:ind w:firstLine="0" w:firstLineChars="0"/>
                    <w:jc w:val="center"/>
                    <w:textAlignment w:val="baseline"/>
                    <w:rPr>
                      <w:kern w:val="0"/>
                      <w:szCs w:val="21"/>
                    </w:rPr>
                  </w:pPr>
                  <w:r>
                    <w:rPr>
                      <w:kern w:val="0"/>
                      <w:szCs w:val="21"/>
                    </w:rPr>
                    <w:t>≥1</w:t>
                  </w:r>
                </w:p>
              </w:tc>
            </w:tr>
            <w:tr w14:paraId="196DA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39D64914">
                  <w:pPr>
                    <w:pStyle w:val="111"/>
                    <w:adjustRightInd w:val="0"/>
                    <w:ind w:firstLine="0" w:firstLineChars="0"/>
                    <w:jc w:val="center"/>
                    <w:textAlignment w:val="baseline"/>
                    <w:rPr>
                      <w:kern w:val="0"/>
                      <w:szCs w:val="21"/>
                    </w:rPr>
                  </w:pPr>
                  <w:r>
                    <w:rPr>
                      <w:kern w:val="0"/>
                      <w:szCs w:val="21"/>
                    </w:rPr>
                    <w:t>5000＜S≤10000</w:t>
                  </w:r>
                </w:p>
              </w:tc>
              <w:tc>
                <w:tcPr>
                  <w:tcW w:w="6298" w:type="dxa"/>
                  <w:vAlign w:val="center"/>
                </w:tcPr>
                <w:p w14:paraId="64E8AB92">
                  <w:pPr>
                    <w:pStyle w:val="111"/>
                    <w:adjustRightInd w:val="0"/>
                    <w:ind w:firstLine="0" w:firstLineChars="0"/>
                    <w:jc w:val="center"/>
                    <w:textAlignment w:val="baseline"/>
                    <w:rPr>
                      <w:kern w:val="0"/>
                      <w:szCs w:val="21"/>
                    </w:rPr>
                  </w:pPr>
                  <w:r>
                    <w:rPr>
                      <w:kern w:val="0"/>
                      <w:szCs w:val="21"/>
                    </w:rPr>
                    <w:t>≥2</w:t>
                  </w:r>
                </w:p>
              </w:tc>
            </w:tr>
            <w:tr w14:paraId="0999B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5F0F4523">
                  <w:pPr>
                    <w:pStyle w:val="111"/>
                    <w:adjustRightInd w:val="0"/>
                    <w:ind w:firstLine="0" w:firstLineChars="0"/>
                    <w:jc w:val="center"/>
                    <w:textAlignment w:val="baseline"/>
                    <w:rPr>
                      <w:kern w:val="0"/>
                      <w:szCs w:val="21"/>
                    </w:rPr>
                  </w:pPr>
                  <w:r>
                    <w:rPr>
                      <w:kern w:val="0"/>
                      <w:szCs w:val="21"/>
                    </w:rPr>
                    <w:t>10000＜S≤100000</w:t>
                  </w:r>
                </w:p>
              </w:tc>
              <w:tc>
                <w:tcPr>
                  <w:tcW w:w="6298" w:type="dxa"/>
                  <w:vAlign w:val="center"/>
                </w:tcPr>
                <w:p w14:paraId="7CCF1D15">
                  <w:pPr>
                    <w:pStyle w:val="111"/>
                    <w:adjustRightInd w:val="0"/>
                    <w:ind w:firstLine="0" w:firstLineChars="0"/>
                    <w:jc w:val="center"/>
                    <w:textAlignment w:val="baseline"/>
                    <w:rPr>
                      <w:kern w:val="0"/>
                      <w:szCs w:val="21"/>
                    </w:rPr>
                  </w:pPr>
                  <w:r>
                    <w:rPr>
                      <w:kern w:val="0"/>
                      <w:szCs w:val="21"/>
                    </w:rPr>
                    <w:t>≥4</w:t>
                  </w:r>
                </w:p>
              </w:tc>
            </w:tr>
            <w:tr w14:paraId="06556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0" w:type="dxa"/>
                  <w:vAlign w:val="center"/>
                </w:tcPr>
                <w:p w14:paraId="4720D207">
                  <w:pPr>
                    <w:pStyle w:val="111"/>
                    <w:adjustRightInd w:val="0"/>
                    <w:ind w:firstLine="0" w:firstLineChars="0"/>
                    <w:jc w:val="center"/>
                    <w:textAlignment w:val="baseline"/>
                    <w:rPr>
                      <w:kern w:val="0"/>
                      <w:szCs w:val="21"/>
                    </w:rPr>
                  </w:pPr>
                  <w:r>
                    <w:rPr>
                      <w:kern w:val="0"/>
                      <w:szCs w:val="21"/>
                    </w:rPr>
                    <w:t>S＞100000</w:t>
                  </w:r>
                </w:p>
              </w:tc>
              <w:tc>
                <w:tcPr>
                  <w:tcW w:w="6298" w:type="dxa"/>
                  <w:vAlign w:val="center"/>
                </w:tcPr>
                <w:p w14:paraId="45B8DE50">
                  <w:pPr>
                    <w:pStyle w:val="111"/>
                    <w:adjustRightInd w:val="0"/>
                    <w:ind w:firstLine="0" w:firstLineChars="0"/>
                    <w:jc w:val="center"/>
                    <w:textAlignment w:val="baseline"/>
                    <w:rPr>
                      <w:kern w:val="0"/>
                      <w:szCs w:val="21"/>
                    </w:rPr>
                  </w:pPr>
                  <w:r>
                    <w:rPr>
                      <w:kern w:val="0"/>
                      <w:szCs w:val="21"/>
                    </w:rPr>
                    <w:t>在10万平方米最少设置4个监测点的基础上，每增加10万平方米最少增设1个监测点（不足10万平方米的部分按10万平方米计）</w:t>
                  </w:r>
                </w:p>
              </w:tc>
            </w:tr>
          </w:tbl>
          <w:p w14:paraId="14B1355E">
            <w:pPr>
              <w:spacing w:line="480" w:lineRule="exact"/>
              <w:ind w:firstLine="480" w:firstLineChars="200"/>
              <w:rPr>
                <w:bCs/>
                <w:sz w:val="24"/>
              </w:rPr>
            </w:pPr>
            <w:r>
              <w:rPr>
                <w:bCs/>
                <w:sz w:val="24"/>
              </w:rPr>
              <w:t>本项目占地</w:t>
            </w:r>
            <w:r>
              <w:rPr>
                <w:rFonts w:hint="eastAsia"/>
                <w:bCs/>
                <w:sz w:val="24"/>
              </w:rPr>
              <w:t>面积652138</w:t>
            </w:r>
            <w:r>
              <w:rPr>
                <w:bCs/>
                <w:kern w:val="0"/>
                <w:sz w:val="24"/>
              </w:rPr>
              <w:t>m</w:t>
            </w:r>
            <w:r>
              <w:rPr>
                <w:bCs/>
                <w:kern w:val="0"/>
                <w:sz w:val="24"/>
                <w:vertAlign w:val="superscript"/>
              </w:rPr>
              <w:t>2</w:t>
            </w:r>
            <w:r>
              <w:rPr>
                <w:bCs/>
                <w:sz w:val="24"/>
              </w:rPr>
              <w:t>，</w:t>
            </w:r>
            <w:r>
              <w:rPr>
                <w:rFonts w:hint="eastAsia"/>
                <w:bCs/>
                <w:sz w:val="24"/>
              </w:rPr>
              <w:t>结合地块及敏感点分布情况，</w:t>
            </w:r>
            <w:r>
              <w:rPr>
                <w:bCs/>
                <w:sz w:val="24"/>
              </w:rPr>
              <w:t>需设置PM</w:t>
            </w:r>
            <w:r>
              <w:rPr>
                <w:bCs/>
                <w:sz w:val="24"/>
                <w:vertAlign w:val="subscript"/>
              </w:rPr>
              <w:t>10</w:t>
            </w:r>
            <w:r>
              <w:rPr>
                <w:bCs/>
                <w:sz w:val="24"/>
              </w:rPr>
              <w:t>监测点不少于</w:t>
            </w:r>
            <w:r>
              <w:rPr>
                <w:rFonts w:hint="eastAsia"/>
                <w:bCs/>
                <w:sz w:val="24"/>
              </w:rPr>
              <w:t>10</w:t>
            </w:r>
            <w:r>
              <w:rPr>
                <w:bCs/>
                <w:sz w:val="24"/>
              </w:rPr>
              <w:t>个。</w:t>
            </w:r>
          </w:p>
          <w:p w14:paraId="25BDCB1C">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2道路施工扬尘防治措施</w:t>
            </w:r>
          </w:p>
          <w:p w14:paraId="6DA732E7">
            <w:pPr>
              <w:spacing w:line="480" w:lineRule="exact"/>
              <w:ind w:firstLine="480" w:firstLineChars="200"/>
              <w:rPr>
                <w:bCs/>
                <w:sz w:val="24"/>
              </w:rPr>
            </w:pPr>
            <w:r>
              <w:rPr>
                <w:bCs/>
                <w:sz w:val="24"/>
              </w:rPr>
              <w:t>（1）施工现场土方开挖后尽快完成回填，不能及时回填的场地，采取覆盖等防尘措施；砂石等散体材料集中堆放并覆盖；落实好物料堆场防风抑尘控尘措施。</w:t>
            </w:r>
          </w:p>
          <w:p w14:paraId="59F60DC2">
            <w:pPr>
              <w:spacing w:line="480" w:lineRule="exact"/>
              <w:ind w:firstLine="480" w:firstLineChars="200"/>
              <w:rPr>
                <w:bCs/>
                <w:sz w:val="24"/>
              </w:rPr>
            </w:pPr>
            <w:r>
              <w:rPr>
                <w:bCs/>
                <w:sz w:val="24"/>
              </w:rPr>
              <w:t>（2）渣土等建筑垃圾集中、分类堆放，严密遮盖，严禁高处抛洒。</w:t>
            </w:r>
          </w:p>
          <w:p w14:paraId="1DA122A9">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3临时堆土场扬尘防治</w:t>
            </w:r>
          </w:p>
          <w:p w14:paraId="388B8059">
            <w:pPr>
              <w:spacing w:line="480" w:lineRule="exact"/>
              <w:ind w:firstLine="480" w:firstLineChars="200"/>
              <w:rPr>
                <w:bCs/>
                <w:sz w:val="24"/>
              </w:rPr>
            </w:pPr>
            <w:r>
              <w:rPr>
                <w:bCs/>
                <w:sz w:val="24"/>
              </w:rPr>
              <w:t>临时堆土场最大堆高控制在3m以下，周边设袋装土拦挡，边坡及平台彩条布覆盖，禁止在居民点附近设置临时堆土场。</w:t>
            </w:r>
          </w:p>
          <w:p w14:paraId="1F4459A5">
            <w:pPr>
              <w:spacing w:line="480" w:lineRule="exact"/>
              <w:ind w:firstLine="480" w:firstLineChars="200"/>
              <w:rPr>
                <w:bCs/>
                <w:sz w:val="24"/>
              </w:rPr>
            </w:pPr>
            <w:r>
              <w:rPr>
                <w:rFonts w:hint="eastAsia"/>
                <w:bCs/>
                <w:sz w:val="24"/>
              </w:rPr>
              <w:t>3</w:t>
            </w:r>
            <w:r>
              <w:rPr>
                <w:bCs/>
                <w:sz w:val="24"/>
              </w:rPr>
              <w:t>.</w:t>
            </w:r>
            <w:r>
              <w:rPr>
                <w:rFonts w:hint="eastAsia"/>
                <w:bCs/>
                <w:sz w:val="24"/>
              </w:rPr>
              <w:t>1.</w:t>
            </w:r>
            <w:r>
              <w:rPr>
                <w:bCs/>
                <w:sz w:val="24"/>
              </w:rPr>
              <w:t>4场外运输扬尘防治</w:t>
            </w:r>
          </w:p>
          <w:p w14:paraId="71C390E0">
            <w:pPr>
              <w:spacing w:line="480" w:lineRule="exact"/>
              <w:ind w:firstLine="480" w:firstLineChars="200"/>
              <w:rPr>
                <w:bCs/>
                <w:sz w:val="24"/>
              </w:rPr>
            </w:pPr>
            <w:r>
              <w:rPr>
                <w:bCs/>
                <w:sz w:val="24"/>
              </w:rPr>
              <w:t>对于施工过程中机械设备以及车辆，应采取加强检修和维护，严禁使用超期服役和尾气超标的设备和车辆。有渣土运输车辆全部采取密闭措施，安装卫星定位系统，落实严格的冲洗保洁措施，严禁非密闭渣土车、未冲洗带泥车辆进入城市道路。</w:t>
            </w:r>
          </w:p>
          <w:p w14:paraId="3C842866">
            <w:pPr>
              <w:spacing w:line="480" w:lineRule="exact"/>
              <w:ind w:firstLine="480" w:firstLineChars="200"/>
              <w:rPr>
                <w:bCs/>
                <w:sz w:val="24"/>
              </w:rPr>
            </w:pPr>
            <w:r>
              <w:rPr>
                <w:bCs/>
                <w:sz w:val="24"/>
              </w:rPr>
              <w:t>运输时间：选择车流、人流较少的时间进行物料运输。</w:t>
            </w:r>
          </w:p>
          <w:p w14:paraId="1D90FA7B">
            <w:pPr>
              <w:spacing w:line="480" w:lineRule="exact"/>
              <w:ind w:firstLine="480" w:firstLineChars="200"/>
              <w:rPr>
                <w:sz w:val="24"/>
              </w:rPr>
            </w:pPr>
            <w:r>
              <w:rPr>
                <w:bCs/>
                <w:sz w:val="24"/>
              </w:rPr>
              <w:t>施工期应对沿线进行固化，开挖的土方回填后剩余的沙土必须就近填入土坑压实，平整后的土丘必须进</w:t>
            </w:r>
            <w:r>
              <w:rPr>
                <w:sz w:val="24"/>
              </w:rPr>
              <w:t>行压实和必要的工程措施使土丘尽快恢复植被，减少风蚀强度和沙丘流动，同时在大风天禁止施工。</w:t>
            </w:r>
          </w:p>
          <w:p w14:paraId="6D99BBE0">
            <w:pPr>
              <w:spacing w:line="480" w:lineRule="exact"/>
              <w:ind w:firstLine="480" w:firstLineChars="200"/>
              <w:rPr>
                <w:sz w:val="24"/>
              </w:rPr>
            </w:pPr>
            <w:r>
              <w:rPr>
                <w:sz w:val="24"/>
              </w:rPr>
              <w:t>在施工期间要定时</w:t>
            </w:r>
            <w:r>
              <w:rPr>
                <w:rFonts w:hint="eastAsia"/>
                <w:sz w:val="24"/>
              </w:rPr>
              <w:t>对施工道路</w:t>
            </w:r>
            <w:r>
              <w:rPr>
                <w:sz w:val="24"/>
              </w:rPr>
              <w:t>进行洒水作业，以减轻二次扬尘的污染。运输石灰、中砂、水泥等粉状材料的车辆应密闭，以减少撒落和飞灰；临时</w:t>
            </w:r>
            <w:r>
              <w:rPr>
                <w:rFonts w:hint="eastAsia"/>
                <w:sz w:val="24"/>
              </w:rPr>
              <w:t>堆土</w:t>
            </w:r>
            <w:r>
              <w:rPr>
                <w:sz w:val="24"/>
              </w:rPr>
              <w:t>应及时外运，临时贮存时应定点堆放，并进行洒水。运输散体材料，清运余土和建筑垃圾要封闭、覆盖严密，防治遗洒飞扬。</w:t>
            </w:r>
          </w:p>
          <w:p w14:paraId="2E2731CB">
            <w:pPr>
              <w:adjustRightInd w:val="0"/>
              <w:snapToGrid w:val="0"/>
              <w:spacing w:line="480" w:lineRule="exact"/>
              <w:ind w:firstLine="480" w:firstLineChars="200"/>
              <w:rPr>
                <w:sz w:val="24"/>
              </w:rPr>
            </w:pPr>
            <w:r>
              <w:rPr>
                <w:rFonts w:hint="eastAsia"/>
                <w:sz w:val="24"/>
              </w:rPr>
              <w:t>综上所述</w:t>
            </w:r>
            <w:r>
              <w:rPr>
                <w:sz w:val="24"/>
              </w:rPr>
              <w:t>，</w:t>
            </w:r>
            <w:r>
              <w:rPr>
                <w:rFonts w:hint="eastAsia"/>
                <w:sz w:val="24"/>
              </w:rPr>
              <w:t>通过</w:t>
            </w:r>
            <w:r>
              <w:rPr>
                <w:sz w:val="24"/>
              </w:rPr>
              <w:t>加强管理、切实落实好这些措施，施工扬尘对环境的影响将会大大降低，扬尘对环境的影响将随施工期的结束而消失。</w:t>
            </w:r>
          </w:p>
          <w:p w14:paraId="6B661DD6">
            <w:pPr>
              <w:adjustRightInd w:val="0"/>
              <w:snapToGrid w:val="0"/>
              <w:spacing w:line="480" w:lineRule="exact"/>
              <w:ind w:firstLine="480" w:firstLineChars="200"/>
              <w:rPr>
                <w:sz w:val="24"/>
              </w:rPr>
            </w:pPr>
            <w:r>
              <w:rPr>
                <w:sz w:val="24"/>
              </w:rPr>
              <w:t>采取以上措施后，项目施工期扬尘满足河北省地方标准《施工场地扬尘排放标准》（DB13/2934—2019），施工场地扬尘排放浓度限值：80μg/m</w:t>
            </w:r>
            <w:r>
              <w:rPr>
                <w:sz w:val="24"/>
                <w:vertAlign w:val="superscript"/>
              </w:rPr>
              <w:t>3</w:t>
            </w:r>
            <w:r>
              <w:rPr>
                <w:sz w:val="24"/>
              </w:rPr>
              <w:t>。</w:t>
            </w:r>
          </w:p>
          <w:p w14:paraId="1EF25DB7">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3.2 施工机械尾气控制措施</w:t>
            </w:r>
          </w:p>
          <w:p w14:paraId="12FC709D">
            <w:pPr>
              <w:adjustRightInd w:val="0"/>
              <w:snapToGrid w:val="0"/>
              <w:spacing w:line="480" w:lineRule="exact"/>
              <w:ind w:firstLine="480" w:firstLineChars="200"/>
              <w:rPr>
                <w:sz w:val="24"/>
                <w:szCs w:val="20"/>
              </w:rPr>
            </w:pPr>
            <w:r>
              <w:rPr>
                <w:rFonts w:hint="eastAsia"/>
                <w:sz w:val="24"/>
                <w:szCs w:val="20"/>
              </w:rPr>
              <w:t>（1）加强对燃油机械设备的维护和保养，保持设备在正常良好的状态下工作，以保证汽车安全和减少有害气体的排放量。严格执行国家制定的尾气排放标准，无尾气排放合格证车辆禁止入场。</w:t>
            </w:r>
          </w:p>
          <w:p w14:paraId="4423E688">
            <w:pPr>
              <w:adjustRightInd w:val="0"/>
              <w:snapToGrid w:val="0"/>
              <w:spacing w:line="480" w:lineRule="exact"/>
              <w:ind w:firstLine="480" w:firstLineChars="200"/>
              <w:rPr>
                <w:sz w:val="24"/>
                <w:szCs w:val="20"/>
              </w:rPr>
            </w:pPr>
            <w:r>
              <w:rPr>
                <w:rFonts w:hint="eastAsia"/>
                <w:sz w:val="24"/>
                <w:szCs w:val="20"/>
              </w:rPr>
              <w:t>（2）定期对施工机械、施工运输车辆排放废气进行检查；严禁使用劣质油料，提倡使用高清洁度燃油，加强机械维修保养，使动力燃料充分燃烧，降低废气排放量。对尾气排放严重超标的施工机械和运输车辆应更新尾气净化装置，减少汽车尾气污染。</w:t>
            </w:r>
          </w:p>
          <w:p w14:paraId="674C93C1">
            <w:pPr>
              <w:adjustRightInd w:val="0"/>
              <w:snapToGrid w:val="0"/>
              <w:spacing w:line="480" w:lineRule="exact"/>
              <w:ind w:firstLine="480" w:firstLineChars="200"/>
              <w:rPr>
                <w:sz w:val="24"/>
                <w:szCs w:val="20"/>
              </w:rPr>
            </w:pPr>
            <w:r>
              <w:rPr>
                <w:rFonts w:hint="eastAsia"/>
                <w:sz w:val="24"/>
                <w:szCs w:val="20"/>
              </w:rPr>
              <w:t>（3）本项目施工机械所用燃料应符合国家相应的标准，在用机动车、重型燃油车应定期检验，并取得定期检验安全技术检验合格标志，在用机动车和非道路移动机械排放大气污染物不得超过国家和唐山市规定的标准。</w:t>
            </w:r>
          </w:p>
          <w:p w14:paraId="7AE9421B">
            <w:pPr>
              <w:adjustRightInd w:val="0"/>
              <w:snapToGrid w:val="0"/>
              <w:spacing w:line="480" w:lineRule="exact"/>
              <w:ind w:firstLine="480" w:firstLineChars="200"/>
              <w:rPr>
                <w:sz w:val="24"/>
                <w:szCs w:val="20"/>
              </w:rPr>
            </w:pPr>
            <w:r>
              <w:rPr>
                <w:rFonts w:hint="eastAsia"/>
                <w:sz w:val="24"/>
                <w:szCs w:val="20"/>
              </w:rPr>
              <w:t>（4）本项目施工期使用的施工机械需满足《非道路柴油移动机械排气烟度限值及测量方法》（</w:t>
            </w:r>
            <w:r>
              <w:rPr>
                <w:sz w:val="24"/>
                <w:szCs w:val="20"/>
              </w:rPr>
              <w:t>GB36886-2018</w:t>
            </w:r>
            <w:r>
              <w:rPr>
                <w:rFonts w:hint="eastAsia"/>
                <w:sz w:val="24"/>
                <w:szCs w:val="20"/>
              </w:rPr>
              <w:t>）、《非道路移动机械用柴油机排气污染物排放限值及测量方法（中国第三、四阶段）》（</w:t>
            </w:r>
            <w:r>
              <w:rPr>
                <w:sz w:val="24"/>
                <w:szCs w:val="20"/>
              </w:rPr>
              <w:t>GB 20891-2014</w:t>
            </w:r>
            <w:r>
              <w:rPr>
                <w:rFonts w:hint="eastAsia"/>
                <w:sz w:val="24"/>
                <w:szCs w:val="20"/>
              </w:rPr>
              <w:t>）及其修改单、《非道路柴油移动机械污染物排放控制技术要求》（</w:t>
            </w:r>
            <w:r>
              <w:rPr>
                <w:sz w:val="24"/>
                <w:szCs w:val="20"/>
              </w:rPr>
              <w:t>HJ 1014-2020</w:t>
            </w:r>
            <w:r>
              <w:rPr>
                <w:rFonts w:hint="eastAsia"/>
                <w:sz w:val="24"/>
                <w:szCs w:val="20"/>
              </w:rPr>
              <w:t>）方可入场进行施工。</w:t>
            </w:r>
          </w:p>
          <w:p w14:paraId="03DA044A">
            <w:pPr>
              <w:adjustRightInd w:val="0"/>
              <w:snapToGrid w:val="0"/>
              <w:spacing w:line="480" w:lineRule="exact"/>
              <w:ind w:firstLine="480" w:firstLineChars="200"/>
              <w:rPr>
                <w:sz w:val="24"/>
                <w:szCs w:val="20"/>
              </w:rPr>
            </w:pPr>
            <w:r>
              <w:rPr>
                <w:rFonts w:hint="eastAsia"/>
                <w:sz w:val="24"/>
                <w:szCs w:val="20"/>
              </w:rPr>
              <w:t>（5）优化施工方案，合理选择施工机械，提高施工机械和设备的利用率，禁止以柴油为燃料的施工机械超负荷工作，减少气态污染物和颗粒物的排放。按照运距最短、运行合理的原则进行施工场区布置等措施，减少燃油废气对环境空气质晕的影响。</w:t>
            </w:r>
          </w:p>
          <w:p w14:paraId="454B69AA">
            <w:pPr>
              <w:adjustRightInd w:val="0"/>
              <w:snapToGrid w:val="0"/>
              <w:spacing w:line="480" w:lineRule="exact"/>
              <w:ind w:firstLine="480" w:firstLineChars="200"/>
              <w:rPr>
                <w:sz w:val="24"/>
                <w:szCs w:val="20"/>
              </w:rPr>
            </w:pPr>
            <w:r>
              <w:rPr>
                <w:rFonts w:hint="eastAsia"/>
                <w:sz w:val="24"/>
                <w:szCs w:val="20"/>
              </w:rPr>
              <w:t>（6）本项目施工中优先使用新能源机械，施工场所要做好机械进出场记录。定期对施工扬尘和施工机械、施工运输车辆进行维修保养，确保其运行正常，使动力燃料充分燃烧，降低废气排放量；燃料尽可能选用轻质柴油及其它优质清洁燃料油；保持匀速、低速行驶，以减少废气的排放。</w:t>
            </w:r>
          </w:p>
          <w:p w14:paraId="73A7937F">
            <w:pPr>
              <w:adjustRightInd w:val="0"/>
              <w:snapToGrid w:val="0"/>
              <w:spacing w:line="480" w:lineRule="exact"/>
              <w:ind w:firstLine="480" w:firstLineChars="200"/>
              <w:rPr>
                <w:sz w:val="24"/>
                <w:szCs w:val="20"/>
              </w:rPr>
            </w:pPr>
            <w:r>
              <w:rPr>
                <w:rFonts w:hint="eastAsia"/>
                <w:sz w:val="24"/>
                <w:szCs w:val="20"/>
              </w:rPr>
              <w:t>本工程运输车辆废气沿交通线路排放，施工机械以点源形式排放，施工区域沿道路呈条状布置，地形开阔，空气流通性好，有利于各种污染物扩散，不会引起局部环境空气质量恶化，加之废气断续排放和施工期较短，机械车辆废气污染会随着施工结束而消失，不会对周边环境产生不利影响。</w:t>
            </w:r>
          </w:p>
          <w:p w14:paraId="10F1A6C0">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3.3 焊接烟尘控制措施</w:t>
            </w:r>
          </w:p>
          <w:p w14:paraId="7EE37457">
            <w:pPr>
              <w:adjustRightInd w:val="0"/>
              <w:snapToGrid w:val="0"/>
              <w:spacing w:line="480" w:lineRule="exact"/>
              <w:ind w:firstLine="480" w:firstLineChars="200"/>
              <w:rPr>
                <w:sz w:val="24"/>
                <w:szCs w:val="20"/>
              </w:rPr>
            </w:pPr>
            <w:r>
              <w:rPr>
                <w:rFonts w:hint="eastAsia"/>
                <w:sz w:val="24"/>
                <w:szCs w:val="20"/>
              </w:rPr>
              <w:t>本项目所用焊条为环保型无铅焊条，属于间断的无组织排放，烟尘产生量较小，经移动式焊接烟尘净化器净化处理后排放。施工营地周围空阔，通风条件较好，故焊接产生的烟尘对周围空气环境影响较小。当施工结束后，该影响随之消失。</w:t>
            </w:r>
          </w:p>
          <w:p w14:paraId="2CA163FE">
            <w:pPr>
              <w:pStyle w:val="3"/>
              <w:adjustRightInd w:val="0"/>
              <w:snapToGrid w:val="0"/>
              <w:spacing w:beforeLines="0" w:line="480" w:lineRule="exact"/>
              <w:ind w:firstLine="480" w:firstLineChars="200"/>
              <w:rPr>
                <w:rFonts w:ascii="Times New Roman" w:hAnsi="Times New Roman" w:eastAsia="宋体"/>
                <w:b/>
                <w:bCs/>
                <w:sz w:val="24"/>
              </w:rPr>
            </w:pPr>
            <w:r>
              <w:rPr>
                <w:rFonts w:ascii="Times New Roman" w:hAnsi="Times New Roman" w:eastAsia="宋体"/>
                <w:bCs/>
                <w:sz w:val="24"/>
                <w:szCs w:val="20"/>
              </w:rPr>
              <w:t>本项目施工废气具有间歇性、短期性的特点，该类污染源对大气环境的影响较轻</w:t>
            </w:r>
            <w:r>
              <w:rPr>
                <w:rFonts w:ascii="Times New Roman" w:hAnsi="Times New Roman" w:eastAsia="宋体"/>
                <w:bCs/>
                <w:sz w:val="24"/>
              </w:rPr>
              <w:t>。</w:t>
            </w:r>
            <w:r>
              <w:rPr>
                <w:rFonts w:ascii="Times New Roman" w:hAnsi="Times New Roman" w:eastAsia="宋体"/>
                <w:bCs/>
                <w:sz w:val="24"/>
                <w:szCs w:val="20"/>
              </w:rPr>
              <w:t>根据预测，</w:t>
            </w:r>
            <w:r>
              <w:rPr>
                <w:rFonts w:ascii="Times New Roman" w:hAnsi="Times New Roman" w:eastAsia="宋体"/>
                <w:spacing w:val="-7"/>
                <w:sz w:val="24"/>
              </w:rPr>
              <w:t>施工扬尘对100m以外的环境空气影响较小，</w:t>
            </w:r>
            <w:r>
              <w:rPr>
                <w:rFonts w:hint="eastAsia" w:ascii="Times New Roman" w:hAnsi="Times New Roman" w:eastAsia="宋体"/>
                <w:spacing w:val="-7"/>
                <w:sz w:val="24"/>
              </w:rPr>
              <w:t>同时</w:t>
            </w:r>
            <w:r>
              <w:rPr>
                <w:rFonts w:ascii="Times New Roman" w:hAnsi="Times New Roman" w:eastAsia="宋体"/>
                <w:bCs/>
                <w:sz w:val="24"/>
                <w:szCs w:val="20"/>
              </w:rPr>
              <w:t>采取</w:t>
            </w:r>
            <w:r>
              <w:rPr>
                <w:rFonts w:hint="eastAsia" w:ascii="Times New Roman" w:hAnsi="Times New Roman" w:eastAsia="宋体"/>
                <w:bCs/>
                <w:sz w:val="24"/>
                <w:szCs w:val="20"/>
              </w:rPr>
              <w:t>上述污染防治</w:t>
            </w:r>
            <w:r>
              <w:rPr>
                <w:rFonts w:ascii="Times New Roman" w:hAnsi="Times New Roman" w:eastAsia="宋体"/>
                <w:bCs/>
                <w:sz w:val="24"/>
                <w:szCs w:val="20"/>
              </w:rPr>
              <w:t>措施后，项目施工对周边环境空气保护目标影响较小，区域环境空气质量的影响在可接受程度。随着施工结束，不利影响亦消失。</w:t>
            </w:r>
          </w:p>
          <w:p w14:paraId="61BB4A09">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4、施工噪声防治措施</w:t>
            </w:r>
          </w:p>
          <w:p w14:paraId="3650EEE5">
            <w:pPr>
              <w:adjustRightInd w:val="0"/>
              <w:snapToGrid w:val="0"/>
              <w:spacing w:line="480" w:lineRule="exact"/>
              <w:ind w:firstLine="480" w:firstLineChars="200"/>
              <w:rPr>
                <w:sz w:val="24"/>
                <w:szCs w:val="20"/>
              </w:rPr>
            </w:pPr>
            <w:r>
              <w:rPr>
                <w:sz w:val="24"/>
              </w:rPr>
              <w:t>噪声防护措施通常有两种：一是降低噪声源；二是控制传播途径。针对本项目情况，拟通过合理安排施工计划和时间以及距离防护和隔声等措施减少施工噪声影响，具体措施及治理效果如下</w:t>
            </w:r>
            <w:r>
              <w:rPr>
                <w:rFonts w:hint="eastAsia"/>
                <w:sz w:val="24"/>
                <w:szCs w:val="20"/>
              </w:rPr>
              <w:t>：</w:t>
            </w:r>
          </w:p>
          <w:p w14:paraId="1B78ACCB">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）优先选用低噪施工设备，严格控制和管理产生噪声设备的使用时间，尽可能避免在同一区段安排大量强噪声设备同时施工。</w:t>
            </w:r>
          </w:p>
          <w:p w14:paraId="5CFFF067">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）施工过程中尽量将施工机械远离环境保护目标布置，在施工区设置围挡降低噪声源强，声环境保护目标一侧加装隔声板。</w:t>
            </w:r>
          </w:p>
          <w:p w14:paraId="00DCEE0E">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）在保证工程进度的前提下，合理安排作业时间，施工前通知居民关好门窗以降低影响，夜间不施工。</w:t>
            </w:r>
          </w:p>
          <w:p w14:paraId="03F584DF">
            <w:pPr>
              <w:adjustRightInd w:val="0"/>
              <w:snapToGrid w:val="0"/>
              <w:spacing w:line="480" w:lineRule="exact"/>
              <w:ind w:firstLine="480" w:firstLineChars="200"/>
              <w:rPr>
                <w:sz w:val="24"/>
                <w:szCs w:val="20"/>
              </w:rPr>
            </w:pPr>
            <w:r>
              <w:rPr>
                <w:rFonts w:hint="eastAsia"/>
                <w:sz w:val="24"/>
                <w:szCs w:val="20"/>
              </w:rPr>
              <w:t>（</w:t>
            </w:r>
            <w:r>
              <w:rPr>
                <w:sz w:val="24"/>
                <w:szCs w:val="20"/>
              </w:rPr>
              <w:t>4</w:t>
            </w:r>
            <w:r>
              <w:rPr>
                <w:rFonts w:hint="eastAsia"/>
                <w:sz w:val="24"/>
                <w:szCs w:val="20"/>
              </w:rPr>
              <w:t>）建设单位应在项目开工前与当地交管部门沟通，征求关于本项目施工期运输路线的意见；在满足运输要求的前提下合理确定运输车辆行驶路线以及重型车辆的运输时间，尽量避开居民区集中、易发拥堵的交通线路和上下班等交通高峰时段，同时采取严禁超载、禁止鸣笛等管理措施，最大限度降低运输车辆交通噪声的影响。</w:t>
            </w:r>
          </w:p>
          <w:p w14:paraId="781900A3">
            <w:pPr>
              <w:adjustRightInd w:val="0"/>
              <w:snapToGrid w:val="0"/>
              <w:spacing w:line="480" w:lineRule="exact"/>
              <w:ind w:firstLine="480" w:firstLineChars="200"/>
              <w:rPr>
                <w:sz w:val="24"/>
                <w:szCs w:val="20"/>
              </w:rPr>
            </w:pPr>
            <w:r>
              <w:rPr>
                <w:rFonts w:hint="eastAsia"/>
                <w:sz w:val="24"/>
                <w:szCs w:val="20"/>
              </w:rPr>
              <w:t>（5）施工期间经常检查和维修机械的动力设备，使动力设备经常处于良好状态下运行，降低噪音水平，并在临近环保目标处设置隔声挡板。</w:t>
            </w:r>
          </w:p>
          <w:p w14:paraId="255D58F3">
            <w:pPr>
              <w:adjustRightInd w:val="0"/>
              <w:snapToGrid w:val="0"/>
              <w:spacing w:line="480" w:lineRule="exact"/>
              <w:ind w:firstLine="480" w:firstLineChars="200"/>
              <w:rPr>
                <w:sz w:val="24"/>
                <w:szCs w:val="20"/>
              </w:rPr>
            </w:pPr>
            <w:r>
              <w:rPr>
                <w:rFonts w:hint="eastAsia"/>
                <w:sz w:val="24"/>
                <w:szCs w:val="20"/>
              </w:rPr>
              <w:t>（6）文明施工。建设单位和施工单位应向沿线受影响的公众和有关单位做好宣传工作，在施工前向当地公众进行信息公示并征求相关意见，以提高人们对不利影响的心理承受力；工程开工后，建设单位和施工单位必须成立群众来访接待处，接待处要认真接待来访的居民，接受并处理关于施工噪声扰民的意见。</w:t>
            </w:r>
          </w:p>
          <w:p w14:paraId="39859F18">
            <w:pPr>
              <w:adjustRightInd w:val="0"/>
              <w:snapToGrid w:val="0"/>
              <w:spacing w:line="480" w:lineRule="exact"/>
              <w:ind w:firstLine="480" w:firstLineChars="200"/>
              <w:rPr>
                <w:b/>
                <w:bCs/>
                <w:sz w:val="24"/>
              </w:rPr>
            </w:pPr>
            <w:r>
              <w:rPr>
                <w:rFonts w:hint="eastAsia"/>
                <w:sz w:val="24"/>
                <w:szCs w:val="20"/>
              </w:rPr>
              <w:t>（7）加强施工现场的科学管理，做好施工人员的环境保护意识的教育；大力倡导文明施工的自觉性，施工单位应严格按照有关要求进行文明施工，尽量降低人为因素造成施工噪声的加重。</w:t>
            </w:r>
          </w:p>
          <w:p w14:paraId="04C72507">
            <w:pPr>
              <w:adjustRightInd w:val="0"/>
              <w:snapToGrid w:val="0"/>
              <w:spacing w:line="480" w:lineRule="exact"/>
              <w:ind w:firstLine="480" w:firstLineChars="200"/>
              <w:rPr>
                <w:sz w:val="24"/>
                <w:szCs w:val="20"/>
              </w:rPr>
            </w:pPr>
            <w:r>
              <w:rPr>
                <w:rFonts w:hint="eastAsia"/>
                <w:sz w:val="24"/>
                <w:szCs w:val="20"/>
              </w:rPr>
              <w:t>本项目施工活动是短暂的，施工噪声的影响将随着施工的结束而消失，不会对声环境产生显著影响。采取隔声减振措施，并合理安排施工时间，把噪声污染减少到最低程度。由于运输车辆多为重型卡车，在运输材料的过程中交通噪声可能对运输线路沿途公众产生影响。由于运输车辆运行具有分散性、瞬时性特点，噪声源属于流动性和不稳定性声源，对施工沿线周围环境的声环境影响不明显，并且施工期噪声影响是短暂的，一旦施工活动结束，施工噪声也将随之结束。采取措施后，施工期噪声对周边环境影响较小。本项目工程分段进行，施工期噪声影响随施工期的结束而消失。</w:t>
            </w:r>
          </w:p>
          <w:p w14:paraId="13DAF6B8">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5、施工废水污染防治措施</w:t>
            </w:r>
          </w:p>
          <w:p w14:paraId="2A45F10C">
            <w:pPr>
              <w:adjustRightInd w:val="0"/>
              <w:snapToGrid w:val="0"/>
              <w:spacing w:line="480" w:lineRule="exact"/>
              <w:ind w:firstLine="480" w:firstLineChars="200"/>
              <w:rPr>
                <w:sz w:val="24"/>
                <w:szCs w:val="20"/>
              </w:rPr>
            </w:pPr>
            <w:r>
              <w:rPr>
                <w:rFonts w:hint="eastAsia"/>
                <w:sz w:val="24"/>
              </w:rPr>
              <w:t>施工期废水主要包括车辆冲洗废水、基坑降水、混凝土养护废水和施工人员产生的生活污水等</w:t>
            </w:r>
            <w:r>
              <w:rPr>
                <w:rFonts w:hint="eastAsia"/>
                <w:sz w:val="24"/>
                <w:szCs w:val="20"/>
              </w:rPr>
              <w:t>，其污染防治措施如下：</w:t>
            </w:r>
          </w:p>
          <w:p w14:paraId="7ABBC027">
            <w:pPr>
              <w:adjustRightInd w:val="0"/>
              <w:snapToGrid w:val="0"/>
              <w:spacing w:line="480" w:lineRule="exact"/>
              <w:ind w:firstLine="480" w:firstLineChars="200"/>
              <w:rPr>
                <w:sz w:val="24"/>
                <w:szCs w:val="20"/>
              </w:rPr>
            </w:pPr>
            <w:r>
              <w:rPr>
                <w:rFonts w:hint="eastAsia"/>
                <w:sz w:val="24"/>
                <w:szCs w:val="20"/>
              </w:rPr>
              <w:t>（</w:t>
            </w:r>
            <w:r>
              <w:rPr>
                <w:sz w:val="24"/>
                <w:szCs w:val="20"/>
              </w:rPr>
              <w:t>1</w:t>
            </w:r>
            <w:r>
              <w:rPr>
                <w:rFonts w:hint="eastAsia"/>
                <w:sz w:val="24"/>
                <w:szCs w:val="20"/>
              </w:rPr>
              <w:t>）</w:t>
            </w:r>
            <w:r>
              <w:rPr>
                <w:rFonts w:hint="eastAsia"/>
                <w:sz w:val="24"/>
              </w:rPr>
              <w:t>施工现场设置临时沉淀池，施工过程中产生的车辆冲洗废水，经沉淀后回用于施工场地洒水降尘；基坑降水排入沉淀池，沉淀后回用于施工场地洒水降尘，施工后对临时沉淀池及时平整并覆土掩埋。混凝土养护废水全部蒸发，无废水外排。</w:t>
            </w:r>
          </w:p>
          <w:p w14:paraId="117DCD20">
            <w:pPr>
              <w:adjustRightInd w:val="0"/>
              <w:snapToGrid w:val="0"/>
              <w:spacing w:line="480" w:lineRule="exact"/>
              <w:ind w:firstLine="480" w:firstLineChars="200"/>
              <w:rPr>
                <w:sz w:val="24"/>
                <w:szCs w:val="20"/>
              </w:rPr>
            </w:pPr>
            <w:r>
              <w:rPr>
                <w:rFonts w:hint="eastAsia"/>
                <w:sz w:val="24"/>
                <w:szCs w:val="20"/>
              </w:rPr>
              <w:t>（</w:t>
            </w:r>
            <w:r>
              <w:rPr>
                <w:sz w:val="24"/>
                <w:szCs w:val="20"/>
              </w:rPr>
              <w:t>2</w:t>
            </w:r>
            <w:r>
              <w:rPr>
                <w:rFonts w:hint="eastAsia"/>
                <w:sz w:val="24"/>
                <w:szCs w:val="20"/>
              </w:rPr>
              <w:t>）施工营地设置环保临时旱厕，施工期生活污水定期清理外运。</w:t>
            </w:r>
          </w:p>
          <w:p w14:paraId="63099002">
            <w:pPr>
              <w:adjustRightInd w:val="0"/>
              <w:snapToGrid w:val="0"/>
              <w:spacing w:line="480" w:lineRule="exact"/>
              <w:ind w:firstLine="480" w:firstLineChars="200"/>
              <w:rPr>
                <w:sz w:val="24"/>
                <w:szCs w:val="20"/>
              </w:rPr>
            </w:pPr>
            <w:r>
              <w:rPr>
                <w:rFonts w:hint="eastAsia"/>
                <w:sz w:val="24"/>
                <w:szCs w:val="20"/>
              </w:rPr>
              <w:t>（</w:t>
            </w:r>
            <w:r>
              <w:rPr>
                <w:sz w:val="24"/>
                <w:szCs w:val="20"/>
              </w:rPr>
              <w:t>3</w:t>
            </w:r>
            <w:r>
              <w:rPr>
                <w:rFonts w:hint="eastAsia"/>
                <w:sz w:val="24"/>
                <w:szCs w:val="20"/>
              </w:rPr>
              <w:t>）在施工过程中，应合理安排施工计划、施工程序，协调好各个施工步骤。雨季中尽量减少地面坡度，减少开挖面，并争取土料随挖、随运，减少堆土裸土的暴露时间，以避免受降雨的直接冲刷，在暴雨期，还应采取应急措施，尽量用覆盖物覆盖新开挖的陡坡，防止冲刷和崩塌。</w:t>
            </w:r>
          </w:p>
          <w:p w14:paraId="6713A173">
            <w:pPr>
              <w:adjustRightInd w:val="0"/>
              <w:snapToGrid w:val="0"/>
              <w:spacing w:line="480" w:lineRule="exact"/>
              <w:ind w:firstLine="480" w:firstLineChars="200"/>
              <w:rPr>
                <w:sz w:val="24"/>
                <w:szCs w:val="20"/>
              </w:rPr>
            </w:pPr>
            <w:r>
              <w:rPr>
                <w:rFonts w:hint="eastAsia"/>
                <w:sz w:val="24"/>
                <w:szCs w:val="20"/>
              </w:rPr>
              <w:t>（</w:t>
            </w:r>
            <w:r>
              <w:rPr>
                <w:sz w:val="24"/>
                <w:szCs w:val="20"/>
              </w:rPr>
              <w:t>4</w:t>
            </w:r>
            <w:r>
              <w:rPr>
                <w:rFonts w:hint="eastAsia"/>
                <w:sz w:val="24"/>
                <w:szCs w:val="20"/>
              </w:rPr>
              <w:t>）工程施工期间，严禁将废水排入周边坑塘、沟渠、水田等周边环境。</w:t>
            </w:r>
          </w:p>
          <w:p w14:paraId="64AE7E95">
            <w:pPr>
              <w:pStyle w:val="3"/>
              <w:adjustRightInd w:val="0"/>
              <w:snapToGrid w:val="0"/>
              <w:spacing w:beforeLines="0" w:line="480" w:lineRule="exact"/>
              <w:rPr>
                <w:rFonts w:ascii="Times New Roman" w:hAnsi="Times New Roman" w:eastAsia="宋体"/>
                <w:b/>
                <w:bCs/>
                <w:sz w:val="24"/>
              </w:rPr>
            </w:pPr>
            <w:r>
              <w:rPr>
                <w:rFonts w:hint="eastAsia" w:ascii="Times New Roman" w:hAnsi="Times New Roman" w:eastAsia="宋体"/>
                <w:b/>
                <w:bCs/>
                <w:sz w:val="24"/>
              </w:rPr>
              <w:t>6</w:t>
            </w:r>
            <w:r>
              <w:rPr>
                <w:rFonts w:ascii="Times New Roman" w:hAnsi="Times New Roman" w:eastAsia="宋体"/>
                <w:b/>
                <w:bCs/>
                <w:sz w:val="24"/>
              </w:rPr>
              <w:t>、</w:t>
            </w:r>
            <w:r>
              <w:rPr>
                <w:rFonts w:hint="eastAsia" w:ascii="Times New Roman" w:hAnsi="Times New Roman" w:eastAsia="宋体"/>
                <w:b/>
                <w:bCs/>
                <w:sz w:val="24"/>
              </w:rPr>
              <w:t>施工期固体废物防治措施</w:t>
            </w:r>
          </w:p>
          <w:p w14:paraId="534A2A1C">
            <w:pPr>
              <w:adjustRightInd w:val="0"/>
              <w:snapToGrid w:val="0"/>
              <w:spacing w:line="480" w:lineRule="exact"/>
              <w:ind w:firstLine="480" w:firstLineChars="200"/>
              <w:rPr>
                <w:sz w:val="24"/>
                <w:szCs w:val="20"/>
              </w:rPr>
            </w:pPr>
            <w:r>
              <w:rPr>
                <w:rFonts w:hint="eastAsia"/>
                <w:sz w:val="24"/>
              </w:rPr>
              <w:t>本项目施工期产生的固体废物主要包括施工人员产生的生活垃圾，施工过程产生的废包装材料、废金属废料，施工过程产生的淤泥、废弃泥浆及建筑垃圾</w:t>
            </w:r>
            <w:r>
              <w:rPr>
                <w:sz w:val="24"/>
              </w:rPr>
              <w:t>等，这些垃圾成分较为简单，数量很大，应集中处理，及时清运，根据不同的成分采用不同的处理方式</w:t>
            </w:r>
            <w:r>
              <w:rPr>
                <w:rFonts w:hint="eastAsia"/>
                <w:sz w:val="24"/>
                <w:szCs w:val="20"/>
              </w:rPr>
              <w:t>。本项目施工期固体废物防治措施如下：</w:t>
            </w:r>
          </w:p>
          <w:p w14:paraId="6D5A61B2">
            <w:pPr>
              <w:widowControl/>
              <w:adjustRightInd w:val="0"/>
              <w:snapToGrid w:val="0"/>
              <w:spacing w:line="480" w:lineRule="exact"/>
              <w:ind w:firstLine="480" w:firstLineChars="200"/>
              <w:rPr>
                <w:sz w:val="24"/>
              </w:rPr>
            </w:pPr>
            <w:r>
              <w:rPr>
                <w:rFonts w:hint="eastAsia"/>
                <w:sz w:val="24"/>
              </w:rPr>
              <w:t>（1）本项目在临近风电机组基础的吊装平台上设置泥浆循环池，泥浆循环使用。打桩结束后，剩余的泥浆交由有资质单位采用罐车运送至相关管理部门指定地点处理，产生的泥渣</w:t>
            </w:r>
            <w:r>
              <w:rPr>
                <w:bCs/>
                <w:snapToGrid w:val="0"/>
                <w:sz w:val="24"/>
              </w:rPr>
              <w:t>用于修筑检修道路或回填场坪使用</w:t>
            </w:r>
            <w:r>
              <w:rPr>
                <w:rFonts w:hint="eastAsia"/>
                <w:sz w:val="24"/>
              </w:rPr>
              <w:t>。</w:t>
            </w:r>
            <w:r>
              <w:rPr>
                <w:sz w:val="24"/>
              </w:rPr>
              <w:t>拉管施工时设泥浆罐，废弃泥浆运送至相关管理部门指定地点处置。</w:t>
            </w:r>
          </w:p>
          <w:p w14:paraId="1BAFEE07">
            <w:pPr>
              <w:widowControl/>
              <w:adjustRightInd w:val="0"/>
              <w:snapToGrid w:val="0"/>
              <w:spacing w:line="480" w:lineRule="exact"/>
              <w:ind w:firstLine="480" w:firstLineChars="200"/>
              <w:rPr>
                <w:sz w:val="24"/>
              </w:rPr>
            </w:pPr>
            <w:r>
              <w:rPr>
                <w:rFonts w:hint="eastAsia"/>
                <w:sz w:val="24"/>
              </w:rPr>
              <w:t>（2）施工建筑废物主要是施工过程中产生的各种废建筑材料，如碎砖块、水泥块等，施工建筑废物应及时运至相关管理部门指定地点处理，</w:t>
            </w:r>
            <w:r>
              <w:rPr>
                <w:rFonts w:hint="eastAsia"/>
                <w:sz w:val="24"/>
                <w:szCs w:val="20"/>
              </w:rPr>
              <w:t>严禁向水域、湿地等倾倒工程垃圾及工程渣土</w:t>
            </w:r>
            <w:r>
              <w:rPr>
                <w:rFonts w:hint="eastAsia"/>
                <w:sz w:val="24"/>
              </w:rPr>
              <w:t>。</w:t>
            </w:r>
          </w:p>
          <w:p w14:paraId="26C71E06">
            <w:pPr>
              <w:widowControl/>
              <w:adjustRightInd w:val="0"/>
              <w:snapToGrid w:val="0"/>
              <w:spacing w:line="480" w:lineRule="exact"/>
              <w:ind w:firstLine="480" w:firstLineChars="200"/>
              <w:rPr>
                <w:bCs/>
                <w:snapToGrid w:val="0"/>
                <w:sz w:val="24"/>
                <w:szCs w:val="20"/>
              </w:rPr>
            </w:pPr>
            <w:r>
              <w:rPr>
                <w:rFonts w:hint="eastAsia"/>
                <w:bCs/>
                <w:snapToGrid w:val="0"/>
                <w:sz w:val="24"/>
                <w:szCs w:val="20"/>
              </w:rPr>
              <w:t>（3）</w:t>
            </w:r>
            <w:r>
              <w:rPr>
                <w:bCs/>
                <w:snapToGrid w:val="0"/>
                <w:sz w:val="24"/>
                <w:szCs w:val="20"/>
              </w:rPr>
              <w:t>设备安装产生的</w:t>
            </w:r>
            <w:r>
              <w:rPr>
                <w:rFonts w:hint="eastAsia"/>
                <w:bCs/>
                <w:snapToGrid w:val="0"/>
                <w:sz w:val="24"/>
                <w:szCs w:val="20"/>
              </w:rPr>
              <w:t>废焊材、废金属边角料等</w:t>
            </w:r>
            <w:r>
              <w:rPr>
                <w:bCs/>
                <w:snapToGrid w:val="0"/>
                <w:sz w:val="24"/>
                <w:szCs w:val="20"/>
              </w:rPr>
              <w:t>固废等由厂家回收。</w:t>
            </w:r>
          </w:p>
          <w:p w14:paraId="3A5A5B48">
            <w:pPr>
              <w:adjustRightInd w:val="0"/>
              <w:snapToGrid w:val="0"/>
              <w:spacing w:line="480" w:lineRule="exact"/>
              <w:ind w:firstLine="480" w:firstLineChars="200"/>
              <w:rPr>
                <w:sz w:val="24"/>
                <w:szCs w:val="20"/>
              </w:rPr>
            </w:pPr>
            <w:r>
              <w:rPr>
                <w:rFonts w:hint="eastAsia"/>
                <w:sz w:val="24"/>
              </w:rPr>
              <w:t>（4）生活垃圾由施工工人产生，主要是工人废弃物品，</w:t>
            </w:r>
            <w:r>
              <w:rPr>
                <w:bCs/>
                <w:snapToGrid w:val="0"/>
                <w:sz w:val="24"/>
                <w:szCs w:val="20"/>
              </w:rPr>
              <w:t>施工期生活垃圾要定点集中收集，不得任意堆放和丢弃，生活垃圾定期由施工方统一组织清运，交由市政管理部门统一处理，不会对周边环境造成影响。</w:t>
            </w:r>
          </w:p>
          <w:p w14:paraId="54FED363">
            <w:pPr>
              <w:adjustRightInd w:val="0"/>
              <w:snapToGrid w:val="0"/>
              <w:spacing w:line="480" w:lineRule="exact"/>
              <w:ind w:firstLine="480" w:firstLineChars="200"/>
              <w:rPr>
                <w:sz w:val="24"/>
                <w:szCs w:val="20"/>
              </w:rPr>
            </w:pPr>
            <w:r>
              <w:rPr>
                <w:rFonts w:hint="eastAsia"/>
                <w:sz w:val="24"/>
                <w:szCs w:val="20"/>
              </w:rPr>
              <w:t>（5）施工单位对施工现场建筑垃圾装运负总责，建设单位应负责对施工单位进行监督和协调管理。施工单位项目负责人落实现场建筑垃圾处置方案，加强施工人员的教育和管理，并派专人监督实施。建筑垃圾处置应实行减量化、资源化、无害化和谁产生谁处置原则。鼓励采用先进技术对建筑垃圾和工程渣土进行处置和再利用。</w:t>
            </w:r>
          </w:p>
          <w:p w14:paraId="2B78AE22">
            <w:pPr>
              <w:adjustRightInd w:val="0"/>
              <w:snapToGrid w:val="0"/>
              <w:spacing w:line="480" w:lineRule="exact"/>
              <w:ind w:firstLine="480" w:firstLineChars="200"/>
              <w:rPr>
                <w:sz w:val="24"/>
                <w:szCs w:val="20"/>
              </w:rPr>
            </w:pPr>
            <w:r>
              <w:rPr>
                <w:rFonts w:hint="eastAsia"/>
                <w:sz w:val="24"/>
                <w:szCs w:val="20"/>
              </w:rPr>
              <w:t>（6）对施工期固体废物应采取“集中收集、分类处理、尽量回用”的原则。生活垃圾和建筑垃圾不能随意堆放，禁止将固体废物堆放在周边耕地、坑塘中，加强对耕地、坑塘的保护；建筑垃圾在施工现场临时堆放时，应定时洒水，防止风吹扬尘，设置挡拦措施，防止弃土、弃渣被冲刷流失，堆放高度不得超出围挡高度，并采取苫盖、固化措施。</w:t>
            </w:r>
          </w:p>
          <w:p w14:paraId="215AFD38">
            <w:pPr>
              <w:adjustRightInd w:val="0"/>
              <w:snapToGrid w:val="0"/>
              <w:spacing w:line="480" w:lineRule="exact"/>
              <w:ind w:firstLine="480" w:firstLineChars="200"/>
              <w:rPr>
                <w:sz w:val="24"/>
                <w:szCs w:val="20"/>
              </w:rPr>
            </w:pPr>
            <w:r>
              <w:rPr>
                <w:rFonts w:hint="eastAsia"/>
                <w:sz w:val="24"/>
                <w:szCs w:val="20"/>
              </w:rPr>
              <w:t>（7）加强运输过程的监管，应严格采用厢式运输或密闭式运输措施，并对车体、轮胎等及时冲洗，防止运输途中出现洒落。洒落在道路上的固废，要及时清理，防止因碾压产生二次扬尘。</w:t>
            </w:r>
          </w:p>
          <w:p w14:paraId="693398F0">
            <w:pPr>
              <w:adjustRightInd w:val="0"/>
              <w:snapToGrid w:val="0"/>
              <w:spacing w:line="480" w:lineRule="exact"/>
              <w:ind w:firstLine="480" w:firstLineChars="200"/>
              <w:rPr>
                <w:sz w:val="24"/>
                <w:szCs w:val="20"/>
              </w:rPr>
            </w:pPr>
            <w:r>
              <w:rPr>
                <w:rFonts w:hint="eastAsia"/>
                <w:sz w:val="24"/>
                <w:szCs w:val="20"/>
              </w:rPr>
              <w:t>（8）尽量减少土方开挖量、填筑量和运输量，开挖过程中产生的土方严禁堆放在施工作业区外，尽量不设临时土料堆放场，做到开挖、运输和填筑“三同时”。表层耕植土严禁丢弃，应优先用于耕地和植被恢复。</w:t>
            </w:r>
          </w:p>
          <w:p w14:paraId="29B51D51">
            <w:pPr>
              <w:adjustRightInd w:val="0"/>
              <w:snapToGrid w:val="0"/>
              <w:spacing w:line="480" w:lineRule="exact"/>
              <w:ind w:firstLine="480" w:firstLineChars="200"/>
              <w:rPr>
                <w:sz w:val="24"/>
                <w:szCs w:val="20"/>
              </w:rPr>
            </w:pPr>
            <w:r>
              <w:rPr>
                <w:rFonts w:hint="eastAsia"/>
                <w:sz w:val="24"/>
                <w:szCs w:val="20"/>
              </w:rPr>
              <w:t>（9）施工期间禁止向水体排放、倾倒垃圾、弃土、弃渣，禁止排放废弃泥浆等废弃物。</w:t>
            </w:r>
          </w:p>
          <w:p w14:paraId="3C1F9554">
            <w:pPr>
              <w:widowControl/>
              <w:adjustRightInd w:val="0"/>
              <w:snapToGrid w:val="0"/>
              <w:spacing w:line="480" w:lineRule="exact"/>
              <w:ind w:firstLine="420" w:firstLineChars="200"/>
            </w:pPr>
          </w:p>
        </w:tc>
      </w:tr>
      <w:tr w14:paraId="0D667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183" w:type="pct"/>
            <w:tcMar>
              <w:left w:w="28" w:type="dxa"/>
              <w:right w:w="28" w:type="dxa"/>
            </w:tcMar>
            <w:vAlign w:val="center"/>
          </w:tcPr>
          <w:p w14:paraId="39D17F06">
            <w:pPr>
              <w:adjustRightInd w:val="0"/>
              <w:snapToGrid w:val="0"/>
              <w:jc w:val="center"/>
              <w:rPr>
                <w:bCs/>
                <w:spacing w:val="10"/>
                <w:sz w:val="24"/>
              </w:rPr>
            </w:pPr>
            <w:r>
              <w:rPr>
                <w:bCs/>
                <w:spacing w:val="10"/>
                <w:sz w:val="24"/>
              </w:rPr>
              <w:t>运营期生态环境保护措施</w:t>
            </w:r>
          </w:p>
        </w:tc>
        <w:tc>
          <w:tcPr>
            <w:tcW w:w="4816" w:type="pct"/>
          </w:tcPr>
          <w:p w14:paraId="55C1D3F3">
            <w:pPr>
              <w:spacing w:line="480" w:lineRule="exact"/>
              <w:ind w:firstLine="482" w:firstLineChars="200"/>
              <w:outlineLvl w:val="1"/>
              <w:rPr>
                <w:b/>
                <w:bCs/>
                <w:kern w:val="0"/>
                <w:sz w:val="24"/>
              </w:rPr>
            </w:pPr>
            <w:r>
              <w:rPr>
                <w:b/>
                <w:bCs/>
                <w:kern w:val="0"/>
                <w:sz w:val="24"/>
              </w:rPr>
              <w:t>1、运营期生态保护措施</w:t>
            </w:r>
          </w:p>
          <w:p w14:paraId="1A9065B9">
            <w:pPr>
              <w:spacing w:line="480" w:lineRule="exact"/>
              <w:ind w:firstLine="480" w:firstLineChars="200"/>
              <w:rPr>
                <w:sz w:val="24"/>
              </w:rPr>
            </w:pPr>
            <w:r>
              <w:rPr>
                <w:sz w:val="24"/>
              </w:rPr>
              <w:t>本项目运营期对生态环境的影响主要表现为永久占地生态影响和对鸟类的影响。</w:t>
            </w:r>
          </w:p>
          <w:p w14:paraId="719EB052">
            <w:pPr>
              <w:spacing w:line="480" w:lineRule="exact"/>
              <w:ind w:firstLine="482" w:firstLineChars="200"/>
              <w:outlineLvl w:val="2"/>
              <w:rPr>
                <w:b/>
                <w:bCs/>
                <w:kern w:val="0"/>
                <w:sz w:val="24"/>
              </w:rPr>
            </w:pPr>
            <w:r>
              <w:rPr>
                <w:b/>
                <w:bCs/>
                <w:kern w:val="0"/>
                <w:sz w:val="24"/>
              </w:rPr>
              <w:t>1.1永久占地生态保护措施</w:t>
            </w:r>
          </w:p>
          <w:p w14:paraId="4BC77F2A">
            <w:pPr>
              <w:spacing w:line="480" w:lineRule="exact"/>
              <w:ind w:firstLine="480" w:firstLineChars="200"/>
              <w:rPr>
                <w:sz w:val="24"/>
              </w:rPr>
            </w:pPr>
            <w:r>
              <w:rPr>
                <w:sz w:val="24"/>
              </w:rPr>
              <w:t>本项目永久占地包括风电机组及箱变基础占地、升压站占地。对于本项目占用的坑塘水面、沟渠、果园、设施农用地、旱地、水田、农村道路，采用一次性补偿的方式进行占地补偿。</w:t>
            </w:r>
          </w:p>
          <w:p w14:paraId="03660824">
            <w:pPr>
              <w:spacing w:line="480" w:lineRule="exact"/>
              <w:ind w:firstLine="480" w:firstLineChars="200"/>
              <w:rPr>
                <w:sz w:val="24"/>
              </w:rPr>
            </w:pPr>
            <w:r>
              <w:rPr>
                <w:sz w:val="24"/>
              </w:rPr>
              <w:t>升压站建成后，站内设置一定的绿化面积。坑塘水面</w:t>
            </w:r>
            <w:r>
              <w:rPr>
                <w:rFonts w:hint="eastAsia"/>
                <w:sz w:val="24"/>
              </w:rPr>
              <w:t>、水田</w:t>
            </w:r>
            <w:r>
              <w:rPr>
                <w:sz w:val="24"/>
              </w:rPr>
              <w:t>和沟渠处风电机组占地采取浆砌石护坡措施，运营期做好边坡维护。</w:t>
            </w:r>
          </w:p>
          <w:p w14:paraId="6688B7EB">
            <w:pPr>
              <w:spacing w:line="480" w:lineRule="exact"/>
              <w:ind w:firstLine="482" w:firstLineChars="200"/>
              <w:outlineLvl w:val="2"/>
              <w:rPr>
                <w:b/>
                <w:bCs/>
                <w:kern w:val="0"/>
                <w:sz w:val="24"/>
              </w:rPr>
            </w:pPr>
            <w:r>
              <w:rPr>
                <w:b/>
                <w:bCs/>
                <w:kern w:val="0"/>
                <w:sz w:val="24"/>
              </w:rPr>
              <w:t>1.2对鸟类的保护措施</w:t>
            </w:r>
          </w:p>
          <w:p w14:paraId="67EC0257">
            <w:pPr>
              <w:spacing w:line="480" w:lineRule="exact"/>
              <w:ind w:firstLine="480" w:firstLineChars="200"/>
              <w:rPr>
                <w:sz w:val="24"/>
              </w:rPr>
            </w:pPr>
            <w:r>
              <w:rPr>
                <w:sz w:val="24"/>
              </w:rPr>
              <w:t>本项目在运行中应采取以下生态环境影响减缓措施：</w:t>
            </w:r>
          </w:p>
          <w:p w14:paraId="72171622">
            <w:pPr>
              <w:spacing w:line="480" w:lineRule="exact"/>
              <w:ind w:firstLine="480" w:firstLineChars="200"/>
              <w:rPr>
                <w:sz w:val="24"/>
              </w:rPr>
            </w:pPr>
            <w:r>
              <w:rPr>
                <w:sz w:val="24"/>
              </w:rPr>
              <w:t>①</w:t>
            </w:r>
            <w:r>
              <w:rPr>
                <w:rFonts w:hint="eastAsia"/>
                <w:sz w:val="24"/>
              </w:rPr>
              <w:t>风机</w:t>
            </w:r>
            <w:r>
              <w:rPr>
                <w:sz w:val="24"/>
              </w:rPr>
              <w:t>警示色</w:t>
            </w:r>
          </w:p>
          <w:p w14:paraId="1CB843FD">
            <w:pPr>
              <w:spacing w:line="480" w:lineRule="exact"/>
              <w:ind w:firstLine="480" w:firstLineChars="200"/>
              <w:rPr>
                <w:sz w:val="24"/>
              </w:rPr>
            </w:pPr>
            <w:r>
              <w:rPr>
                <w:sz w:val="24"/>
              </w:rPr>
              <w:t>根据日本等地的成功经验，风机的叶片应当选用橙红与白色相间的警示色，使鸟类在飞行中能及时分辨出安全路线，及时规避风机，以减少鸟只撞机的几率。德国规定风机叶片应有6米长的彩色标志，支撑塔有3~6米的彩色标志，机舱涂2米宽的彩色带。多数鸟类可以辨识紫外光，因此可在风电机组的立柱和叶轮上加涂具紫外光涂料，以增加鸟类对机组的辨识度。同时，可在立柱上加涂黑色的猛禽剪影图案，以促使经过的鸟群主动避开此区域，以最大限度警示鸟类避让。应定期检查风机警示色完好度，如有损毁，应及时进行修复。</w:t>
            </w:r>
          </w:p>
          <w:p w14:paraId="18940670">
            <w:pPr>
              <w:spacing w:line="480" w:lineRule="exact"/>
              <w:ind w:firstLine="480" w:firstLineChars="200"/>
              <w:rPr>
                <w:sz w:val="24"/>
              </w:rPr>
            </w:pPr>
            <w:r>
              <w:rPr>
                <w:sz w:val="24"/>
              </w:rPr>
              <w:t>②合理使用光源</w:t>
            </w:r>
          </w:p>
          <w:p w14:paraId="3390F641">
            <w:pPr>
              <w:spacing w:line="480" w:lineRule="exact"/>
              <w:ind w:firstLine="480" w:firstLineChars="200"/>
              <w:rPr>
                <w:sz w:val="24"/>
              </w:rPr>
            </w:pPr>
            <w:r>
              <w:rPr>
                <w:sz w:val="24"/>
              </w:rPr>
              <w:t>针对夜间飞行的鸟类容易被人工光照明干扰而造成误撞的情况，通过改进光照强度，能够在一定程度上减少迁徙季节鸟类误撞概率。风电场区域的照明设备应选用白色闪光灯，并且尽可能少安装灯，灯的亮度和闪烁次数也要尽可能小和低。不要使用钠蒸气灯，禁止长时间开启明亮的照明设备，给需要照明的设备加装必要的遮光设施，以减少光源对夜间迁徙鸟类的干扰。在可见光范围，红色光对于候鸟的影响相对较强，因此为了减少对鸟类的影响，尽量降低红光灯的使用率或使用其他照明光源作为替代品。</w:t>
            </w:r>
          </w:p>
          <w:p w14:paraId="6C000124">
            <w:pPr>
              <w:spacing w:line="480" w:lineRule="exact"/>
              <w:ind w:firstLine="480" w:firstLineChars="200"/>
              <w:rPr>
                <w:sz w:val="24"/>
              </w:rPr>
            </w:pPr>
            <w:r>
              <w:rPr>
                <w:sz w:val="24"/>
              </w:rPr>
              <w:t>为了在夜间能够警示鸟类，</w:t>
            </w:r>
            <w:r>
              <w:rPr>
                <w:rFonts w:hint="eastAsia"/>
                <w:sz w:val="24"/>
              </w:rPr>
              <w:t>风电场在支撑塔上根据实际情况</w:t>
            </w:r>
            <w:r>
              <w:rPr>
                <w:sz w:val="24"/>
              </w:rPr>
              <w:t>安装合适的警示灯。</w:t>
            </w:r>
            <w:r>
              <w:rPr>
                <w:rFonts w:hint="eastAsia"/>
                <w:sz w:val="24"/>
              </w:rPr>
              <w:t>集电线路塔基接地线加装警示灯。</w:t>
            </w:r>
          </w:p>
          <w:p w14:paraId="25E93564">
            <w:pPr>
              <w:spacing w:line="480" w:lineRule="exact"/>
              <w:ind w:firstLine="480" w:firstLineChars="200"/>
              <w:rPr>
                <w:sz w:val="24"/>
              </w:rPr>
            </w:pPr>
            <w:r>
              <w:rPr>
                <w:sz w:val="24"/>
              </w:rPr>
              <w:t>③安装鸟类分流器</w:t>
            </w:r>
          </w:p>
          <w:p w14:paraId="74827F45">
            <w:pPr>
              <w:spacing w:line="480" w:lineRule="exact"/>
              <w:ind w:firstLine="480" w:firstLineChars="200"/>
              <w:rPr>
                <w:sz w:val="24"/>
              </w:rPr>
            </w:pPr>
            <w:r>
              <w:rPr>
                <w:sz w:val="24"/>
              </w:rPr>
              <w:t>对于架空线路导致鸟类撞击的高危区段，减少撞线的发生是进行鸟类保护的首要任务。相关研究显示，分流器的安装可将鸟类撞线风险降低60%-90%，从而最大程度上减弱电网对鸟类飞行的危害。因此，在项目实施过程中，可在敏感高空输电线路上安装鸟类分流器，从而提高线路的可视性，降低鸟类撞击风险。</w:t>
            </w:r>
          </w:p>
          <w:p w14:paraId="4CB165DA">
            <w:pPr>
              <w:spacing w:line="480" w:lineRule="exact"/>
              <w:ind w:firstLine="480" w:firstLineChars="200"/>
              <w:rPr>
                <w:sz w:val="24"/>
              </w:rPr>
            </w:pPr>
            <w:r>
              <w:rPr>
                <w:sz w:val="24"/>
              </w:rPr>
              <w:t>④适时关闭风机</w:t>
            </w:r>
          </w:p>
          <w:p w14:paraId="20044029">
            <w:pPr>
              <w:spacing w:line="480" w:lineRule="exact"/>
              <w:ind w:firstLine="480" w:firstLineChars="200"/>
              <w:rPr>
                <w:sz w:val="24"/>
              </w:rPr>
            </w:pPr>
            <w:r>
              <w:rPr>
                <w:sz w:val="24"/>
              </w:rPr>
              <w:t>风电场要配备鸟类观测人员，观测进入场区的鸟类数量，遇到大风、大雾、暴雨和强逆风等恶劣天气</w:t>
            </w:r>
            <w:r>
              <w:rPr>
                <w:rFonts w:hint="eastAsia"/>
                <w:sz w:val="24"/>
              </w:rPr>
              <w:t>或鸟类迁徙高峰时段</w:t>
            </w:r>
            <w:r>
              <w:rPr>
                <w:sz w:val="24"/>
              </w:rPr>
              <w:t>，应启动关闭风机预案。</w:t>
            </w:r>
          </w:p>
          <w:p w14:paraId="6962DF82">
            <w:pPr>
              <w:spacing w:line="480" w:lineRule="exact"/>
              <w:ind w:firstLine="480" w:firstLineChars="200"/>
              <w:rPr>
                <w:sz w:val="24"/>
              </w:rPr>
            </w:pPr>
            <w:r>
              <w:rPr>
                <w:sz w:val="24"/>
              </w:rPr>
              <w:t>⑤巡检措施</w:t>
            </w:r>
          </w:p>
          <w:p w14:paraId="4505751D">
            <w:pPr>
              <w:spacing w:line="480" w:lineRule="exact"/>
              <w:ind w:firstLine="480" w:firstLineChars="200"/>
              <w:rPr>
                <w:sz w:val="24"/>
              </w:rPr>
            </w:pPr>
            <w:r>
              <w:rPr>
                <w:sz w:val="24"/>
              </w:rPr>
              <w:t>应定期检查风机警示色和警示灯完好无损，如有损坏，应及时修复。如若发现有受伤的鸟类应送至专门的救助机构开展救护工作。</w:t>
            </w:r>
          </w:p>
          <w:p w14:paraId="4108B687">
            <w:pPr>
              <w:spacing w:line="480" w:lineRule="exact"/>
              <w:ind w:firstLine="480" w:firstLineChars="200"/>
              <w:rPr>
                <w:sz w:val="24"/>
              </w:rPr>
            </w:pPr>
            <w:r>
              <w:rPr>
                <w:sz w:val="24"/>
              </w:rPr>
              <w:t>⑥加强鸟类监测</w:t>
            </w:r>
          </w:p>
          <w:p w14:paraId="726943CD">
            <w:pPr>
              <w:spacing w:line="480" w:lineRule="exact"/>
              <w:ind w:firstLine="480" w:firstLineChars="200"/>
              <w:rPr>
                <w:sz w:val="24"/>
              </w:rPr>
            </w:pPr>
            <w:r>
              <w:rPr>
                <w:sz w:val="24"/>
              </w:rPr>
              <w:t>风电场建成后，应开展定期鸟类监测，及时掌握鸟类信息。监测应持续3年以上，保持每年4-6次的频度，建议每年2月、3月、4月、7月、10 月和12月各开展一次。设立鸟撞响应机制，若有严重的鸟撞事故发生，应及时通知当地的野生动物主管部门，并采取必要的措施防止类似情况的再次发生。</w:t>
            </w:r>
          </w:p>
          <w:p w14:paraId="5B28640E">
            <w:pPr>
              <w:spacing w:line="480" w:lineRule="exact"/>
              <w:ind w:firstLine="480" w:firstLineChars="200"/>
              <w:rPr>
                <w:sz w:val="24"/>
              </w:rPr>
            </w:pPr>
            <w:r>
              <w:rPr>
                <w:sz w:val="24"/>
              </w:rPr>
              <w:t>⑦管理措施</w:t>
            </w:r>
          </w:p>
          <w:p w14:paraId="4142249C">
            <w:pPr>
              <w:spacing w:line="480" w:lineRule="exact"/>
              <w:ind w:firstLine="480" w:firstLineChars="200"/>
              <w:rPr>
                <w:sz w:val="24"/>
              </w:rPr>
            </w:pPr>
            <w:r>
              <w:rPr>
                <w:sz w:val="24"/>
              </w:rPr>
              <w:t>设置鸟类保护标识牌；加强鸟类保护知识的宣传和教育，严禁布置捕鸟装置。</w:t>
            </w:r>
          </w:p>
          <w:p w14:paraId="0E1C45D5">
            <w:pPr>
              <w:spacing w:line="480" w:lineRule="exact"/>
              <w:ind w:firstLine="480" w:firstLineChars="200"/>
              <w:rPr>
                <w:sz w:val="24"/>
              </w:rPr>
            </w:pPr>
            <w:r>
              <w:rPr>
                <w:sz w:val="24"/>
              </w:rPr>
              <w:t>因此，在切实落实各项减缓措施的前提下，项目对鸟类的影响总体可以接受。</w:t>
            </w:r>
          </w:p>
          <w:p w14:paraId="4C8FA1B4">
            <w:pPr>
              <w:spacing w:line="480" w:lineRule="exact"/>
              <w:ind w:firstLine="482" w:firstLineChars="200"/>
              <w:outlineLvl w:val="1"/>
              <w:rPr>
                <w:b/>
                <w:bCs/>
                <w:kern w:val="0"/>
                <w:sz w:val="24"/>
              </w:rPr>
            </w:pPr>
            <w:r>
              <w:rPr>
                <w:b/>
                <w:bCs/>
                <w:kern w:val="0"/>
                <w:sz w:val="24"/>
              </w:rPr>
              <w:t>2、运营期废气防治措施</w:t>
            </w:r>
          </w:p>
          <w:p w14:paraId="7BD9C88E">
            <w:pPr>
              <w:widowControl/>
              <w:adjustRightInd w:val="0"/>
              <w:snapToGrid w:val="0"/>
              <w:spacing w:line="480" w:lineRule="exact"/>
              <w:ind w:firstLine="480" w:firstLineChars="200"/>
              <w:rPr>
                <w:sz w:val="24"/>
              </w:rPr>
            </w:pPr>
            <w:r>
              <w:rPr>
                <w:kern w:val="0"/>
                <w:sz w:val="24"/>
              </w:rPr>
              <w:t>本项目运营期废气主要为食堂油烟。</w:t>
            </w:r>
          </w:p>
          <w:p w14:paraId="0D43CFC1">
            <w:pPr>
              <w:widowControl/>
              <w:adjustRightInd w:val="0"/>
              <w:snapToGrid w:val="0"/>
              <w:spacing w:line="480" w:lineRule="exact"/>
              <w:ind w:firstLine="480" w:firstLineChars="200"/>
              <w:rPr>
                <w:kern w:val="24"/>
                <w:sz w:val="24"/>
              </w:rPr>
            </w:pPr>
            <w:r>
              <w:rPr>
                <w:kern w:val="24"/>
                <w:sz w:val="24"/>
              </w:rPr>
              <w:t>本项目食堂安装处理效率不低于60%的油烟净化器对油烟进行净化，通过专用排气筒排放。经处理后的油烟浓度为0.20mg/m</w:t>
            </w:r>
            <w:r>
              <w:rPr>
                <w:kern w:val="24"/>
                <w:sz w:val="24"/>
                <w:vertAlign w:val="superscript"/>
              </w:rPr>
              <w:t>3</w:t>
            </w:r>
            <w:r>
              <w:rPr>
                <w:kern w:val="24"/>
                <w:sz w:val="24"/>
              </w:rPr>
              <w:t>，可满足</w:t>
            </w:r>
            <w:r>
              <w:rPr>
                <w:sz w:val="24"/>
              </w:rPr>
              <w:t>《餐饮业大气污染物排放标准》（DB13/5808-2023) 小型规模油烟最高允许排放浓度油烟1.5mg/m</w:t>
            </w:r>
            <w:r>
              <w:rPr>
                <w:sz w:val="24"/>
                <w:vertAlign w:val="superscript"/>
              </w:rPr>
              <w:t>3</w:t>
            </w:r>
            <w:r>
              <w:rPr>
                <w:sz w:val="24"/>
              </w:rPr>
              <w:t>的要求</w:t>
            </w:r>
            <w:r>
              <w:rPr>
                <w:rFonts w:hint="eastAsia"/>
                <w:kern w:val="24"/>
                <w:sz w:val="24"/>
              </w:rPr>
              <w:t>和</w:t>
            </w:r>
            <w:r>
              <w:rPr>
                <w:sz w:val="24"/>
              </w:rPr>
              <w:t>《唐山市餐饮油烟污染治理专项方案》  (唐气领办[2021]58号) ：油烟≤1mg/m</w:t>
            </w:r>
            <w:r>
              <w:rPr>
                <w:sz w:val="24"/>
                <w:vertAlign w:val="superscript"/>
              </w:rPr>
              <w:t>3</w:t>
            </w:r>
            <w:r>
              <w:rPr>
                <w:kern w:val="24"/>
                <w:sz w:val="24"/>
              </w:rPr>
              <w:t>的要求。</w:t>
            </w:r>
          </w:p>
          <w:p w14:paraId="68F10EF9">
            <w:pPr>
              <w:widowControl/>
              <w:adjustRightInd w:val="0"/>
              <w:snapToGrid w:val="0"/>
              <w:spacing w:line="480" w:lineRule="exact"/>
              <w:ind w:firstLine="480" w:firstLineChars="200"/>
              <w:rPr>
                <w:sz w:val="24"/>
              </w:rPr>
            </w:pPr>
            <w:r>
              <w:rPr>
                <w:sz w:val="24"/>
              </w:rPr>
              <w:t>因此，本项目对大气环境无明显不利影响。</w:t>
            </w:r>
          </w:p>
          <w:p w14:paraId="37752050">
            <w:pPr>
              <w:spacing w:line="480" w:lineRule="exact"/>
              <w:ind w:firstLine="482" w:firstLineChars="200"/>
              <w:outlineLvl w:val="1"/>
              <w:rPr>
                <w:b/>
                <w:bCs/>
                <w:kern w:val="0"/>
                <w:sz w:val="24"/>
              </w:rPr>
            </w:pPr>
            <w:r>
              <w:rPr>
                <w:b/>
                <w:bCs/>
                <w:kern w:val="0"/>
                <w:sz w:val="24"/>
              </w:rPr>
              <w:t>3、运营期废水防治措施</w:t>
            </w:r>
          </w:p>
          <w:p w14:paraId="144DB741">
            <w:pPr>
              <w:widowControl/>
              <w:adjustRightInd w:val="0"/>
              <w:snapToGrid w:val="0"/>
              <w:spacing w:line="480" w:lineRule="exact"/>
              <w:ind w:firstLine="480" w:firstLineChars="200"/>
              <w:rPr>
                <w:sz w:val="24"/>
              </w:rPr>
            </w:pPr>
            <w:r>
              <w:rPr>
                <w:sz w:val="24"/>
              </w:rPr>
              <w:t>本项目运营期废水主要为升压站内职工生活污水。</w:t>
            </w:r>
          </w:p>
          <w:p w14:paraId="746141DA">
            <w:pPr>
              <w:widowControl/>
              <w:adjustRightInd w:val="0"/>
              <w:snapToGrid w:val="0"/>
              <w:spacing w:line="480" w:lineRule="exact"/>
              <w:ind w:firstLine="480" w:firstLineChars="200"/>
              <w:rPr>
                <w:sz w:val="24"/>
              </w:rPr>
            </w:pPr>
            <w:r>
              <w:rPr>
                <w:sz w:val="24"/>
              </w:rPr>
              <w:t>升压站内设有食堂、宿舍、洗浴设施，食堂废水采用隔油池处理后与其他生活污水共同排入化粪池，定期清掏，不外排。</w:t>
            </w:r>
          </w:p>
          <w:p w14:paraId="674757B1">
            <w:pPr>
              <w:widowControl/>
              <w:adjustRightInd w:val="0"/>
              <w:snapToGrid w:val="0"/>
              <w:spacing w:line="480" w:lineRule="exact"/>
              <w:ind w:firstLine="480" w:firstLineChars="200"/>
              <w:rPr>
                <w:sz w:val="24"/>
              </w:rPr>
            </w:pPr>
            <w:r>
              <w:rPr>
                <w:sz w:val="24"/>
              </w:rPr>
              <w:t>因此，本项目对周边地表水环境无明显不利影响。</w:t>
            </w:r>
          </w:p>
          <w:p w14:paraId="7D912CFB">
            <w:pPr>
              <w:adjustRightInd w:val="0"/>
              <w:snapToGrid w:val="0"/>
              <w:spacing w:line="480" w:lineRule="exact"/>
              <w:ind w:firstLine="482" w:firstLineChars="200"/>
              <w:rPr>
                <w:b/>
                <w:bCs/>
                <w:sz w:val="24"/>
              </w:rPr>
            </w:pPr>
            <w:r>
              <w:rPr>
                <w:b/>
                <w:bCs/>
                <w:sz w:val="24"/>
              </w:rPr>
              <w:t>4、运营期噪声防治措施</w:t>
            </w:r>
          </w:p>
          <w:p w14:paraId="2942E79E">
            <w:pPr>
              <w:widowControl/>
              <w:adjustRightInd w:val="0"/>
              <w:snapToGrid w:val="0"/>
              <w:spacing w:line="480" w:lineRule="exact"/>
              <w:ind w:firstLine="480" w:firstLineChars="200"/>
              <w:rPr>
                <w:sz w:val="24"/>
              </w:rPr>
            </w:pPr>
            <w:r>
              <w:rPr>
                <w:sz w:val="24"/>
              </w:rPr>
              <w:t>本项目运营期噪声主要为升压站内主变压器、SVG风机和风场内46台风机。</w:t>
            </w:r>
          </w:p>
          <w:p w14:paraId="541FB8FB">
            <w:pPr>
              <w:autoSpaceDE w:val="0"/>
              <w:autoSpaceDN w:val="0"/>
              <w:adjustRightInd w:val="0"/>
              <w:snapToGrid w:val="0"/>
              <w:spacing w:line="480" w:lineRule="exact"/>
              <w:ind w:firstLine="480" w:firstLineChars="200"/>
              <w:rPr>
                <w:sz w:val="24"/>
              </w:rPr>
            </w:pPr>
            <w:r>
              <w:rPr>
                <w:sz w:val="24"/>
              </w:rPr>
              <w:t>升压站内合理布局，选用低噪声设备，基础进行减振，经围墙隔声后，升压站厂界噪声能够满足《工业企业厂界噪声排放标准》（GB12348-2008）1类标准要求。</w:t>
            </w:r>
          </w:p>
          <w:p w14:paraId="7AC78C0A">
            <w:pPr>
              <w:autoSpaceDE w:val="0"/>
              <w:autoSpaceDN w:val="0"/>
              <w:adjustRightInd w:val="0"/>
              <w:snapToGrid w:val="0"/>
              <w:spacing w:line="480" w:lineRule="exact"/>
              <w:ind w:firstLine="480" w:firstLineChars="200"/>
              <w:rPr>
                <w:kern w:val="0"/>
                <w:sz w:val="24"/>
                <w:highlight w:val="yellow"/>
              </w:rPr>
            </w:pPr>
            <w:r>
              <w:rPr>
                <w:sz w:val="24"/>
              </w:rPr>
              <w:t>风场内风机选用低噪声设备、基础减振，定期对风机进行维护和检修使其处于正常稳定的运行状态，经距离衰减</w:t>
            </w:r>
            <w:r>
              <w:rPr>
                <w:kern w:val="0"/>
                <w:sz w:val="24"/>
              </w:rPr>
              <w:t>，风</w:t>
            </w:r>
            <w:r>
              <w:rPr>
                <w:sz w:val="24"/>
              </w:rPr>
              <w:t>机噪声到达</w:t>
            </w:r>
            <w:r>
              <w:rPr>
                <w:rFonts w:hint="eastAsia"/>
                <w:sz w:val="24"/>
              </w:rPr>
              <w:t>3</w:t>
            </w:r>
            <w:r>
              <w:rPr>
                <w:sz w:val="24"/>
              </w:rPr>
              <w:t>00m处时可满足</w:t>
            </w:r>
            <w:r>
              <w:rPr>
                <w:bCs/>
                <w:sz w:val="24"/>
              </w:rPr>
              <w:t>《声环境质量标准》（GB3096-2008）1</w:t>
            </w:r>
            <w:r>
              <w:rPr>
                <w:sz w:val="24"/>
              </w:rPr>
              <w:t>类标准，且风机周边</w:t>
            </w:r>
            <w:r>
              <w:rPr>
                <w:rFonts w:hint="eastAsia"/>
                <w:sz w:val="24"/>
              </w:rPr>
              <w:t>3</w:t>
            </w:r>
            <w:r>
              <w:rPr>
                <w:sz w:val="24"/>
              </w:rPr>
              <w:t>00m范围无环境敏感目标，故本项目不会对周边敏感点产生影响。</w:t>
            </w:r>
          </w:p>
          <w:p w14:paraId="7E4BB2A2">
            <w:pPr>
              <w:autoSpaceDE w:val="0"/>
              <w:autoSpaceDN w:val="0"/>
              <w:adjustRightInd w:val="0"/>
              <w:snapToGrid w:val="0"/>
              <w:spacing w:line="480" w:lineRule="exact"/>
              <w:ind w:firstLine="480" w:firstLineChars="200"/>
              <w:rPr>
                <w:sz w:val="24"/>
              </w:rPr>
            </w:pPr>
            <w:r>
              <w:rPr>
                <w:sz w:val="24"/>
              </w:rPr>
              <w:t>因此，本项目运营期对周围声环境影响可接受。</w:t>
            </w:r>
          </w:p>
          <w:p w14:paraId="47164B9A">
            <w:pPr>
              <w:adjustRightInd w:val="0"/>
              <w:snapToGrid w:val="0"/>
              <w:spacing w:line="480" w:lineRule="exact"/>
              <w:ind w:firstLine="482" w:firstLineChars="200"/>
              <w:rPr>
                <w:b/>
                <w:bCs/>
                <w:sz w:val="24"/>
              </w:rPr>
            </w:pPr>
            <w:r>
              <w:rPr>
                <w:b/>
                <w:bCs/>
                <w:sz w:val="24"/>
              </w:rPr>
              <w:t>5、固废废物防治措施</w:t>
            </w:r>
          </w:p>
          <w:p w14:paraId="17D1D628">
            <w:pPr>
              <w:spacing w:line="480" w:lineRule="exact"/>
              <w:ind w:firstLine="480" w:firstLineChars="200"/>
              <w:rPr>
                <w:sz w:val="24"/>
              </w:rPr>
            </w:pPr>
            <w:r>
              <w:rPr>
                <w:sz w:val="24"/>
              </w:rPr>
              <w:t>本项目运营期固体废物包括一般固废、危险废物和生活垃圾。</w:t>
            </w:r>
          </w:p>
          <w:p w14:paraId="71E7555E">
            <w:pPr>
              <w:spacing w:line="480" w:lineRule="exact"/>
              <w:ind w:firstLine="482" w:firstLineChars="200"/>
              <w:outlineLvl w:val="2"/>
              <w:rPr>
                <w:b/>
                <w:bCs/>
                <w:kern w:val="0"/>
                <w:sz w:val="24"/>
              </w:rPr>
            </w:pPr>
            <w:r>
              <w:rPr>
                <w:b/>
                <w:bCs/>
                <w:kern w:val="0"/>
                <w:sz w:val="24"/>
              </w:rPr>
              <w:t>5.1处置方式</w:t>
            </w:r>
          </w:p>
          <w:p w14:paraId="6EA5ED5E">
            <w:pPr>
              <w:spacing w:line="480" w:lineRule="exact"/>
              <w:ind w:firstLine="480" w:firstLineChars="200"/>
              <w:rPr>
                <w:sz w:val="24"/>
              </w:rPr>
            </w:pPr>
            <w:r>
              <w:rPr>
                <w:sz w:val="24"/>
              </w:rPr>
              <w:t>一般固废中更换设备产生的废包装物收集后暂存于一般固废间，外售物资回收单位。</w:t>
            </w:r>
          </w:p>
          <w:p w14:paraId="6A46A268">
            <w:pPr>
              <w:widowControl/>
              <w:adjustRightInd w:val="0"/>
              <w:snapToGrid w:val="0"/>
              <w:spacing w:line="480" w:lineRule="exact"/>
              <w:ind w:firstLine="480" w:firstLineChars="200"/>
              <w:rPr>
                <w:sz w:val="24"/>
              </w:rPr>
            </w:pPr>
            <w:r>
              <w:rPr>
                <w:sz w:val="24"/>
              </w:rPr>
              <w:t>危险废物中设备维护过程产生的废齿轮油桶装加盖收集，与设备维护过程产生的废油桶、备用电源更换的废蓄电池暂存于</w:t>
            </w:r>
            <w:r>
              <w:rPr>
                <w:rFonts w:hint="eastAsia"/>
                <w:sz w:val="24"/>
              </w:rPr>
              <w:t>危废贮存库</w:t>
            </w:r>
            <w:r>
              <w:rPr>
                <w:sz w:val="24"/>
              </w:rPr>
              <w:t>，委托有危废处理资质的单位进行处理。按照检修计划联系有危废处理资质的单位进站，确保更换的废变压器油随产随清，不在厂区内暂存，事故状态泄漏的事故废油通过管道流入事故油池，委托有危废处理资质的单位及时进行处理，常规状态池内不储存废油。</w:t>
            </w:r>
          </w:p>
          <w:p w14:paraId="15F90F24">
            <w:pPr>
              <w:widowControl/>
              <w:adjustRightInd w:val="0"/>
              <w:snapToGrid w:val="0"/>
              <w:spacing w:line="480" w:lineRule="exact"/>
              <w:ind w:firstLine="480" w:firstLineChars="200"/>
              <w:rPr>
                <w:sz w:val="24"/>
              </w:rPr>
            </w:pPr>
            <w:r>
              <w:rPr>
                <w:sz w:val="24"/>
              </w:rPr>
              <w:t>职工生活垃圾集中收集，送当地环卫部门指定地点统一处理。</w:t>
            </w:r>
          </w:p>
          <w:p w14:paraId="1F699697">
            <w:pPr>
              <w:spacing w:line="480" w:lineRule="exact"/>
              <w:ind w:firstLine="482" w:firstLineChars="200"/>
              <w:outlineLvl w:val="2"/>
              <w:rPr>
                <w:b/>
                <w:bCs/>
                <w:kern w:val="0"/>
                <w:sz w:val="24"/>
              </w:rPr>
            </w:pPr>
            <w:r>
              <w:rPr>
                <w:b/>
                <w:bCs/>
                <w:kern w:val="0"/>
                <w:sz w:val="24"/>
              </w:rPr>
              <w:t>5.2危险废物管理措施</w:t>
            </w:r>
          </w:p>
          <w:p w14:paraId="35059501">
            <w:pPr>
              <w:spacing w:line="480" w:lineRule="exact"/>
              <w:ind w:firstLine="480" w:firstLineChars="200"/>
              <w:rPr>
                <w:kern w:val="0"/>
                <w:sz w:val="24"/>
              </w:rPr>
            </w:pPr>
            <w:r>
              <w:rPr>
                <w:kern w:val="0"/>
                <w:sz w:val="24"/>
              </w:rPr>
              <w:t>（1）危险废物的收集</w:t>
            </w:r>
          </w:p>
          <w:p w14:paraId="44BB3347">
            <w:pPr>
              <w:spacing w:line="480" w:lineRule="exact"/>
              <w:ind w:firstLine="480" w:firstLineChars="200"/>
              <w:rPr>
                <w:kern w:val="0"/>
                <w:sz w:val="24"/>
              </w:rPr>
            </w:pPr>
            <w:r>
              <w:rPr>
                <w:kern w:val="0"/>
                <w:sz w:val="24"/>
              </w:rPr>
              <w:t>废齿轮油装入铁桶中并加盖密封，与废油桶、废蓄电池暂存于</w:t>
            </w:r>
            <w:r>
              <w:rPr>
                <w:rFonts w:hint="eastAsia"/>
                <w:kern w:val="0"/>
                <w:sz w:val="24"/>
              </w:rPr>
              <w:t>危废贮存库</w:t>
            </w:r>
            <w:r>
              <w:rPr>
                <w:kern w:val="0"/>
                <w:sz w:val="24"/>
              </w:rPr>
              <w:t>内，主变及箱变更换的废变压器油直接委托有资质单位收集处置，泄漏的事故废油引入事故油池，委托有资质单位处置，均不在站内储存。应使用符合国家标准的专门容器分类收集，容器应不易破损、变形、老化，能有效地防止渗漏、扩散。在承装危险废物的容器及包装桶上需贴有标签，详细标明危险废物的名称、重量、成分、特性以及发生泄漏、扩散污染事故时的应急措施和补救方法。</w:t>
            </w:r>
          </w:p>
          <w:p w14:paraId="508F892A">
            <w:pPr>
              <w:spacing w:line="480" w:lineRule="exact"/>
              <w:ind w:firstLine="480" w:firstLineChars="200"/>
              <w:rPr>
                <w:kern w:val="0"/>
                <w:sz w:val="24"/>
              </w:rPr>
            </w:pPr>
            <w:r>
              <w:rPr>
                <w:kern w:val="0"/>
                <w:sz w:val="24"/>
              </w:rPr>
              <w:t>（2）危险废物储存场所环境影响分析</w:t>
            </w:r>
          </w:p>
          <w:p w14:paraId="18B48668">
            <w:pPr>
              <w:tabs>
                <w:tab w:val="left" w:pos="7380"/>
              </w:tabs>
              <w:spacing w:line="480" w:lineRule="exact"/>
              <w:ind w:firstLine="480" w:firstLineChars="200"/>
              <w:rPr>
                <w:kern w:val="0"/>
                <w:sz w:val="24"/>
              </w:rPr>
            </w:pPr>
            <w:r>
              <w:rPr>
                <w:kern w:val="0"/>
                <w:sz w:val="24"/>
              </w:rPr>
              <w:t>a.危险废物储存间应当参照《危险废物贮存污染控制标准》（GB 18597-2023）中的相关要求建设。</w:t>
            </w:r>
          </w:p>
          <w:p w14:paraId="176613DD">
            <w:pPr>
              <w:tabs>
                <w:tab w:val="left" w:pos="7380"/>
              </w:tabs>
              <w:spacing w:line="480" w:lineRule="exact"/>
              <w:ind w:firstLine="480" w:firstLineChars="200"/>
              <w:rPr>
                <w:kern w:val="0"/>
                <w:sz w:val="24"/>
              </w:rPr>
            </w:pPr>
            <w:r>
              <w:rPr>
                <w:kern w:val="0"/>
                <w:sz w:val="24"/>
              </w:rPr>
              <w:t>本项目</w:t>
            </w:r>
            <w:r>
              <w:rPr>
                <w:rFonts w:hint="eastAsia"/>
                <w:kern w:val="0"/>
                <w:sz w:val="24"/>
              </w:rPr>
              <w:t>危废贮存库</w:t>
            </w:r>
            <w:r>
              <w:rPr>
                <w:kern w:val="0"/>
                <w:sz w:val="24"/>
              </w:rPr>
              <w:t>应采取防风、防晒、防雨、防漏、防渗、防腐以及其他环境污染防治措施。根据本项目危险废物的类别、数量、形态、物理化学性质等分区贮存，避免不相容的危险废物接触、混合。</w:t>
            </w:r>
            <w:r>
              <w:rPr>
                <w:rFonts w:hint="eastAsia"/>
                <w:kern w:val="0"/>
                <w:sz w:val="24"/>
              </w:rPr>
              <w:t>危废贮存库</w:t>
            </w:r>
            <w:r>
              <w:rPr>
                <w:kern w:val="0"/>
                <w:sz w:val="24"/>
              </w:rPr>
              <w:t>内地面、墙面裙脚、堵截泄漏的围堰、接触危险废物的隔板和墙体等应采用坚固的材料建造，表面无裂缝。地面与裙脚采取表面防渗措施，</w:t>
            </w:r>
            <w:r>
              <w:rPr>
                <w:sz w:val="24"/>
              </w:rPr>
              <w:t>防渗层为至少1m厚黏土层（渗透系数≤10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w:t>
            </w:r>
            <w:r>
              <w:rPr>
                <w:kern w:val="0"/>
                <w:sz w:val="24"/>
              </w:rPr>
              <w:t>。</w:t>
            </w:r>
          </w:p>
          <w:p w14:paraId="339D7205">
            <w:pPr>
              <w:tabs>
                <w:tab w:val="left" w:pos="7380"/>
              </w:tabs>
              <w:spacing w:line="480" w:lineRule="exact"/>
              <w:ind w:firstLine="480" w:firstLineChars="200"/>
              <w:rPr>
                <w:kern w:val="0"/>
                <w:sz w:val="24"/>
              </w:rPr>
            </w:pPr>
            <w:r>
              <w:rPr>
                <w:kern w:val="0"/>
                <w:sz w:val="24"/>
              </w:rPr>
              <w:t>同时设置液体泄漏堵截设施，堵截设施最小容积不应低于对应贮存区域最大液态废物容器容积或液态废物总储量1/10。在</w:t>
            </w:r>
            <w:r>
              <w:rPr>
                <w:rFonts w:hint="eastAsia"/>
                <w:kern w:val="0"/>
                <w:sz w:val="24"/>
              </w:rPr>
              <w:t>危废贮存库</w:t>
            </w:r>
            <w:r>
              <w:rPr>
                <w:kern w:val="0"/>
                <w:sz w:val="24"/>
              </w:rPr>
              <w:t>外设立危险废物标志，最后委托有资质的单位按照相关规定进行处理。</w:t>
            </w:r>
          </w:p>
          <w:p w14:paraId="7EEF734A">
            <w:pPr>
              <w:widowControl/>
              <w:adjustRightInd w:val="0"/>
              <w:snapToGrid w:val="0"/>
              <w:spacing w:line="480" w:lineRule="exact"/>
              <w:ind w:firstLine="480" w:firstLineChars="200"/>
              <w:rPr>
                <w:sz w:val="24"/>
              </w:rPr>
            </w:pPr>
            <w:r>
              <w:rPr>
                <w:sz w:val="24"/>
              </w:rPr>
              <w:t>贮油池：建设单位拟在升压站内的主变压器下设置贮油坑（共1座）用于收集事故期的变压器油，贮油池设置满足《火力发电厂与升压站设计防火标准》（GB50229-2019）要求。贮油池底设有排油管，变压器在发生事故时，将事故油排至主变压器附近的总事故油池中临时贮存，最终拟交由具有相应资质的单位进行处置。</w:t>
            </w:r>
          </w:p>
          <w:p w14:paraId="61A28A41">
            <w:pPr>
              <w:tabs>
                <w:tab w:val="left" w:pos="7380"/>
              </w:tabs>
              <w:spacing w:line="480" w:lineRule="exact"/>
              <w:ind w:firstLine="480" w:firstLineChars="200"/>
              <w:rPr>
                <w:sz w:val="24"/>
              </w:rPr>
            </w:pPr>
            <w:r>
              <w:rPr>
                <w:sz w:val="24"/>
              </w:rPr>
              <w:t>事故油池：本项目拟在主变压器附近设置1座总容积为</w:t>
            </w:r>
            <w:r>
              <w:rPr>
                <w:rFonts w:hint="eastAsia"/>
                <w:sz w:val="24"/>
              </w:rPr>
              <w:t>90</w:t>
            </w:r>
            <w:r>
              <w:rPr>
                <w:sz w:val="24"/>
              </w:rPr>
              <w:t>m</w:t>
            </w:r>
            <w:r>
              <w:rPr>
                <w:sz w:val="24"/>
                <w:vertAlign w:val="superscript"/>
              </w:rPr>
              <w:t>3</w:t>
            </w:r>
            <w:r>
              <w:rPr>
                <w:sz w:val="24"/>
              </w:rPr>
              <w:t>的事故油池，事故油池设置满足《火力发电厂与升压站设计防火标准》（GB50229-2019）要求。</w:t>
            </w:r>
          </w:p>
          <w:p w14:paraId="0EA320F2">
            <w:pPr>
              <w:tabs>
                <w:tab w:val="left" w:pos="7380"/>
              </w:tabs>
              <w:spacing w:line="480" w:lineRule="exact"/>
              <w:ind w:firstLine="480" w:firstLineChars="200"/>
              <w:rPr>
                <w:kern w:val="0"/>
                <w:sz w:val="24"/>
              </w:rPr>
            </w:pPr>
            <w:r>
              <w:rPr>
                <w:kern w:val="0"/>
                <w:sz w:val="24"/>
              </w:rPr>
              <w:t>b.危险废物需按照《危险废物贮存污染控制标准》（GB18597-2023）中相关要求暂存于厂区危废贮存场所，要求使用符合标准的盛装容器分类存储，分别存放，并设置危险废物警示标志。</w:t>
            </w:r>
          </w:p>
          <w:p w14:paraId="3E4AEED4">
            <w:pPr>
              <w:tabs>
                <w:tab w:val="left" w:pos="7380"/>
              </w:tabs>
              <w:spacing w:line="480" w:lineRule="exact"/>
              <w:ind w:firstLine="480" w:firstLineChars="200"/>
              <w:rPr>
                <w:kern w:val="0"/>
                <w:sz w:val="24"/>
              </w:rPr>
            </w:pPr>
            <w:r>
              <w:rPr>
                <w:kern w:val="0"/>
                <w:sz w:val="24"/>
              </w:rPr>
              <w:t>c.危废管理</w:t>
            </w:r>
          </w:p>
          <w:p w14:paraId="12A1B230">
            <w:pPr>
              <w:tabs>
                <w:tab w:val="left" w:pos="7380"/>
              </w:tabs>
              <w:spacing w:line="480" w:lineRule="exact"/>
              <w:ind w:firstLine="480" w:firstLineChars="200"/>
              <w:rPr>
                <w:b/>
                <w:bCs/>
                <w:kern w:val="0"/>
                <w:sz w:val="24"/>
              </w:rPr>
            </w:pPr>
            <w:r>
              <w:rPr>
                <w:kern w:val="0"/>
                <w:sz w:val="24"/>
              </w:rPr>
              <w:t>承装危险废物的容器必须全部粘贴危险废物标识；危险废物由公司的生产部门收集，贴上标签，标签上明确名称、编号、危险性、日期及质量，然后送入</w:t>
            </w:r>
            <w:r>
              <w:rPr>
                <w:rFonts w:hint="eastAsia"/>
                <w:kern w:val="0"/>
                <w:sz w:val="24"/>
              </w:rPr>
              <w:t>危废贮存库</w:t>
            </w:r>
            <w:r>
              <w:rPr>
                <w:kern w:val="0"/>
                <w:sz w:val="24"/>
              </w:rPr>
              <w:t>办理入库手续。存放期内，管理人员必须进行入库登记、分类存放、检查和维护。</w:t>
            </w:r>
          </w:p>
          <w:p w14:paraId="79EA20FD">
            <w:pPr>
              <w:tabs>
                <w:tab w:val="left" w:pos="7380"/>
              </w:tabs>
              <w:spacing w:line="480" w:lineRule="exact"/>
              <w:ind w:firstLine="480" w:firstLineChars="200"/>
              <w:rPr>
                <w:kern w:val="0"/>
                <w:sz w:val="24"/>
              </w:rPr>
            </w:pPr>
            <w:r>
              <w:rPr>
                <w:kern w:val="0"/>
                <w:sz w:val="24"/>
              </w:rPr>
              <w:t>项目</w:t>
            </w:r>
            <w:r>
              <w:rPr>
                <w:rFonts w:hint="eastAsia"/>
                <w:kern w:val="0"/>
                <w:sz w:val="24"/>
              </w:rPr>
              <w:t>危废贮存库</w:t>
            </w:r>
            <w:r>
              <w:rPr>
                <w:kern w:val="0"/>
                <w:sz w:val="24"/>
              </w:rPr>
              <w:t>、事故油池的储存能力均满足环保要求，</w:t>
            </w:r>
            <w:r>
              <w:rPr>
                <w:rFonts w:hint="eastAsia"/>
                <w:kern w:val="0"/>
                <w:sz w:val="24"/>
              </w:rPr>
              <w:t>液态</w:t>
            </w:r>
            <w:r>
              <w:rPr>
                <w:kern w:val="0"/>
                <w:sz w:val="24"/>
              </w:rPr>
              <w:t>危险废物采用桶装的密闭包装方式，在贮存过程中不会产生挥发性气体污染环境空气，正常情况下不会发生泄漏，一旦发生泄漏可以及时收集，故不会对地表水、地下水、土壤产生污染。</w:t>
            </w:r>
          </w:p>
          <w:p w14:paraId="708C9469">
            <w:pPr>
              <w:tabs>
                <w:tab w:val="left" w:pos="7380"/>
              </w:tabs>
              <w:spacing w:line="480" w:lineRule="exact"/>
              <w:ind w:firstLine="480" w:firstLineChars="200"/>
              <w:rPr>
                <w:kern w:val="0"/>
                <w:sz w:val="24"/>
              </w:rPr>
            </w:pPr>
            <w:r>
              <w:rPr>
                <w:kern w:val="0"/>
                <w:sz w:val="24"/>
              </w:rPr>
              <w:t>（3）运输过程环境影响分析</w:t>
            </w:r>
          </w:p>
          <w:p w14:paraId="3C3DB017">
            <w:pPr>
              <w:tabs>
                <w:tab w:val="left" w:pos="7380"/>
              </w:tabs>
              <w:spacing w:line="480" w:lineRule="exact"/>
              <w:ind w:firstLine="480" w:firstLineChars="200"/>
              <w:rPr>
                <w:kern w:val="0"/>
                <w:sz w:val="24"/>
              </w:rPr>
            </w:pPr>
            <w:r>
              <w:rPr>
                <w:kern w:val="0"/>
                <w:sz w:val="24"/>
              </w:rPr>
              <w:t>危险废物从生产装置区运送到</w:t>
            </w:r>
            <w:r>
              <w:rPr>
                <w:rFonts w:hint="eastAsia"/>
                <w:kern w:val="0"/>
                <w:sz w:val="24"/>
              </w:rPr>
              <w:t>危废贮存库</w:t>
            </w:r>
            <w:r>
              <w:rPr>
                <w:kern w:val="0"/>
                <w:sz w:val="24"/>
              </w:rPr>
              <w:t>，运送过程中液态废物均密封在包装桶内，并且运送距离很短，因此危险废物产生散落、泄漏的可能性很小；即使散落或泄漏，也能够及时收集；由于危险废物运输量较少，且运输沿途道路地面均为硬化处理，故项目危险废物在厂内运输过程基本不会对周围环境产生影响。</w:t>
            </w:r>
          </w:p>
          <w:p w14:paraId="7FD695A2">
            <w:pPr>
              <w:tabs>
                <w:tab w:val="left" w:pos="7380"/>
              </w:tabs>
              <w:spacing w:line="480" w:lineRule="exact"/>
              <w:ind w:firstLine="480" w:firstLineChars="200"/>
              <w:rPr>
                <w:kern w:val="0"/>
                <w:sz w:val="24"/>
              </w:rPr>
            </w:pPr>
            <w:r>
              <w:rPr>
                <w:kern w:val="0"/>
                <w:sz w:val="24"/>
              </w:rPr>
              <w:t>本项目危险废物委托有资质单位采用专用密封厢式车进行运输，从而保证运输过程中无抛、洒、滴、漏现象发生。各类危险废物在运输过程中应满足《危险货物运输包装通用技术条件》（GB12463-2009)和《危险废物收集贮存运输技术规范》（HJ2025-2012）中的具体要求。对于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14:paraId="64E7DB6B">
            <w:pPr>
              <w:spacing w:line="480" w:lineRule="exact"/>
              <w:ind w:firstLine="480" w:firstLineChars="200"/>
              <w:jc w:val="left"/>
              <w:rPr>
                <w:kern w:val="0"/>
                <w:sz w:val="24"/>
              </w:rPr>
            </w:pPr>
            <w:r>
              <w:rPr>
                <w:kern w:val="0"/>
                <w:sz w:val="24"/>
              </w:rPr>
              <w:t>（4）委托处置过程环境影响分析</w:t>
            </w:r>
          </w:p>
          <w:p w14:paraId="48523779">
            <w:pPr>
              <w:tabs>
                <w:tab w:val="left" w:pos="7380"/>
              </w:tabs>
              <w:spacing w:line="480" w:lineRule="exact"/>
              <w:ind w:firstLine="480" w:firstLineChars="200"/>
              <w:rPr>
                <w:kern w:val="0"/>
                <w:sz w:val="24"/>
              </w:rPr>
            </w:pPr>
            <w:r>
              <w:rPr>
                <w:kern w:val="0"/>
                <w:sz w:val="24"/>
              </w:rPr>
              <w:t>本项目产生的废齿轮油</w:t>
            </w:r>
            <w:r>
              <w:rPr>
                <w:rFonts w:hint="eastAsia"/>
                <w:kern w:val="0"/>
                <w:sz w:val="24"/>
              </w:rPr>
              <w:t>、</w:t>
            </w:r>
            <w:r>
              <w:rPr>
                <w:kern w:val="0"/>
                <w:sz w:val="24"/>
              </w:rPr>
              <w:t>废油桶、废蓄电池</w:t>
            </w:r>
            <w:r>
              <w:rPr>
                <w:rFonts w:hint="eastAsia"/>
                <w:kern w:val="0"/>
                <w:sz w:val="24"/>
              </w:rPr>
              <w:t>等</w:t>
            </w:r>
            <w:r>
              <w:rPr>
                <w:kern w:val="0"/>
                <w:sz w:val="24"/>
              </w:rPr>
              <w:t>危险废物，定期交由有资质单位处理</w:t>
            </w:r>
            <w:r>
              <w:rPr>
                <w:rFonts w:hint="eastAsia"/>
                <w:kern w:val="0"/>
                <w:sz w:val="24"/>
              </w:rPr>
              <w:t>；</w:t>
            </w:r>
            <w:r>
              <w:rPr>
                <w:kern w:val="0"/>
                <w:sz w:val="24"/>
              </w:rPr>
              <w:t>废变压器油</w:t>
            </w:r>
            <w:r>
              <w:rPr>
                <w:rFonts w:hint="eastAsia"/>
                <w:kern w:val="0"/>
                <w:sz w:val="24"/>
              </w:rPr>
              <w:t>随产随清，不在厂区内暂存</w:t>
            </w:r>
            <w:r>
              <w:rPr>
                <w:kern w:val="0"/>
                <w:sz w:val="24"/>
              </w:rPr>
              <w:t>，</w:t>
            </w:r>
            <w:r>
              <w:rPr>
                <w:rFonts w:hint="eastAsia"/>
                <w:kern w:val="0"/>
                <w:sz w:val="24"/>
              </w:rPr>
              <w:t>按照检修计划联系</w:t>
            </w:r>
            <w:r>
              <w:rPr>
                <w:kern w:val="0"/>
                <w:sz w:val="24"/>
              </w:rPr>
              <w:t>有</w:t>
            </w:r>
            <w:r>
              <w:rPr>
                <w:rFonts w:hint="eastAsia"/>
                <w:kern w:val="0"/>
                <w:sz w:val="24"/>
              </w:rPr>
              <w:t>资质</w:t>
            </w:r>
            <w:r>
              <w:rPr>
                <w:kern w:val="0"/>
                <w:sz w:val="24"/>
              </w:rPr>
              <w:t>单位</w:t>
            </w:r>
            <w:r>
              <w:rPr>
                <w:rFonts w:hint="eastAsia"/>
                <w:kern w:val="0"/>
                <w:sz w:val="24"/>
              </w:rPr>
              <w:t>运输及处置，</w:t>
            </w:r>
            <w:r>
              <w:rPr>
                <w:kern w:val="0"/>
                <w:sz w:val="24"/>
              </w:rPr>
              <w:t>不会产生显著的环境影响。</w:t>
            </w:r>
          </w:p>
          <w:p w14:paraId="0B190C3F">
            <w:pPr>
              <w:spacing w:line="480" w:lineRule="exact"/>
              <w:ind w:firstLine="480" w:firstLineChars="200"/>
              <w:jc w:val="left"/>
              <w:rPr>
                <w:kern w:val="0"/>
                <w:sz w:val="24"/>
              </w:rPr>
            </w:pPr>
            <w:r>
              <w:rPr>
                <w:kern w:val="0"/>
                <w:sz w:val="24"/>
              </w:rPr>
              <w:t>（5）危险废物环境管理要求</w:t>
            </w:r>
          </w:p>
          <w:p w14:paraId="1DF45569">
            <w:pPr>
              <w:spacing w:line="480" w:lineRule="exact"/>
              <w:ind w:firstLine="480" w:firstLineChars="200"/>
              <w:jc w:val="left"/>
              <w:rPr>
                <w:kern w:val="0"/>
                <w:sz w:val="24"/>
              </w:rPr>
            </w:pPr>
            <w:r>
              <w:rPr>
                <w:kern w:val="0"/>
                <w:sz w:val="24"/>
              </w:rPr>
              <w:t>a. 全过程监管要求</w:t>
            </w:r>
          </w:p>
          <w:p w14:paraId="2506008C">
            <w:pPr>
              <w:spacing w:line="480" w:lineRule="exact"/>
              <w:ind w:firstLine="480" w:firstLineChars="200"/>
              <w:jc w:val="left"/>
              <w:rPr>
                <w:kern w:val="0"/>
                <w:sz w:val="24"/>
              </w:rPr>
            </w:pPr>
            <w:r>
              <w:rPr>
                <w:kern w:val="0"/>
                <w:sz w:val="24"/>
              </w:rPr>
              <w:t>建设单位运营过程应该对产生的危险废物从收集、贮存、运输、利用、处置各环节进行全过程的监管，各环节应严格执行《危险废物收集、贮存、运输技术规范》（HJ2025-2012）的相关要求。</w:t>
            </w:r>
          </w:p>
          <w:p w14:paraId="127CF06D">
            <w:pPr>
              <w:spacing w:line="480" w:lineRule="exact"/>
              <w:ind w:firstLine="480" w:firstLineChars="200"/>
              <w:jc w:val="left"/>
              <w:rPr>
                <w:kern w:val="0"/>
                <w:sz w:val="24"/>
              </w:rPr>
            </w:pPr>
            <w:r>
              <w:rPr>
                <w:kern w:val="0"/>
                <w:sz w:val="24"/>
              </w:rPr>
              <w:t>危险废物暂存过程中应满足《危险废物贮存污染控制标准》（GB18597-</w:t>
            </w:r>
          </w:p>
          <w:p w14:paraId="5A5E9DE5">
            <w:pPr>
              <w:spacing w:line="480" w:lineRule="exact"/>
              <w:jc w:val="left"/>
              <w:rPr>
                <w:kern w:val="0"/>
                <w:sz w:val="24"/>
              </w:rPr>
            </w:pPr>
            <w:r>
              <w:rPr>
                <w:kern w:val="0"/>
                <w:sz w:val="24"/>
              </w:rPr>
              <w:t>2023）中的相关规定。</w:t>
            </w:r>
          </w:p>
          <w:p w14:paraId="1C8EBEFF">
            <w:pPr>
              <w:spacing w:line="480" w:lineRule="exact"/>
              <w:ind w:firstLine="480" w:firstLineChars="200"/>
              <w:jc w:val="left"/>
              <w:rPr>
                <w:kern w:val="0"/>
                <w:sz w:val="24"/>
              </w:rPr>
            </w:pPr>
            <w:r>
              <w:rPr>
                <w:kern w:val="0"/>
                <w:sz w:val="24"/>
              </w:rPr>
              <w:t>危险废物在转移过程中，应严格执行《危险废物转移联单管理办法》（原国家环境保护总局令第5号）的相关规定。</w:t>
            </w:r>
          </w:p>
          <w:p w14:paraId="7C07B5C6">
            <w:pPr>
              <w:spacing w:line="480" w:lineRule="exact"/>
              <w:ind w:firstLine="480" w:firstLineChars="200"/>
              <w:jc w:val="left"/>
              <w:rPr>
                <w:kern w:val="0"/>
                <w:sz w:val="24"/>
              </w:rPr>
            </w:pPr>
            <w:r>
              <w:rPr>
                <w:kern w:val="0"/>
                <w:sz w:val="24"/>
              </w:rPr>
              <w:t>b. 日常管理要求</w:t>
            </w:r>
          </w:p>
          <w:p w14:paraId="2E0800C4">
            <w:pPr>
              <w:spacing w:line="480" w:lineRule="exact"/>
              <w:ind w:firstLine="480" w:firstLineChars="200"/>
              <w:jc w:val="left"/>
              <w:rPr>
                <w:kern w:val="0"/>
                <w:sz w:val="24"/>
              </w:rPr>
            </w:pPr>
            <w:r>
              <w:rPr>
                <w:kern w:val="0"/>
                <w:sz w:val="24"/>
              </w:rPr>
              <w:t>1）设专职人员负责本厂内的废物管理并对委托的有资质废物处理单位进行监督。</w:t>
            </w:r>
          </w:p>
          <w:p w14:paraId="22430427">
            <w:pPr>
              <w:spacing w:line="480" w:lineRule="exact"/>
              <w:ind w:firstLine="480" w:firstLineChars="200"/>
              <w:jc w:val="left"/>
              <w:rPr>
                <w:kern w:val="0"/>
                <w:sz w:val="24"/>
              </w:rPr>
            </w:pPr>
            <w:r>
              <w:rPr>
                <w:kern w:val="0"/>
                <w:sz w:val="24"/>
              </w:rPr>
              <w:t>2）对全部废物进行分类界定，对列入危险废物名录中的废物登记建账进行全过程监管。</w:t>
            </w:r>
          </w:p>
          <w:p w14:paraId="64D226F4">
            <w:pPr>
              <w:spacing w:line="480" w:lineRule="exact"/>
              <w:ind w:firstLine="480" w:firstLineChars="200"/>
              <w:jc w:val="left"/>
              <w:rPr>
                <w:kern w:val="0"/>
                <w:sz w:val="24"/>
              </w:rPr>
            </w:pPr>
            <w:r>
              <w:rPr>
                <w:kern w:val="0"/>
                <w:sz w:val="24"/>
              </w:rPr>
              <w:t>3）根据危险废物的性质、形态，选择安全的包装材料和包装方式，包装容器的外面必须有表示废物形态、性质的明显标志，并向运输者和接受者提供安全保护要求的文字说明。</w:t>
            </w:r>
          </w:p>
          <w:p w14:paraId="36DF1E73">
            <w:pPr>
              <w:spacing w:line="480" w:lineRule="exact"/>
              <w:ind w:firstLine="480" w:firstLineChars="200"/>
              <w:jc w:val="left"/>
              <w:rPr>
                <w:kern w:val="0"/>
                <w:sz w:val="24"/>
              </w:rPr>
            </w:pPr>
            <w:r>
              <w:rPr>
                <w:kern w:val="0"/>
                <w:sz w:val="24"/>
              </w:rPr>
              <w:t>4）禁止将危险废物与一般固体废物、生活垃圾及其它废物混合堆放。</w:t>
            </w:r>
          </w:p>
          <w:p w14:paraId="26C0817E">
            <w:pPr>
              <w:spacing w:line="480" w:lineRule="exact"/>
              <w:ind w:firstLine="480" w:firstLineChars="200"/>
              <w:jc w:val="left"/>
              <w:rPr>
                <w:kern w:val="0"/>
                <w:sz w:val="24"/>
              </w:rPr>
            </w:pPr>
            <w:r>
              <w:rPr>
                <w:kern w:val="0"/>
                <w:sz w:val="24"/>
              </w:rPr>
              <w:t>5）定期向生态环境部门汇报固体废物的处置情况，接受生态环境部门的指导和监督管理。</w:t>
            </w:r>
          </w:p>
          <w:p w14:paraId="055D969B">
            <w:pPr>
              <w:spacing w:line="480" w:lineRule="exact"/>
              <w:ind w:firstLine="480" w:firstLineChars="200"/>
              <w:jc w:val="left"/>
              <w:rPr>
                <w:kern w:val="0"/>
                <w:sz w:val="24"/>
              </w:rPr>
            </w:pPr>
            <w:r>
              <w:rPr>
                <w:kern w:val="0"/>
                <w:sz w:val="24"/>
              </w:rPr>
              <w:t>（6）结论</w:t>
            </w:r>
          </w:p>
          <w:p w14:paraId="18580070">
            <w:pPr>
              <w:adjustRightInd w:val="0"/>
              <w:snapToGrid w:val="0"/>
              <w:spacing w:line="480" w:lineRule="exact"/>
              <w:ind w:firstLine="480" w:firstLineChars="200"/>
              <w:rPr>
                <w:sz w:val="24"/>
              </w:rPr>
            </w:pPr>
            <w:r>
              <w:rPr>
                <w:kern w:val="0"/>
                <w:sz w:val="24"/>
              </w:rPr>
              <w:t>在建设单位严格对项目产生的危险废物进行全过程管理并落实相关要求的条件下，本项目危险废物处理可行、贮存合理，不会对环境造成二次污染。</w:t>
            </w:r>
          </w:p>
          <w:p w14:paraId="7ED02C93">
            <w:pPr>
              <w:widowControl/>
              <w:adjustRightInd w:val="0"/>
              <w:snapToGrid w:val="0"/>
              <w:spacing w:line="480" w:lineRule="exact"/>
              <w:ind w:firstLine="480" w:firstLineChars="200"/>
              <w:rPr>
                <w:sz w:val="24"/>
              </w:rPr>
            </w:pPr>
            <w:r>
              <w:rPr>
                <w:sz w:val="24"/>
              </w:rPr>
              <w:t>综上，在建设单位严格对本项目的危险废物进行全过程管理并落实相关要求的条件下，本项目危险废物处理可行、贮存合理，不会对环境造成二次污染。</w:t>
            </w:r>
          </w:p>
          <w:p w14:paraId="541FCA35">
            <w:pPr>
              <w:spacing w:line="480" w:lineRule="exact"/>
              <w:ind w:firstLine="482" w:firstLineChars="200"/>
              <w:outlineLvl w:val="1"/>
              <w:rPr>
                <w:b/>
                <w:bCs/>
                <w:kern w:val="0"/>
                <w:sz w:val="24"/>
              </w:rPr>
            </w:pPr>
            <w:r>
              <w:rPr>
                <w:b/>
                <w:bCs/>
                <w:kern w:val="0"/>
                <w:sz w:val="24"/>
              </w:rPr>
              <w:t>6、地下水环境及土壤环境保护措施</w:t>
            </w:r>
          </w:p>
          <w:p w14:paraId="2DCE6F45">
            <w:pPr>
              <w:spacing w:line="480" w:lineRule="exact"/>
              <w:ind w:firstLine="480" w:firstLineChars="200"/>
              <w:rPr>
                <w:sz w:val="24"/>
              </w:rPr>
            </w:pPr>
            <w:r>
              <w:rPr>
                <w:rFonts w:hint="eastAsia"/>
                <w:sz w:val="24"/>
              </w:rPr>
              <w:t>项目运营期废气仅为食堂油烟，为气态物质且排放量小，不会对土壤及地下水环境产生影响。</w:t>
            </w:r>
            <w:r>
              <w:rPr>
                <w:sz w:val="24"/>
              </w:rPr>
              <w:t>为了避免本项目运营期</w:t>
            </w:r>
            <w:r>
              <w:rPr>
                <w:rFonts w:hint="eastAsia"/>
                <w:sz w:val="24"/>
              </w:rPr>
              <w:t>风机处、站内危废贮存库</w:t>
            </w:r>
            <w:r>
              <w:rPr>
                <w:sz w:val="24"/>
              </w:rPr>
              <w:t>、</w:t>
            </w:r>
            <w:r>
              <w:rPr>
                <w:rFonts w:hint="eastAsia"/>
                <w:sz w:val="24"/>
              </w:rPr>
              <w:t>贮油池、各</w:t>
            </w:r>
            <w:r>
              <w:rPr>
                <w:sz w:val="24"/>
              </w:rPr>
              <w:t>事故油池</w:t>
            </w:r>
            <w:r>
              <w:rPr>
                <w:rFonts w:hint="eastAsia"/>
                <w:sz w:val="24"/>
              </w:rPr>
              <w:t>、蓄电池室内等处风险物质发</w:t>
            </w:r>
            <w:r>
              <w:rPr>
                <w:sz w:val="24"/>
              </w:rPr>
              <w:t>生跑、冒、滴、漏</w:t>
            </w:r>
            <w:r>
              <w:rPr>
                <w:rFonts w:hint="eastAsia"/>
                <w:sz w:val="24"/>
              </w:rPr>
              <w:t>下渗</w:t>
            </w:r>
            <w:r>
              <w:rPr>
                <w:sz w:val="24"/>
              </w:rPr>
              <w:t>污染项目区域的土壤及地下水环境，需采取以下措施进行控制：</w:t>
            </w:r>
          </w:p>
          <w:p w14:paraId="21218547">
            <w:pPr>
              <w:spacing w:line="480" w:lineRule="exact"/>
              <w:ind w:firstLine="480" w:firstLineChars="200"/>
              <w:rPr>
                <w:sz w:val="24"/>
              </w:rPr>
            </w:pPr>
            <w:r>
              <w:rPr>
                <w:sz w:val="24"/>
              </w:rPr>
              <w:t>①源头控制措施</w:t>
            </w:r>
          </w:p>
          <w:p w14:paraId="3AD3715A">
            <w:pPr>
              <w:spacing w:line="480" w:lineRule="exact"/>
              <w:ind w:firstLine="480" w:firstLineChars="200"/>
              <w:rPr>
                <w:sz w:val="24"/>
              </w:rPr>
            </w:pPr>
            <w:r>
              <w:rPr>
                <w:rFonts w:hint="eastAsia"/>
                <w:sz w:val="24"/>
              </w:rPr>
              <w:t>对风机、变电站、蓄电池室、危废贮存库等定期进行检修，</w:t>
            </w:r>
            <w:r>
              <w:rPr>
                <w:sz w:val="24"/>
              </w:rPr>
              <w:t>防止和减少污染物的跑、冒、滴、漏</w:t>
            </w:r>
            <w:r>
              <w:rPr>
                <w:rFonts w:hint="eastAsia"/>
                <w:sz w:val="24"/>
              </w:rPr>
              <w:t>风险</w:t>
            </w:r>
            <w:r>
              <w:rPr>
                <w:sz w:val="24"/>
              </w:rPr>
              <w:t>。</w:t>
            </w:r>
          </w:p>
          <w:p w14:paraId="4FE6C6E4">
            <w:pPr>
              <w:spacing w:line="480" w:lineRule="exact"/>
              <w:ind w:firstLine="480" w:firstLineChars="200"/>
              <w:rPr>
                <w:sz w:val="24"/>
              </w:rPr>
            </w:pPr>
            <w:r>
              <w:rPr>
                <w:sz w:val="24"/>
              </w:rPr>
              <w:t>②分区防治措施</w:t>
            </w:r>
          </w:p>
          <w:p w14:paraId="2CA91954">
            <w:pPr>
              <w:spacing w:line="480" w:lineRule="exact"/>
              <w:ind w:firstLine="480" w:firstLineChars="200"/>
              <w:rPr>
                <w:sz w:val="24"/>
              </w:rPr>
            </w:pPr>
            <w:r>
              <w:rPr>
                <w:sz w:val="24"/>
              </w:rPr>
              <w:t>项目重点防渗区主要为</w:t>
            </w:r>
            <w:r>
              <w:rPr>
                <w:rFonts w:hint="eastAsia"/>
                <w:sz w:val="24"/>
              </w:rPr>
              <w:t>危废贮存库</w:t>
            </w:r>
            <w:r>
              <w:rPr>
                <w:sz w:val="24"/>
              </w:rPr>
              <w:t>、贮油池、事故油池</w:t>
            </w:r>
            <w:r>
              <w:rPr>
                <w:rFonts w:hint="eastAsia"/>
                <w:sz w:val="24"/>
              </w:rPr>
              <w:t>、蓄电池室</w:t>
            </w:r>
            <w:r>
              <w:rPr>
                <w:sz w:val="24"/>
              </w:rPr>
              <w:t>；其他区域为简单防渗区。</w:t>
            </w:r>
          </w:p>
          <w:p w14:paraId="57C681CB">
            <w:pPr>
              <w:spacing w:line="480" w:lineRule="exact"/>
              <w:ind w:firstLine="480" w:firstLineChars="200"/>
              <w:rPr>
                <w:sz w:val="24"/>
              </w:rPr>
            </w:pPr>
            <w:r>
              <w:rPr>
                <w:sz w:val="24"/>
              </w:rPr>
              <w:t>在施工过程中，要保质保量，杜绝出现裂、渗情况，应定期对污水管网等地面，侧壁进行检查，一旦出现裂、渗情况，要及时修理。</w:t>
            </w:r>
          </w:p>
          <w:p w14:paraId="0A50FA53">
            <w:pPr>
              <w:spacing w:line="480" w:lineRule="exact"/>
              <w:ind w:firstLine="480" w:firstLineChars="200"/>
              <w:rPr>
                <w:sz w:val="24"/>
              </w:rPr>
            </w:pPr>
            <w:r>
              <w:rPr>
                <w:sz w:val="24"/>
              </w:rPr>
              <w:t>本项目升压站防渗分区情况见下表。</w:t>
            </w:r>
          </w:p>
          <w:p w14:paraId="147D02A1">
            <w:pPr>
              <w:jc w:val="center"/>
              <w:outlineLvl w:val="3"/>
              <w:rPr>
                <w:b/>
                <w:bCs/>
                <w:szCs w:val="21"/>
              </w:rPr>
            </w:pPr>
            <w:r>
              <w:rPr>
                <w:b/>
                <w:bCs/>
                <w:szCs w:val="21"/>
              </w:rPr>
              <w:t>表</w:t>
            </w:r>
            <w:r>
              <w:rPr>
                <w:rFonts w:hint="eastAsia"/>
                <w:b/>
                <w:bCs/>
                <w:szCs w:val="21"/>
              </w:rPr>
              <w:t>5-3</w:t>
            </w:r>
            <w:r>
              <w:rPr>
                <w:b/>
                <w:bCs/>
                <w:szCs w:val="21"/>
              </w:rPr>
              <w:t xml:space="preserve">     本项目防渗分区及防渗防腐要求一览表</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87"/>
              <w:gridCol w:w="792"/>
              <w:gridCol w:w="4211"/>
              <w:gridCol w:w="1480"/>
            </w:tblGrid>
            <w:tr w14:paraId="1A361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tblHeader/>
                <w:jc w:val="center"/>
              </w:trPr>
              <w:tc>
                <w:tcPr>
                  <w:tcW w:w="1680" w:type="dxa"/>
                  <w:gridSpan w:val="2"/>
                  <w:tcBorders>
                    <w:tl2br w:val="nil"/>
                    <w:tr2bl w:val="nil"/>
                  </w:tcBorders>
                  <w:vAlign w:val="center"/>
                </w:tcPr>
                <w:p w14:paraId="6743BC40">
                  <w:pPr>
                    <w:adjustRightInd w:val="0"/>
                    <w:jc w:val="center"/>
                    <w:textAlignment w:val="baseline"/>
                    <w:rPr>
                      <w:kern w:val="0"/>
                      <w:szCs w:val="21"/>
                    </w:rPr>
                  </w:pPr>
                  <w:r>
                    <w:rPr>
                      <w:kern w:val="0"/>
                      <w:szCs w:val="21"/>
                    </w:rPr>
                    <w:t>防渗分区</w:t>
                  </w:r>
                </w:p>
              </w:tc>
              <w:tc>
                <w:tcPr>
                  <w:tcW w:w="4213" w:type="dxa"/>
                  <w:tcBorders>
                    <w:tl2br w:val="nil"/>
                    <w:tr2bl w:val="nil"/>
                  </w:tcBorders>
                  <w:vAlign w:val="center"/>
                </w:tcPr>
                <w:p w14:paraId="09ED76D4">
                  <w:pPr>
                    <w:adjustRightInd w:val="0"/>
                    <w:jc w:val="center"/>
                    <w:textAlignment w:val="baseline"/>
                    <w:rPr>
                      <w:kern w:val="0"/>
                      <w:szCs w:val="21"/>
                    </w:rPr>
                  </w:pPr>
                  <w:r>
                    <w:rPr>
                      <w:kern w:val="0"/>
                      <w:szCs w:val="21"/>
                    </w:rPr>
                    <w:t>防渗</w:t>
                  </w:r>
                  <w:r>
                    <w:rPr>
                      <w:rFonts w:hint="eastAsia"/>
                      <w:kern w:val="0"/>
                      <w:szCs w:val="21"/>
                    </w:rPr>
                    <w:t>措施</w:t>
                  </w:r>
                </w:p>
              </w:tc>
              <w:tc>
                <w:tcPr>
                  <w:tcW w:w="1477" w:type="dxa"/>
                  <w:tcBorders>
                    <w:tl2br w:val="nil"/>
                    <w:tr2bl w:val="nil"/>
                  </w:tcBorders>
                  <w:vAlign w:val="center"/>
                </w:tcPr>
                <w:p w14:paraId="38BB29F6">
                  <w:pPr>
                    <w:adjustRightInd w:val="0"/>
                    <w:jc w:val="center"/>
                    <w:textAlignment w:val="baseline"/>
                    <w:rPr>
                      <w:kern w:val="0"/>
                      <w:szCs w:val="21"/>
                    </w:rPr>
                  </w:pPr>
                  <w:r>
                    <w:rPr>
                      <w:rFonts w:hint="eastAsia"/>
                      <w:kern w:val="0"/>
                      <w:szCs w:val="21"/>
                    </w:rPr>
                    <w:t>防渗效果</w:t>
                  </w:r>
                </w:p>
              </w:tc>
            </w:tr>
            <w:tr w14:paraId="408AE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888" w:type="dxa"/>
                  <w:tcBorders>
                    <w:tl2br w:val="nil"/>
                    <w:tr2bl w:val="nil"/>
                  </w:tcBorders>
                  <w:vAlign w:val="center"/>
                </w:tcPr>
                <w:p w14:paraId="33B33551">
                  <w:pPr>
                    <w:adjustRightInd w:val="0"/>
                    <w:jc w:val="center"/>
                    <w:textAlignment w:val="baseline"/>
                    <w:rPr>
                      <w:kern w:val="0"/>
                      <w:szCs w:val="21"/>
                    </w:rPr>
                  </w:pPr>
                  <w:r>
                    <w:rPr>
                      <w:kern w:val="0"/>
                      <w:szCs w:val="21"/>
                    </w:rPr>
                    <w:t>重点防渗区</w:t>
                  </w:r>
                </w:p>
              </w:tc>
              <w:tc>
                <w:tcPr>
                  <w:tcW w:w="792" w:type="dxa"/>
                  <w:tcBorders>
                    <w:tl2br w:val="nil"/>
                    <w:tr2bl w:val="nil"/>
                  </w:tcBorders>
                  <w:vAlign w:val="center"/>
                </w:tcPr>
                <w:p w14:paraId="3949BA1B">
                  <w:pPr>
                    <w:adjustRightInd w:val="0"/>
                    <w:jc w:val="center"/>
                    <w:textAlignment w:val="baseline"/>
                    <w:rPr>
                      <w:kern w:val="0"/>
                      <w:szCs w:val="21"/>
                    </w:rPr>
                  </w:pPr>
                  <w:r>
                    <w:rPr>
                      <w:rFonts w:hint="eastAsia"/>
                      <w:kern w:val="0"/>
                      <w:szCs w:val="21"/>
                    </w:rPr>
                    <w:t>危废贮存库</w:t>
                  </w:r>
                  <w:r>
                    <w:rPr>
                      <w:kern w:val="0"/>
                      <w:szCs w:val="21"/>
                    </w:rPr>
                    <w:t>、事故油池、贮油池</w:t>
                  </w:r>
                  <w:r>
                    <w:rPr>
                      <w:rFonts w:hint="eastAsia"/>
                      <w:kern w:val="0"/>
                      <w:szCs w:val="21"/>
                    </w:rPr>
                    <w:t>、蓄电池室</w:t>
                  </w:r>
                </w:p>
              </w:tc>
              <w:tc>
                <w:tcPr>
                  <w:tcW w:w="4213" w:type="dxa"/>
                  <w:tcBorders>
                    <w:tl2br w:val="nil"/>
                    <w:tr2bl w:val="nil"/>
                  </w:tcBorders>
                  <w:vAlign w:val="center"/>
                </w:tcPr>
                <w:p w14:paraId="1ABDBCED">
                  <w:pPr>
                    <w:adjustRightInd w:val="0"/>
                    <w:jc w:val="center"/>
                    <w:textAlignment w:val="baseline"/>
                    <w:rPr>
                      <w:kern w:val="0"/>
                      <w:szCs w:val="21"/>
                    </w:rPr>
                  </w:pPr>
                  <w:r>
                    <w:rPr>
                      <w:rFonts w:hint="eastAsia"/>
                      <w:kern w:val="0"/>
                      <w:szCs w:val="21"/>
                    </w:rPr>
                    <w:t>危废贮存库</w:t>
                  </w:r>
                  <w:r>
                    <w:rPr>
                      <w:kern w:val="0"/>
                      <w:szCs w:val="21"/>
                    </w:rPr>
                    <w:t>地面与裙脚采取表面</w:t>
                  </w:r>
                  <w:r>
                    <w:rPr>
                      <w:rFonts w:hint="eastAsia"/>
                      <w:kern w:val="0"/>
                      <w:szCs w:val="21"/>
                    </w:rPr>
                    <w:t>防腐</w:t>
                  </w:r>
                  <w:r>
                    <w:rPr>
                      <w:kern w:val="0"/>
                      <w:szCs w:val="21"/>
                    </w:rPr>
                    <w:t>防渗措施，防渗层为至少1m厚黏土层，或2mm厚高密度聚乙烯，或至少2mm厚的其它人工材料</w:t>
                  </w:r>
                  <w:r>
                    <w:rPr>
                      <w:rFonts w:hint="eastAsia"/>
                      <w:kern w:val="0"/>
                      <w:szCs w:val="21"/>
                    </w:rPr>
                    <w:t>；</w:t>
                  </w:r>
                </w:p>
                <w:p w14:paraId="69E4974D">
                  <w:pPr>
                    <w:adjustRightInd w:val="0"/>
                    <w:jc w:val="center"/>
                    <w:textAlignment w:val="baseline"/>
                    <w:rPr>
                      <w:kern w:val="0"/>
                      <w:szCs w:val="21"/>
                    </w:rPr>
                  </w:pPr>
                  <w:r>
                    <w:rPr>
                      <w:rFonts w:hint="eastAsia"/>
                      <w:kern w:val="0"/>
                      <w:szCs w:val="21"/>
                    </w:rPr>
                    <w:t>贮油池、</w:t>
                  </w:r>
                  <w:r>
                    <w:rPr>
                      <w:kern w:val="0"/>
                      <w:szCs w:val="21"/>
                    </w:rPr>
                    <w:t>事故油池采用25cm抗渗混凝土浇筑，池体内部采用防水砂浆，外壁设置防水层，防水层为3mm+3mm厚双层自粘聚合物改性沥青防水卷材</w:t>
                  </w:r>
                  <w:r>
                    <w:rPr>
                      <w:rFonts w:hint="eastAsia"/>
                      <w:kern w:val="0"/>
                      <w:szCs w:val="21"/>
                    </w:rPr>
                    <w:t>；蓄电池室地面采取防腐</w:t>
                  </w:r>
                  <w:r>
                    <w:rPr>
                      <w:kern w:val="0"/>
                      <w:szCs w:val="21"/>
                    </w:rPr>
                    <w:t>防渗措施，</w:t>
                  </w:r>
                  <w:r>
                    <w:rPr>
                      <w:rFonts w:hint="eastAsia"/>
                      <w:kern w:val="0"/>
                      <w:szCs w:val="21"/>
                    </w:rPr>
                    <w:t>确保渗透系数</w:t>
                  </w:r>
                  <w:r>
                    <w:rPr>
                      <w:kern w:val="0"/>
                      <w:szCs w:val="21"/>
                    </w:rPr>
                    <w:t>≤1×10</w:t>
                  </w:r>
                  <w:r>
                    <w:rPr>
                      <w:kern w:val="0"/>
                      <w:szCs w:val="21"/>
                      <w:vertAlign w:val="superscript"/>
                    </w:rPr>
                    <w:t>-7</w:t>
                  </w:r>
                  <w:r>
                    <w:rPr>
                      <w:kern w:val="0"/>
                      <w:szCs w:val="21"/>
                    </w:rPr>
                    <w:t>cm/s</w:t>
                  </w:r>
                </w:p>
              </w:tc>
              <w:tc>
                <w:tcPr>
                  <w:tcW w:w="1477" w:type="dxa"/>
                  <w:tcBorders>
                    <w:tl2br w:val="nil"/>
                    <w:tr2bl w:val="nil"/>
                  </w:tcBorders>
                  <w:vAlign w:val="center"/>
                </w:tcPr>
                <w:p w14:paraId="444BFEC1">
                  <w:pPr>
                    <w:adjustRightInd w:val="0"/>
                    <w:jc w:val="center"/>
                    <w:textAlignment w:val="baseline"/>
                    <w:rPr>
                      <w:kern w:val="0"/>
                      <w:szCs w:val="21"/>
                    </w:rPr>
                  </w:pPr>
                  <w:r>
                    <w:rPr>
                      <w:kern w:val="0"/>
                      <w:szCs w:val="21"/>
                    </w:rPr>
                    <w:t>等效黏土防渗层 Mb≥6.0m，K≤1×10</w:t>
                  </w:r>
                  <w:r>
                    <w:rPr>
                      <w:kern w:val="0"/>
                      <w:szCs w:val="21"/>
                      <w:vertAlign w:val="superscript"/>
                    </w:rPr>
                    <w:t>-7</w:t>
                  </w:r>
                  <w:r>
                    <w:rPr>
                      <w:kern w:val="0"/>
                      <w:szCs w:val="21"/>
                    </w:rPr>
                    <w:t>cm/s；或参考GB18598执行</w:t>
                  </w:r>
                </w:p>
              </w:tc>
            </w:tr>
            <w:tr w14:paraId="61A5B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888" w:type="dxa"/>
                  <w:tcBorders>
                    <w:tl2br w:val="nil"/>
                    <w:tr2bl w:val="nil"/>
                  </w:tcBorders>
                  <w:vAlign w:val="center"/>
                </w:tcPr>
                <w:p w14:paraId="56623E4C">
                  <w:pPr>
                    <w:adjustRightInd w:val="0"/>
                    <w:jc w:val="center"/>
                    <w:textAlignment w:val="baseline"/>
                    <w:rPr>
                      <w:kern w:val="0"/>
                      <w:szCs w:val="21"/>
                    </w:rPr>
                  </w:pPr>
                  <w:r>
                    <w:rPr>
                      <w:kern w:val="0"/>
                      <w:szCs w:val="21"/>
                    </w:rPr>
                    <w:t>简单防渗区</w:t>
                  </w:r>
                </w:p>
              </w:tc>
              <w:tc>
                <w:tcPr>
                  <w:tcW w:w="792" w:type="dxa"/>
                  <w:tcBorders>
                    <w:tl2br w:val="nil"/>
                    <w:tr2bl w:val="nil"/>
                  </w:tcBorders>
                  <w:vAlign w:val="center"/>
                </w:tcPr>
                <w:p w14:paraId="79239D67">
                  <w:pPr>
                    <w:adjustRightInd w:val="0"/>
                    <w:jc w:val="center"/>
                    <w:textAlignment w:val="baseline"/>
                    <w:rPr>
                      <w:kern w:val="0"/>
                      <w:szCs w:val="21"/>
                    </w:rPr>
                  </w:pPr>
                  <w:r>
                    <w:rPr>
                      <w:kern w:val="0"/>
                      <w:szCs w:val="21"/>
                    </w:rPr>
                    <w:t>其他区域</w:t>
                  </w:r>
                </w:p>
              </w:tc>
              <w:tc>
                <w:tcPr>
                  <w:tcW w:w="4213" w:type="dxa"/>
                  <w:tcBorders>
                    <w:tl2br w:val="nil"/>
                    <w:tr2bl w:val="nil"/>
                  </w:tcBorders>
                  <w:vAlign w:val="center"/>
                </w:tcPr>
                <w:p w14:paraId="03F0E191">
                  <w:pPr>
                    <w:adjustRightInd w:val="0"/>
                    <w:jc w:val="center"/>
                    <w:textAlignment w:val="baseline"/>
                    <w:rPr>
                      <w:kern w:val="0"/>
                      <w:szCs w:val="21"/>
                    </w:rPr>
                  </w:pPr>
                  <w:r>
                    <w:rPr>
                      <w:rFonts w:hint="eastAsia"/>
                      <w:kern w:val="0"/>
                      <w:szCs w:val="21"/>
                    </w:rPr>
                    <w:t>蓄电池室内蓄电池下方设置托盘，站内及风机基础地面均进行混凝土硬化处理</w:t>
                  </w:r>
                </w:p>
              </w:tc>
              <w:tc>
                <w:tcPr>
                  <w:tcW w:w="1477" w:type="dxa"/>
                  <w:tcBorders>
                    <w:tl2br w:val="nil"/>
                    <w:tr2bl w:val="nil"/>
                  </w:tcBorders>
                  <w:vAlign w:val="center"/>
                </w:tcPr>
                <w:p w14:paraId="05CE5EE0">
                  <w:pPr>
                    <w:adjustRightInd w:val="0"/>
                    <w:jc w:val="center"/>
                    <w:textAlignment w:val="baseline"/>
                    <w:rPr>
                      <w:kern w:val="0"/>
                      <w:szCs w:val="21"/>
                    </w:rPr>
                  </w:pPr>
                  <w:r>
                    <w:rPr>
                      <w:rFonts w:hint="eastAsia"/>
                      <w:kern w:val="0"/>
                      <w:szCs w:val="21"/>
                    </w:rPr>
                    <w:t>/</w:t>
                  </w:r>
                </w:p>
              </w:tc>
            </w:tr>
          </w:tbl>
          <w:p w14:paraId="196D4827">
            <w:pPr>
              <w:spacing w:line="480" w:lineRule="exact"/>
              <w:ind w:firstLine="480" w:firstLineChars="200"/>
              <w:rPr>
                <w:sz w:val="24"/>
              </w:rPr>
            </w:pPr>
            <w:r>
              <w:rPr>
                <w:sz w:val="24"/>
              </w:rPr>
              <w:t>确保各项防渗措施得以落实，并加强维护和加强环境管理的前提下，可有效控制污染物下渗现象，避免污染土壤及地下水，本项目建设将不会对区域土壤环境及地下水环境产生明显影响。</w:t>
            </w:r>
          </w:p>
          <w:p w14:paraId="7E9AA246">
            <w:pPr>
              <w:spacing w:line="480" w:lineRule="exact"/>
              <w:ind w:firstLine="480" w:firstLineChars="200"/>
              <w:rPr>
                <w:sz w:val="24"/>
              </w:rPr>
            </w:pPr>
            <w:r>
              <w:rPr>
                <w:sz w:val="24"/>
              </w:rPr>
              <w:t>综上，本项目不会对周边水环境及土壤环境产生明显不利影响。</w:t>
            </w:r>
          </w:p>
          <w:p w14:paraId="6122CE0E">
            <w:pPr>
              <w:adjustRightInd w:val="0"/>
              <w:snapToGrid w:val="0"/>
              <w:spacing w:line="480" w:lineRule="exact"/>
              <w:ind w:firstLine="482" w:firstLineChars="200"/>
              <w:rPr>
                <w:b/>
                <w:bCs/>
                <w:sz w:val="24"/>
              </w:rPr>
            </w:pPr>
            <w:r>
              <w:rPr>
                <w:b/>
                <w:bCs/>
                <w:sz w:val="24"/>
              </w:rPr>
              <w:t>7、环境风险保护措施</w:t>
            </w:r>
          </w:p>
          <w:p w14:paraId="1A148CF5">
            <w:pPr>
              <w:spacing w:line="480" w:lineRule="exact"/>
              <w:ind w:firstLine="480" w:firstLineChars="200"/>
              <w:rPr>
                <w:sz w:val="24"/>
              </w:rPr>
            </w:pPr>
            <w:r>
              <w:rPr>
                <w:sz w:val="24"/>
              </w:rPr>
              <w:t>本项目环境风险主要为运行期环境风险，涉及的主要风险物质为</w:t>
            </w:r>
            <w:r>
              <w:rPr>
                <w:rFonts w:hint="eastAsia"/>
                <w:sz w:val="24"/>
              </w:rPr>
              <w:t>变压器油、齿轮油、废齿轮油、铅酸蓄电池、废铅酸蓄电池等</w:t>
            </w:r>
            <w:r>
              <w:rPr>
                <w:sz w:val="24"/>
              </w:rPr>
              <w:t>，类型主要包括：</w:t>
            </w:r>
            <w:r>
              <w:rPr>
                <w:rFonts w:hint="eastAsia"/>
                <w:sz w:val="24"/>
              </w:rPr>
              <w:t>风险物质泄漏风险</w:t>
            </w:r>
            <w:r>
              <w:rPr>
                <w:sz w:val="24"/>
              </w:rPr>
              <w:t>、火灾</w:t>
            </w:r>
            <w:r>
              <w:rPr>
                <w:rFonts w:hint="eastAsia"/>
                <w:sz w:val="24"/>
              </w:rPr>
              <w:t>及次生环境污染</w:t>
            </w:r>
            <w:r>
              <w:rPr>
                <w:sz w:val="24"/>
              </w:rPr>
              <w:t>风险等。</w:t>
            </w:r>
          </w:p>
          <w:p w14:paraId="0BB1B28B">
            <w:pPr>
              <w:spacing w:line="480" w:lineRule="exact"/>
              <w:ind w:firstLine="482" w:firstLineChars="200"/>
              <w:outlineLvl w:val="2"/>
              <w:rPr>
                <w:b/>
                <w:bCs/>
                <w:kern w:val="0"/>
                <w:sz w:val="24"/>
              </w:rPr>
            </w:pPr>
            <w:r>
              <w:rPr>
                <w:b/>
                <w:bCs/>
                <w:kern w:val="0"/>
                <w:sz w:val="24"/>
              </w:rPr>
              <w:t>7.1</w:t>
            </w:r>
            <w:r>
              <w:rPr>
                <w:rFonts w:hint="eastAsia"/>
                <w:b/>
                <w:bCs/>
                <w:kern w:val="0"/>
                <w:sz w:val="24"/>
              </w:rPr>
              <w:t>风险物质泄漏事故防范措施</w:t>
            </w:r>
          </w:p>
          <w:p w14:paraId="36028823">
            <w:pPr>
              <w:spacing w:line="480" w:lineRule="exact"/>
              <w:ind w:firstLine="480" w:firstLineChars="200"/>
              <w:rPr>
                <w:sz w:val="24"/>
              </w:rPr>
            </w:pPr>
            <w:r>
              <w:rPr>
                <w:sz w:val="24"/>
              </w:rPr>
              <w:t>为使环境风险减小到最低限度，必须加强劳动安全管理，制定完备、有效的安全防范措施，尽可能降低项目环境风险事故发生的概率。</w:t>
            </w:r>
          </w:p>
          <w:p w14:paraId="04B71EDE">
            <w:pPr>
              <w:spacing w:line="480" w:lineRule="exact"/>
              <w:ind w:firstLine="480" w:firstLineChars="200"/>
              <w:rPr>
                <w:sz w:val="24"/>
              </w:rPr>
            </w:pPr>
            <w:r>
              <w:rPr>
                <w:rFonts w:hint="eastAsia"/>
                <w:sz w:val="24"/>
              </w:rPr>
              <w:t>（1）</w:t>
            </w:r>
            <w:r>
              <w:rPr>
                <w:sz w:val="24"/>
              </w:rPr>
              <w:t>风电场区</w:t>
            </w:r>
            <w:r>
              <w:rPr>
                <w:rFonts w:hint="eastAsia"/>
                <w:sz w:val="24"/>
              </w:rPr>
              <w:t>泄漏事故</w:t>
            </w:r>
            <w:r>
              <w:rPr>
                <w:sz w:val="24"/>
              </w:rPr>
              <w:t>风险防范措施</w:t>
            </w:r>
          </w:p>
          <w:p w14:paraId="658B967E">
            <w:pPr>
              <w:spacing w:line="480" w:lineRule="exact"/>
              <w:ind w:firstLine="480" w:firstLineChars="200"/>
              <w:rPr>
                <w:sz w:val="24"/>
              </w:rPr>
            </w:pPr>
            <w:r>
              <w:rPr>
                <w:rFonts w:hint="eastAsia"/>
                <w:sz w:val="24"/>
              </w:rPr>
              <w:t>各风机箱变处建有事故油池，风机基础处进行混凝土硬化处理，基础处按照坡度可确保泄漏的齿轮油流入箱变配套的事故油池，</w:t>
            </w:r>
            <w:r>
              <w:rPr>
                <w:sz w:val="24"/>
              </w:rPr>
              <w:t>事故油池按单台变压器最大油量贮存能力设计，满足《高压配电装置设计技术规程》（DL/T5352-2018）及《火力发电厂与升压站设计防火标准》（GB50229-2019）相应设计容量要求。</w:t>
            </w:r>
            <w:r>
              <w:rPr>
                <w:rFonts w:hint="eastAsia"/>
                <w:sz w:val="24"/>
              </w:rPr>
              <w:t>事故油池</w:t>
            </w:r>
            <w:r>
              <w:rPr>
                <w:sz w:val="24"/>
              </w:rPr>
              <w:t>采用25cm抗渗混凝土浇筑，池体内部采用防水砂浆，外壁设置防水层，防水层为3mm+3mm厚双层自粘聚合物改性沥青防水卷材</w:t>
            </w:r>
            <w:r>
              <w:rPr>
                <w:rFonts w:hint="eastAsia"/>
                <w:sz w:val="24"/>
              </w:rPr>
              <w:t>。</w:t>
            </w:r>
          </w:p>
          <w:p w14:paraId="0FDA4750">
            <w:pPr>
              <w:spacing w:line="480" w:lineRule="exact"/>
              <w:ind w:firstLine="480" w:firstLineChars="200"/>
              <w:rPr>
                <w:sz w:val="24"/>
              </w:rPr>
            </w:pPr>
            <w:r>
              <w:rPr>
                <w:rFonts w:hint="eastAsia"/>
                <w:sz w:val="24"/>
              </w:rPr>
              <w:t>（2）升压站内泄漏事故风险防范措施</w:t>
            </w:r>
          </w:p>
          <w:p w14:paraId="632A9AA4">
            <w:pPr>
              <w:spacing w:line="480" w:lineRule="exact"/>
              <w:ind w:firstLine="480" w:firstLineChars="200"/>
              <w:rPr>
                <w:sz w:val="24"/>
              </w:rPr>
            </w:pPr>
            <w:r>
              <w:rPr>
                <w:sz w:val="24"/>
              </w:rPr>
              <w:t>①升压站内建有</w:t>
            </w:r>
            <w:r>
              <w:rPr>
                <w:rFonts w:hint="eastAsia"/>
                <w:sz w:val="24"/>
              </w:rPr>
              <w:t>贮油池</w:t>
            </w:r>
            <w:r>
              <w:rPr>
                <w:sz w:val="24"/>
              </w:rPr>
              <w:t>及事故油池，一旦发生事故，变压器油可通过管道排入事故油池</w:t>
            </w:r>
            <w:r>
              <w:rPr>
                <w:rFonts w:hint="eastAsia"/>
                <w:sz w:val="24"/>
              </w:rPr>
              <w:t>，事故油池容积满足相应文件设计容量要求</w:t>
            </w:r>
            <w:r>
              <w:rPr>
                <w:sz w:val="24"/>
              </w:rPr>
              <w:t>。</w:t>
            </w:r>
            <w:r>
              <w:rPr>
                <w:rFonts w:hint="eastAsia"/>
                <w:sz w:val="24"/>
              </w:rPr>
              <w:t>贮油池</w:t>
            </w:r>
            <w:r>
              <w:rPr>
                <w:sz w:val="24"/>
              </w:rPr>
              <w:t>及事故油池采用25cm抗渗混凝土浇筑，池体内部采用防水砂浆，外壁设置防水层，防水层为3mm+3mm厚双层自粘聚合物改性沥青防水卷材。事故油池顶部设盖板，防止雨水进入。</w:t>
            </w:r>
          </w:p>
          <w:p w14:paraId="64DA357F">
            <w:pPr>
              <w:spacing w:line="480" w:lineRule="exact"/>
              <w:ind w:firstLine="480" w:firstLineChars="200"/>
              <w:rPr>
                <w:sz w:val="24"/>
              </w:rPr>
            </w:pPr>
            <w:r>
              <w:rPr>
                <w:sz w:val="24"/>
              </w:rPr>
              <w:t>②</w:t>
            </w:r>
            <w:r>
              <w:rPr>
                <w:rFonts w:hint="eastAsia"/>
                <w:sz w:val="24"/>
              </w:rPr>
              <w:t>蓄电池室内蓄电池下方设置托盘，地面进行混凝土硬化处理并采取防腐防渗措施，确保渗透系数≤1×10</w:t>
            </w:r>
            <w:r>
              <w:rPr>
                <w:rFonts w:hint="eastAsia"/>
                <w:sz w:val="24"/>
                <w:vertAlign w:val="superscript"/>
              </w:rPr>
              <w:t>-7</w:t>
            </w:r>
            <w:r>
              <w:rPr>
                <w:rFonts w:hint="eastAsia"/>
                <w:sz w:val="24"/>
              </w:rPr>
              <w:t>cm/s，防止蓄电池内酸液泄漏并流散至站内地面。</w:t>
            </w:r>
          </w:p>
          <w:p w14:paraId="6A0EDC96">
            <w:pPr>
              <w:spacing w:line="480" w:lineRule="exact"/>
              <w:ind w:firstLine="480" w:firstLineChars="200"/>
              <w:rPr>
                <w:bCs/>
                <w:sz w:val="24"/>
              </w:rPr>
            </w:pPr>
            <w:r>
              <w:rPr>
                <w:sz w:val="24"/>
              </w:rPr>
              <w:t>③废齿轮油由铁桶盛装，并暂存于升压站内的</w:t>
            </w:r>
            <w:r>
              <w:rPr>
                <w:rFonts w:hint="eastAsia"/>
                <w:sz w:val="24"/>
              </w:rPr>
              <w:t>危废贮存库</w:t>
            </w:r>
            <w:r>
              <w:rPr>
                <w:sz w:val="24"/>
              </w:rPr>
              <w:t>内，定期交由有资质单位处置。废蓄电池由防渗流托盘盛装暂存于升压站内的</w:t>
            </w:r>
            <w:r>
              <w:rPr>
                <w:rFonts w:hint="eastAsia"/>
                <w:sz w:val="24"/>
              </w:rPr>
              <w:t>危废贮存库</w:t>
            </w:r>
            <w:r>
              <w:rPr>
                <w:sz w:val="24"/>
              </w:rPr>
              <w:t>，定期交由有资质单位处置。且</w:t>
            </w:r>
            <w:r>
              <w:rPr>
                <w:rFonts w:hint="eastAsia"/>
                <w:sz w:val="24"/>
              </w:rPr>
              <w:t>危废贮存库</w:t>
            </w:r>
            <w:r>
              <w:rPr>
                <w:sz w:val="24"/>
              </w:rPr>
              <w:t>采取重点防渗，</w:t>
            </w:r>
            <w:r>
              <w:rPr>
                <w:bCs/>
                <w:sz w:val="24"/>
              </w:rPr>
              <w:t>防渗层为至少1m厚黏土层，或至少2mm厚高密度聚乙烯膜等人工防渗材料，或其他防渗性能等效的材料（渗透系数不大于10</w:t>
            </w:r>
            <w:r>
              <w:rPr>
                <w:bCs/>
                <w:sz w:val="24"/>
                <w:vertAlign w:val="superscript"/>
              </w:rPr>
              <w:t>-10</w:t>
            </w:r>
            <w:r>
              <w:rPr>
                <w:bCs/>
                <w:sz w:val="24"/>
              </w:rPr>
              <w:t>cm/s）。</w:t>
            </w:r>
          </w:p>
          <w:p w14:paraId="338EAD1C">
            <w:pPr>
              <w:spacing w:line="480" w:lineRule="exact"/>
              <w:ind w:firstLine="480" w:firstLineChars="200"/>
              <w:rPr>
                <w:sz w:val="24"/>
              </w:rPr>
            </w:pPr>
            <w:r>
              <w:rPr>
                <w:sz w:val="24"/>
              </w:rPr>
              <w:t>④本项目</w:t>
            </w:r>
            <w:r>
              <w:rPr>
                <w:rFonts w:hint="eastAsia"/>
                <w:kern w:val="0"/>
                <w:sz w:val="24"/>
              </w:rPr>
              <w:t>危废贮存库</w:t>
            </w:r>
            <w:r>
              <w:rPr>
                <w:kern w:val="0"/>
                <w:sz w:val="24"/>
              </w:rPr>
              <w:t>地面与裙脚采取表面防渗措施，</w:t>
            </w:r>
            <w:r>
              <w:rPr>
                <w:sz w:val="24"/>
              </w:rPr>
              <w:t>防渗层为至少1m厚黏土层，或2mm厚高密度聚乙烯，或至少2mm厚的其它人工材料</w:t>
            </w:r>
            <w:r>
              <w:rPr>
                <w:rFonts w:hint="eastAsia"/>
                <w:sz w:val="24"/>
              </w:rPr>
              <w:t>，</w:t>
            </w:r>
            <w:r>
              <w:rPr>
                <w:sz w:val="24"/>
                <w:lang w:val="zh-CN"/>
              </w:rPr>
              <w:t>渗透系数不大于10</w:t>
            </w:r>
            <w:r>
              <w:rPr>
                <w:sz w:val="24"/>
                <w:vertAlign w:val="superscript"/>
                <w:lang w:val="zh-CN"/>
              </w:rPr>
              <w:t>-7</w:t>
            </w:r>
            <w:r>
              <w:rPr>
                <w:sz w:val="24"/>
                <w:lang w:val="zh-CN"/>
              </w:rPr>
              <w:t>cm/s</w:t>
            </w:r>
            <w:r>
              <w:rPr>
                <w:sz w:val="24"/>
              </w:rPr>
              <w:t>。同时要建立岗位责任制、操作规程和管理台账，危险废物管理台账进行实时记录。并按以下防范措施进行管理、控制、监督及维护。</w:t>
            </w:r>
          </w:p>
          <w:p w14:paraId="32C59DCD">
            <w:pPr>
              <w:spacing w:line="480" w:lineRule="exact"/>
              <w:ind w:firstLine="480" w:firstLineChars="200"/>
              <w:rPr>
                <w:sz w:val="24"/>
              </w:rPr>
            </w:pPr>
            <w:r>
              <w:rPr>
                <w:rFonts w:hint="eastAsia"/>
                <w:sz w:val="24"/>
              </w:rPr>
              <w:t>⑤</w:t>
            </w:r>
            <w:r>
              <w:rPr>
                <w:sz w:val="24"/>
              </w:rPr>
              <w:t>在危险废物的收集转运过程中必须做好废物的密封包装等措施，严禁将具有反应性的不相容的废物、或者性质不明的废物进行混合，防止在转运过程中的反应、渗漏、溢出、抛洒或挥发等情况发生。</w:t>
            </w:r>
          </w:p>
          <w:p w14:paraId="6B771C33">
            <w:pPr>
              <w:spacing w:line="480" w:lineRule="exact"/>
              <w:ind w:firstLine="482" w:firstLineChars="200"/>
              <w:outlineLvl w:val="2"/>
              <w:rPr>
                <w:b/>
                <w:bCs/>
                <w:kern w:val="0"/>
                <w:sz w:val="24"/>
              </w:rPr>
            </w:pPr>
            <w:r>
              <w:rPr>
                <w:rFonts w:hint="eastAsia"/>
                <w:b/>
                <w:bCs/>
                <w:kern w:val="0"/>
                <w:sz w:val="24"/>
              </w:rPr>
              <w:t>7.2风险物质火灾事故防范措施</w:t>
            </w:r>
          </w:p>
          <w:p w14:paraId="70A9DEC2">
            <w:pPr>
              <w:spacing w:line="480" w:lineRule="exact"/>
              <w:ind w:firstLine="480" w:firstLineChars="200"/>
              <w:rPr>
                <w:sz w:val="24"/>
              </w:rPr>
            </w:pPr>
            <w:r>
              <w:rPr>
                <w:rFonts w:hint="eastAsia"/>
                <w:sz w:val="24"/>
              </w:rPr>
              <w:t>（1）</w:t>
            </w:r>
            <w:r>
              <w:rPr>
                <w:sz w:val="24"/>
              </w:rPr>
              <w:t>风电场区</w:t>
            </w:r>
            <w:r>
              <w:rPr>
                <w:rFonts w:hint="eastAsia"/>
                <w:sz w:val="24"/>
              </w:rPr>
              <w:t>火灾事故</w:t>
            </w:r>
            <w:r>
              <w:rPr>
                <w:sz w:val="24"/>
              </w:rPr>
              <w:t>风险防范措施</w:t>
            </w:r>
          </w:p>
          <w:p w14:paraId="64F2B753">
            <w:pPr>
              <w:spacing w:line="480" w:lineRule="exact"/>
              <w:ind w:firstLine="480" w:firstLineChars="200"/>
              <w:rPr>
                <w:sz w:val="24"/>
              </w:rPr>
            </w:pPr>
            <w:r>
              <w:rPr>
                <w:sz w:val="24"/>
              </w:rPr>
              <w:t>①严禁野外生火、乱丢烟头等可能引发火灾的不良行为；在秋收季节火灾高风险时期严禁一切野外用火；对进入风电区的人员进行必要的监管，对进入区的人员及车辆进行细致的检查工作，防止各类火种入场。</w:t>
            </w:r>
          </w:p>
          <w:p w14:paraId="0B25417D">
            <w:pPr>
              <w:spacing w:line="480" w:lineRule="exact"/>
              <w:ind w:firstLine="480" w:firstLineChars="200"/>
              <w:rPr>
                <w:sz w:val="24"/>
              </w:rPr>
            </w:pPr>
            <w:r>
              <w:rPr>
                <w:sz w:val="24"/>
              </w:rPr>
              <w:t>②加强对各种仪器设备的管理并定期检修，及时发现和消除火灾隐患。</w:t>
            </w:r>
          </w:p>
          <w:p w14:paraId="6C593448">
            <w:pPr>
              <w:spacing w:line="480" w:lineRule="exact"/>
              <w:ind w:firstLine="480" w:firstLineChars="200"/>
              <w:rPr>
                <w:sz w:val="24"/>
              </w:rPr>
            </w:pPr>
            <w:r>
              <w:rPr>
                <w:sz w:val="24"/>
              </w:rPr>
              <w:t>③建立严格的环境管理制度，加强对工作人员和运行管理人员的防火意识和宣传教育，成立防火工作领导小组，进行定期和随机监督检查，发现隐患及时解决，并采取一定的奖惩制度机制，对引起火灾的责任者追究行政和法律责任。</w:t>
            </w:r>
          </w:p>
          <w:p w14:paraId="7EF1C0A5">
            <w:pPr>
              <w:spacing w:line="480" w:lineRule="exact"/>
              <w:ind w:firstLine="480" w:firstLineChars="200"/>
              <w:rPr>
                <w:sz w:val="24"/>
              </w:rPr>
            </w:pPr>
            <w:r>
              <w:rPr>
                <w:sz w:val="24"/>
              </w:rPr>
              <w:t>（</w:t>
            </w:r>
            <w:r>
              <w:rPr>
                <w:rFonts w:hint="eastAsia"/>
                <w:sz w:val="24"/>
              </w:rPr>
              <w:t>2</w:t>
            </w:r>
            <w:r>
              <w:rPr>
                <w:sz w:val="24"/>
              </w:rPr>
              <w:t>）</w:t>
            </w:r>
            <w:r>
              <w:rPr>
                <w:rFonts w:hint="eastAsia"/>
                <w:sz w:val="24"/>
              </w:rPr>
              <w:t>升压站内火灾事故风险防范措施</w:t>
            </w:r>
          </w:p>
          <w:p w14:paraId="0E9E282A">
            <w:pPr>
              <w:spacing w:line="480" w:lineRule="exact"/>
              <w:ind w:firstLine="480" w:firstLineChars="200"/>
              <w:rPr>
                <w:sz w:val="24"/>
              </w:rPr>
            </w:pPr>
            <w:r>
              <w:rPr>
                <w:sz w:val="24"/>
              </w:rPr>
              <w:t>变压器本体设安全保护装置</w:t>
            </w:r>
            <w:r>
              <w:rPr>
                <w:rFonts w:hint="eastAsia"/>
                <w:sz w:val="24"/>
              </w:rPr>
              <w:t>、</w:t>
            </w:r>
            <w:r>
              <w:rPr>
                <w:sz w:val="24"/>
              </w:rPr>
              <w:t>气体继电器</w:t>
            </w:r>
            <w:r>
              <w:rPr>
                <w:rFonts w:hint="eastAsia"/>
                <w:sz w:val="24"/>
              </w:rPr>
              <w:t>、</w:t>
            </w:r>
            <w:r>
              <w:rPr>
                <w:sz w:val="24"/>
              </w:rPr>
              <w:t>压力释放装置等。</w:t>
            </w:r>
            <w:r>
              <w:rPr>
                <w:rFonts w:hint="eastAsia"/>
                <w:sz w:val="24"/>
              </w:rPr>
              <w:t>贮油池</w:t>
            </w:r>
            <w:r>
              <w:rPr>
                <w:sz w:val="24"/>
              </w:rPr>
              <w:t>、事故油池、变压器、输电线路、配电装置等设施附近严禁烟火，并设禁火标志。主变附近设置消防小室，</w:t>
            </w:r>
            <w:r>
              <w:rPr>
                <w:rFonts w:hint="eastAsia"/>
                <w:sz w:val="24"/>
              </w:rPr>
              <w:t>消防小室及各风机箱变处均</w:t>
            </w:r>
            <w:r>
              <w:rPr>
                <w:sz w:val="24"/>
              </w:rPr>
              <w:t>置消防沙箱、消防器材（包括干粉灭火器、消防铲、消防斧、消防桶、消防服等）。</w:t>
            </w:r>
          </w:p>
          <w:p w14:paraId="7A0B3FEB">
            <w:pPr>
              <w:spacing w:line="480" w:lineRule="exact"/>
              <w:ind w:firstLine="480" w:firstLineChars="200"/>
              <w:rPr>
                <w:sz w:val="24"/>
              </w:rPr>
            </w:pPr>
            <w:r>
              <w:rPr>
                <w:sz w:val="24"/>
              </w:rPr>
              <w:t>危废暂存设施均应远离火种、热源；</w:t>
            </w:r>
            <w:r>
              <w:rPr>
                <w:rFonts w:hint="eastAsia"/>
                <w:sz w:val="24"/>
              </w:rPr>
              <w:t>危废贮存库</w:t>
            </w:r>
            <w:r>
              <w:rPr>
                <w:sz w:val="24"/>
              </w:rPr>
              <w:t>设置排风装置，配备相应品种和数量的消防器材（消防栓，泡沫灭火器、消防砂池等），一旦发生泄漏事故后，也能将</w:t>
            </w:r>
            <w:r>
              <w:rPr>
                <w:rFonts w:hint="eastAsia"/>
                <w:sz w:val="24"/>
              </w:rPr>
              <w:t>危险废物</w:t>
            </w:r>
            <w:r>
              <w:rPr>
                <w:sz w:val="24"/>
              </w:rPr>
              <w:t>有效截流在</w:t>
            </w:r>
            <w:r>
              <w:rPr>
                <w:rFonts w:hint="eastAsia"/>
                <w:sz w:val="24"/>
              </w:rPr>
              <w:t>危废贮存库</w:t>
            </w:r>
            <w:r>
              <w:rPr>
                <w:sz w:val="24"/>
              </w:rPr>
              <w:t>内。</w:t>
            </w:r>
          </w:p>
          <w:p w14:paraId="77E98DF0">
            <w:pPr>
              <w:spacing w:line="480" w:lineRule="exact"/>
              <w:ind w:firstLine="482" w:firstLineChars="200"/>
              <w:outlineLvl w:val="2"/>
              <w:rPr>
                <w:b/>
                <w:bCs/>
                <w:kern w:val="0"/>
                <w:sz w:val="24"/>
              </w:rPr>
            </w:pPr>
            <w:r>
              <w:rPr>
                <w:b/>
                <w:bCs/>
                <w:kern w:val="0"/>
                <w:sz w:val="24"/>
              </w:rPr>
              <w:t>7.</w:t>
            </w:r>
            <w:r>
              <w:rPr>
                <w:rFonts w:hint="eastAsia"/>
                <w:b/>
                <w:bCs/>
                <w:kern w:val="0"/>
                <w:sz w:val="24"/>
              </w:rPr>
              <w:t>3</w:t>
            </w:r>
            <w:r>
              <w:rPr>
                <w:b/>
                <w:bCs/>
                <w:kern w:val="0"/>
                <w:sz w:val="24"/>
              </w:rPr>
              <w:t>突发环境事件应急预案</w:t>
            </w:r>
          </w:p>
          <w:p w14:paraId="48D3B935">
            <w:pPr>
              <w:spacing w:line="480" w:lineRule="exact"/>
              <w:ind w:firstLine="480" w:firstLineChars="200"/>
              <w:rPr>
                <w:sz w:val="24"/>
              </w:rPr>
            </w:pPr>
            <w:r>
              <w:rPr>
                <w:sz w:val="24"/>
              </w:rPr>
              <w:t>根据《中华人民共和国固体废物污染环境防治法》，关于“产生、收集、暂存、运输、利用、处置危险废物的单位，应当制定意外事故的防范措施和应急预案”。本次评价要求建设单位应在本项目竣工后，编制《突发环境事件应急预案》，并在地方环保管理部门备案。</w:t>
            </w:r>
          </w:p>
          <w:p w14:paraId="52AB2B99">
            <w:pPr>
              <w:spacing w:line="480" w:lineRule="exact"/>
              <w:ind w:firstLine="480" w:firstLineChars="200"/>
              <w:rPr>
                <w:sz w:val="24"/>
              </w:rPr>
            </w:pPr>
            <w:r>
              <w:rPr>
                <w:sz w:val="24"/>
              </w:rPr>
              <w:t>综上，本项目的建设在严格落实环境风险防范措施和应急措施后，环境风险是可防控的。</w:t>
            </w:r>
          </w:p>
          <w:p w14:paraId="395C6DF4">
            <w:pPr>
              <w:spacing w:line="480" w:lineRule="exact"/>
              <w:ind w:firstLine="482" w:firstLineChars="200"/>
              <w:outlineLvl w:val="1"/>
              <w:rPr>
                <w:b/>
                <w:bCs/>
                <w:kern w:val="0"/>
                <w:sz w:val="24"/>
              </w:rPr>
            </w:pPr>
            <w:r>
              <w:rPr>
                <w:b/>
                <w:bCs/>
                <w:kern w:val="0"/>
                <w:sz w:val="24"/>
              </w:rPr>
              <w:t>8、服务期满后</w:t>
            </w:r>
          </w:p>
          <w:p w14:paraId="226C8CA6">
            <w:pPr>
              <w:spacing w:line="480" w:lineRule="exact"/>
              <w:ind w:firstLine="480" w:firstLineChars="200"/>
              <w:rPr>
                <w:sz w:val="24"/>
              </w:rPr>
            </w:pPr>
            <w:r>
              <w:rPr>
                <w:sz w:val="24"/>
              </w:rPr>
              <w:t>本项目设计运营生产期为20年，待项目运营期满后，按国家相关要求，将对风机组件进行全部拆除或者更换。风电场服务期满后影响主要为拆除的风机组件等固体废物影响及基础拆除产生的生态环境影响。</w:t>
            </w:r>
          </w:p>
          <w:p w14:paraId="1D91FDAC">
            <w:pPr>
              <w:spacing w:line="480" w:lineRule="exact"/>
              <w:ind w:firstLine="480" w:firstLineChars="200"/>
              <w:rPr>
                <w:sz w:val="24"/>
              </w:rPr>
            </w:pPr>
            <w:r>
              <w:rPr>
                <w:sz w:val="24"/>
              </w:rPr>
              <w:t>（1）拆除的风机组件等固体废物影响。</w:t>
            </w:r>
          </w:p>
          <w:p w14:paraId="7CB9FD95">
            <w:pPr>
              <w:spacing w:line="480" w:lineRule="exact"/>
              <w:ind w:firstLine="480" w:firstLineChars="200"/>
              <w:rPr>
                <w:sz w:val="24"/>
              </w:rPr>
            </w:pPr>
            <w:r>
              <w:rPr>
                <w:sz w:val="24"/>
              </w:rPr>
              <w:t>在风电场服务期满后，拆除的所有风机组件等固体废物，由风机组件供应厂商回收处理。</w:t>
            </w:r>
          </w:p>
          <w:p w14:paraId="40D0E5CE">
            <w:pPr>
              <w:spacing w:line="480" w:lineRule="exact"/>
              <w:ind w:firstLine="480" w:firstLineChars="200"/>
              <w:rPr>
                <w:sz w:val="24"/>
              </w:rPr>
            </w:pPr>
            <w:r>
              <w:rPr>
                <w:sz w:val="24"/>
              </w:rPr>
              <w:t>（2）基础拆除产生的生态环境影响</w:t>
            </w:r>
          </w:p>
          <w:p w14:paraId="0DD19838">
            <w:pPr>
              <w:spacing w:line="480" w:lineRule="exact"/>
              <w:ind w:firstLine="480" w:firstLineChars="200"/>
              <w:rPr>
                <w:sz w:val="24"/>
              </w:rPr>
            </w:pPr>
            <w:r>
              <w:rPr>
                <w:sz w:val="24"/>
              </w:rPr>
              <w:t>本项目服务期满后将对风机组件等进行全部拆除，这些活动会造成风机组件基础土地部分破坏。因此，服务期满后应进行生态恢复，主要恢复措施有：</w:t>
            </w:r>
          </w:p>
          <w:p w14:paraId="6D3EC8D9">
            <w:pPr>
              <w:spacing w:line="480" w:lineRule="exact"/>
              <w:ind w:firstLine="480" w:firstLineChars="200"/>
              <w:rPr>
                <w:sz w:val="24"/>
              </w:rPr>
            </w:pPr>
            <w:r>
              <w:rPr>
                <w:sz w:val="24"/>
              </w:rPr>
              <w:t>①掘除硬化地面基础，对场地进行恢复；</w:t>
            </w:r>
          </w:p>
          <w:p w14:paraId="417D7049">
            <w:pPr>
              <w:spacing w:line="480" w:lineRule="exact"/>
              <w:ind w:firstLine="480" w:firstLineChars="200"/>
              <w:rPr>
                <w:sz w:val="24"/>
              </w:rPr>
            </w:pPr>
            <w:r>
              <w:rPr>
                <w:sz w:val="24"/>
              </w:rPr>
              <w:t>②拆除过程中应尽量减小对土地的扰动，对于项目区施工检修道路进行土地整治，恢复使用前的地类及生态；</w:t>
            </w:r>
          </w:p>
          <w:p w14:paraId="5802967E">
            <w:pPr>
              <w:spacing w:line="480" w:lineRule="exact"/>
              <w:ind w:firstLine="480" w:firstLineChars="200"/>
              <w:rPr>
                <w:sz w:val="24"/>
              </w:rPr>
            </w:pPr>
            <w:r>
              <w:rPr>
                <w:sz w:val="24"/>
              </w:rPr>
              <w:t>③掘除混凝土的基础部分场地应进行恢复，恢复后的场地进行洒水、压实，以固结地表，防止产生扬尘和对土壤的风蚀。</w:t>
            </w:r>
          </w:p>
          <w:p w14:paraId="5828D68D">
            <w:pPr>
              <w:spacing w:line="480" w:lineRule="exact"/>
              <w:ind w:firstLine="480" w:firstLineChars="200"/>
              <w:rPr>
                <w:b/>
                <w:bCs/>
                <w:sz w:val="24"/>
              </w:rPr>
            </w:pPr>
            <w:r>
              <w:rPr>
                <w:sz w:val="24"/>
              </w:rPr>
              <w:t>④对扰动的地表恢复农业种植，使植被得到恢复，最大限度减小对生态环境的影响。</w:t>
            </w:r>
          </w:p>
          <w:p w14:paraId="0536A512">
            <w:pPr>
              <w:spacing w:line="480" w:lineRule="exact"/>
              <w:ind w:firstLine="480" w:firstLineChars="200"/>
              <w:outlineLvl w:val="1"/>
              <w:rPr>
                <w:kern w:val="0"/>
                <w:sz w:val="24"/>
              </w:rPr>
            </w:pPr>
            <w:r>
              <w:rPr>
                <w:kern w:val="0"/>
                <w:sz w:val="24"/>
              </w:rPr>
              <w:t>项目具体拆除及恢复措施由后续拆除方案中要求，不在本项目评价内容内，施工过程应考虑绿色施工等内容。</w:t>
            </w:r>
          </w:p>
          <w:p w14:paraId="2C80B678">
            <w:pPr>
              <w:spacing w:line="480" w:lineRule="exact"/>
              <w:ind w:firstLine="482" w:firstLineChars="200"/>
              <w:outlineLvl w:val="1"/>
              <w:rPr>
                <w:b/>
                <w:bCs/>
                <w:kern w:val="0"/>
                <w:sz w:val="24"/>
              </w:rPr>
            </w:pPr>
            <w:r>
              <w:rPr>
                <w:b/>
                <w:bCs/>
                <w:kern w:val="0"/>
                <w:sz w:val="24"/>
              </w:rPr>
              <w:t>9、运营期环境监测计划</w:t>
            </w:r>
          </w:p>
          <w:p w14:paraId="13C73B90">
            <w:pPr>
              <w:spacing w:line="480" w:lineRule="exact"/>
              <w:ind w:firstLine="480" w:firstLineChars="200"/>
              <w:rPr>
                <w:sz w:val="24"/>
              </w:rPr>
            </w:pPr>
            <w:r>
              <w:rPr>
                <w:sz w:val="24"/>
              </w:rPr>
              <w:t>本项目污染源监测包括噪声、固废和生态等内容，见下表。</w:t>
            </w:r>
          </w:p>
          <w:p w14:paraId="0CB9808B">
            <w:pPr>
              <w:jc w:val="center"/>
              <w:outlineLvl w:val="3"/>
              <w:rPr>
                <w:b/>
                <w:bCs/>
                <w:szCs w:val="21"/>
              </w:rPr>
            </w:pPr>
            <w:r>
              <w:rPr>
                <w:b/>
                <w:bCs/>
                <w:szCs w:val="21"/>
              </w:rPr>
              <w:t>表5-</w:t>
            </w:r>
            <w:r>
              <w:rPr>
                <w:rFonts w:hint="eastAsia"/>
                <w:b/>
                <w:bCs/>
                <w:szCs w:val="21"/>
              </w:rPr>
              <w:t>4</w:t>
            </w:r>
            <w:r>
              <w:rPr>
                <w:b/>
                <w:bCs/>
                <w:szCs w:val="21"/>
              </w:rPr>
              <w:t xml:space="preserve">     项目营运期间监测计划</w:t>
            </w:r>
          </w:p>
          <w:tbl>
            <w:tblPr>
              <w:tblStyle w:val="32"/>
              <w:tblW w:w="47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92"/>
              <w:gridCol w:w="1088"/>
              <w:gridCol w:w="1627"/>
              <w:gridCol w:w="3022"/>
              <w:gridCol w:w="1141"/>
            </w:tblGrid>
            <w:tr w14:paraId="6A615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tcBorders>
                    <w:tl2br w:val="nil"/>
                    <w:tr2bl w:val="nil"/>
                  </w:tcBorders>
                  <w:vAlign w:val="center"/>
                </w:tcPr>
                <w:p w14:paraId="77C5C898">
                  <w:pPr>
                    <w:pStyle w:val="105"/>
                    <w:spacing w:line="320" w:lineRule="exact"/>
                    <w:ind w:left="0" w:firstLine="0"/>
                    <w:jc w:val="center"/>
                    <w:rPr>
                      <w:rFonts w:ascii="Times New Roman" w:cs="Times New Roman"/>
                      <w:sz w:val="21"/>
                      <w:szCs w:val="21"/>
                    </w:rPr>
                  </w:pPr>
                  <w:r>
                    <w:rPr>
                      <w:rFonts w:ascii="Times New Roman" w:cs="Times New Roman"/>
                      <w:sz w:val="21"/>
                      <w:szCs w:val="21"/>
                    </w:rPr>
                    <w:t>类别</w:t>
                  </w:r>
                </w:p>
              </w:tc>
              <w:tc>
                <w:tcPr>
                  <w:tcW w:w="738" w:type="pct"/>
                  <w:tcBorders>
                    <w:tl2br w:val="nil"/>
                    <w:tr2bl w:val="nil"/>
                  </w:tcBorders>
                  <w:vAlign w:val="center"/>
                </w:tcPr>
                <w:p w14:paraId="14F862D4">
                  <w:pPr>
                    <w:pStyle w:val="105"/>
                    <w:spacing w:line="320" w:lineRule="exact"/>
                    <w:ind w:left="0" w:firstLine="0"/>
                    <w:jc w:val="center"/>
                    <w:rPr>
                      <w:rFonts w:ascii="Times New Roman" w:cs="Times New Roman"/>
                      <w:sz w:val="21"/>
                      <w:szCs w:val="21"/>
                    </w:rPr>
                  </w:pPr>
                  <w:r>
                    <w:rPr>
                      <w:rFonts w:ascii="Times New Roman" w:cs="Times New Roman"/>
                      <w:sz w:val="21"/>
                      <w:szCs w:val="21"/>
                    </w:rPr>
                    <w:t>监测因子</w:t>
                  </w:r>
                </w:p>
              </w:tc>
              <w:tc>
                <w:tcPr>
                  <w:tcW w:w="1104" w:type="pct"/>
                  <w:tcBorders>
                    <w:tl2br w:val="nil"/>
                    <w:tr2bl w:val="nil"/>
                  </w:tcBorders>
                  <w:vAlign w:val="center"/>
                </w:tcPr>
                <w:p w14:paraId="399CCCC3">
                  <w:pPr>
                    <w:pStyle w:val="105"/>
                    <w:spacing w:line="320" w:lineRule="exact"/>
                    <w:ind w:left="0" w:firstLine="0"/>
                    <w:jc w:val="center"/>
                    <w:rPr>
                      <w:rFonts w:ascii="Times New Roman" w:cs="Times New Roman"/>
                      <w:sz w:val="21"/>
                      <w:szCs w:val="21"/>
                    </w:rPr>
                  </w:pPr>
                  <w:r>
                    <w:rPr>
                      <w:rFonts w:ascii="Times New Roman" w:cs="Times New Roman"/>
                      <w:sz w:val="21"/>
                      <w:szCs w:val="21"/>
                    </w:rPr>
                    <w:t>频次</w:t>
                  </w:r>
                </w:p>
              </w:tc>
              <w:tc>
                <w:tcPr>
                  <w:tcW w:w="2049" w:type="pct"/>
                  <w:tcBorders>
                    <w:tl2br w:val="nil"/>
                    <w:tr2bl w:val="nil"/>
                  </w:tcBorders>
                  <w:vAlign w:val="center"/>
                </w:tcPr>
                <w:p w14:paraId="191EADBF">
                  <w:pPr>
                    <w:pStyle w:val="105"/>
                    <w:spacing w:line="320" w:lineRule="exact"/>
                    <w:ind w:left="0" w:firstLine="0"/>
                    <w:jc w:val="center"/>
                    <w:rPr>
                      <w:rFonts w:ascii="Times New Roman" w:cs="Times New Roman"/>
                      <w:sz w:val="21"/>
                      <w:szCs w:val="21"/>
                    </w:rPr>
                  </w:pPr>
                  <w:r>
                    <w:rPr>
                      <w:rFonts w:ascii="Times New Roman" w:cs="Times New Roman"/>
                      <w:sz w:val="21"/>
                      <w:szCs w:val="21"/>
                    </w:rPr>
                    <w:t>标准</w:t>
                  </w:r>
                </w:p>
              </w:tc>
              <w:tc>
                <w:tcPr>
                  <w:tcW w:w="774" w:type="pct"/>
                  <w:tcBorders>
                    <w:tl2br w:val="nil"/>
                    <w:tr2bl w:val="nil"/>
                  </w:tcBorders>
                  <w:vAlign w:val="center"/>
                </w:tcPr>
                <w:p w14:paraId="59776451">
                  <w:pPr>
                    <w:pStyle w:val="105"/>
                    <w:spacing w:line="320" w:lineRule="exact"/>
                    <w:ind w:left="0" w:firstLine="0"/>
                    <w:jc w:val="center"/>
                    <w:rPr>
                      <w:rFonts w:ascii="Times New Roman" w:cs="Times New Roman"/>
                      <w:sz w:val="21"/>
                      <w:szCs w:val="21"/>
                    </w:rPr>
                  </w:pPr>
                  <w:r>
                    <w:rPr>
                      <w:rFonts w:ascii="Times New Roman" w:cs="Times New Roman"/>
                      <w:sz w:val="21"/>
                      <w:szCs w:val="21"/>
                    </w:rPr>
                    <w:t>监测点位</w:t>
                  </w:r>
                </w:p>
              </w:tc>
            </w:tr>
            <w:tr w14:paraId="30D57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tcBorders>
                    <w:tl2br w:val="nil"/>
                    <w:tr2bl w:val="nil"/>
                  </w:tcBorders>
                  <w:vAlign w:val="center"/>
                </w:tcPr>
                <w:p w14:paraId="370D448E">
                  <w:pPr>
                    <w:pStyle w:val="105"/>
                    <w:spacing w:line="320" w:lineRule="exact"/>
                    <w:ind w:left="0" w:firstLine="0"/>
                    <w:jc w:val="center"/>
                    <w:rPr>
                      <w:rFonts w:ascii="Times New Roman" w:cs="Times New Roman"/>
                      <w:sz w:val="21"/>
                      <w:szCs w:val="21"/>
                    </w:rPr>
                  </w:pPr>
                  <w:r>
                    <w:rPr>
                      <w:rFonts w:ascii="Times New Roman" w:cs="Times New Roman"/>
                      <w:sz w:val="21"/>
                      <w:szCs w:val="21"/>
                    </w:rPr>
                    <w:t>废气</w:t>
                  </w:r>
                </w:p>
              </w:tc>
              <w:tc>
                <w:tcPr>
                  <w:tcW w:w="738" w:type="pct"/>
                  <w:tcBorders>
                    <w:tl2br w:val="nil"/>
                    <w:tr2bl w:val="nil"/>
                  </w:tcBorders>
                  <w:vAlign w:val="center"/>
                </w:tcPr>
                <w:p w14:paraId="6CC05396">
                  <w:pPr>
                    <w:pStyle w:val="105"/>
                    <w:spacing w:line="320" w:lineRule="exact"/>
                    <w:ind w:left="0" w:firstLine="0"/>
                    <w:jc w:val="center"/>
                    <w:rPr>
                      <w:rFonts w:ascii="Times New Roman" w:cs="Times New Roman"/>
                      <w:sz w:val="21"/>
                      <w:szCs w:val="21"/>
                    </w:rPr>
                  </w:pPr>
                  <w:r>
                    <w:rPr>
                      <w:rFonts w:ascii="Times New Roman" w:cs="Times New Roman"/>
                      <w:sz w:val="21"/>
                      <w:szCs w:val="21"/>
                    </w:rPr>
                    <w:t>油烟</w:t>
                  </w:r>
                </w:p>
              </w:tc>
              <w:tc>
                <w:tcPr>
                  <w:tcW w:w="1104" w:type="pct"/>
                  <w:tcBorders>
                    <w:tl2br w:val="nil"/>
                    <w:tr2bl w:val="nil"/>
                  </w:tcBorders>
                  <w:vAlign w:val="center"/>
                </w:tcPr>
                <w:p w14:paraId="6B7D7F4B">
                  <w:pPr>
                    <w:pStyle w:val="105"/>
                    <w:spacing w:line="320" w:lineRule="exact"/>
                    <w:ind w:left="0" w:firstLine="0"/>
                    <w:jc w:val="center"/>
                    <w:rPr>
                      <w:rFonts w:ascii="Times New Roman" w:cs="Times New Roman"/>
                      <w:sz w:val="21"/>
                      <w:szCs w:val="21"/>
                    </w:rPr>
                  </w:pPr>
                  <w:r>
                    <w:rPr>
                      <w:rFonts w:ascii="Times New Roman" w:cs="Times New Roman"/>
                      <w:sz w:val="21"/>
                      <w:szCs w:val="21"/>
                    </w:rPr>
                    <w:t>1次/年</w:t>
                  </w:r>
                </w:p>
              </w:tc>
              <w:tc>
                <w:tcPr>
                  <w:tcW w:w="2049" w:type="pct"/>
                  <w:tcBorders>
                    <w:tl2br w:val="nil"/>
                    <w:tr2bl w:val="nil"/>
                  </w:tcBorders>
                  <w:vAlign w:val="center"/>
                </w:tcPr>
                <w:p w14:paraId="592C740D">
                  <w:pPr>
                    <w:pStyle w:val="105"/>
                    <w:spacing w:line="320" w:lineRule="exact"/>
                    <w:ind w:left="0" w:firstLine="0"/>
                    <w:jc w:val="center"/>
                    <w:rPr>
                      <w:rFonts w:ascii="Times New Roman" w:cs="Times New Roman"/>
                      <w:sz w:val="21"/>
                      <w:szCs w:val="21"/>
                    </w:rPr>
                  </w:pPr>
                  <w:r>
                    <w:rPr>
                      <w:rFonts w:ascii="Times New Roman" w:cs="Times New Roman"/>
                      <w:sz w:val="21"/>
                      <w:szCs w:val="21"/>
                    </w:rPr>
                    <w:t>《餐饮业大气污染物排放标准》（DB13/5808-2023) 、《唐山市餐饮油烟污染治理专项方案》  （唐气领办〔2021〕58号）</w:t>
                  </w:r>
                </w:p>
              </w:tc>
              <w:tc>
                <w:tcPr>
                  <w:tcW w:w="774" w:type="pct"/>
                  <w:tcBorders>
                    <w:tl2br w:val="nil"/>
                    <w:tr2bl w:val="nil"/>
                  </w:tcBorders>
                  <w:vAlign w:val="center"/>
                </w:tcPr>
                <w:p w14:paraId="2032AA86">
                  <w:pPr>
                    <w:pStyle w:val="105"/>
                    <w:spacing w:line="320" w:lineRule="exact"/>
                    <w:ind w:left="0" w:firstLine="0"/>
                    <w:jc w:val="center"/>
                    <w:rPr>
                      <w:rFonts w:ascii="Times New Roman" w:cs="Times New Roman"/>
                      <w:sz w:val="21"/>
                      <w:szCs w:val="21"/>
                    </w:rPr>
                  </w:pPr>
                  <w:r>
                    <w:rPr>
                      <w:rFonts w:ascii="Times New Roman" w:cs="Times New Roman"/>
                      <w:sz w:val="21"/>
                      <w:szCs w:val="21"/>
                    </w:rPr>
                    <w:t>食堂废气排气筒</w:t>
                  </w:r>
                </w:p>
              </w:tc>
            </w:tr>
            <w:tr w14:paraId="4301B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33" w:type="pct"/>
                  <w:tcBorders>
                    <w:tl2br w:val="nil"/>
                    <w:tr2bl w:val="nil"/>
                  </w:tcBorders>
                  <w:vAlign w:val="center"/>
                </w:tcPr>
                <w:p w14:paraId="7CC82BD5">
                  <w:pPr>
                    <w:pStyle w:val="105"/>
                    <w:spacing w:line="320" w:lineRule="exact"/>
                    <w:ind w:left="0" w:firstLine="0"/>
                    <w:jc w:val="center"/>
                    <w:rPr>
                      <w:rFonts w:ascii="Times New Roman" w:cs="Times New Roman"/>
                      <w:sz w:val="21"/>
                      <w:szCs w:val="21"/>
                    </w:rPr>
                  </w:pPr>
                  <w:r>
                    <w:rPr>
                      <w:rFonts w:ascii="Times New Roman" w:cs="Times New Roman"/>
                      <w:sz w:val="21"/>
                      <w:szCs w:val="21"/>
                    </w:rPr>
                    <w:t>噪声</w:t>
                  </w:r>
                </w:p>
              </w:tc>
              <w:tc>
                <w:tcPr>
                  <w:tcW w:w="738" w:type="pct"/>
                  <w:tcBorders>
                    <w:tl2br w:val="nil"/>
                    <w:tr2bl w:val="nil"/>
                  </w:tcBorders>
                  <w:vAlign w:val="center"/>
                </w:tcPr>
                <w:p w14:paraId="6E4302BF">
                  <w:pPr>
                    <w:pStyle w:val="105"/>
                    <w:spacing w:line="320" w:lineRule="exact"/>
                    <w:ind w:left="0" w:firstLine="0"/>
                    <w:jc w:val="center"/>
                    <w:rPr>
                      <w:rFonts w:ascii="Times New Roman" w:cs="Times New Roman"/>
                      <w:sz w:val="21"/>
                      <w:szCs w:val="21"/>
                    </w:rPr>
                  </w:pPr>
                  <w:r>
                    <w:rPr>
                      <w:rFonts w:ascii="Times New Roman" w:cs="Times New Roman"/>
                      <w:sz w:val="21"/>
                      <w:szCs w:val="21"/>
                    </w:rPr>
                    <w:t>Leq</w:t>
                  </w:r>
                </w:p>
              </w:tc>
              <w:tc>
                <w:tcPr>
                  <w:tcW w:w="1104" w:type="pct"/>
                  <w:tcBorders>
                    <w:tl2br w:val="nil"/>
                    <w:tr2bl w:val="nil"/>
                  </w:tcBorders>
                  <w:vAlign w:val="center"/>
                </w:tcPr>
                <w:p w14:paraId="4BFADE9B">
                  <w:pPr>
                    <w:pStyle w:val="105"/>
                    <w:spacing w:line="320" w:lineRule="exact"/>
                    <w:ind w:left="0" w:firstLine="0"/>
                    <w:jc w:val="center"/>
                    <w:rPr>
                      <w:rFonts w:ascii="Times New Roman" w:cs="Times New Roman"/>
                      <w:sz w:val="21"/>
                      <w:szCs w:val="21"/>
                    </w:rPr>
                  </w:pPr>
                  <w:r>
                    <w:rPr>
                      <w:rFonts w:ascii="Times New Roman" w:cs="Times New Roman"/>
                      <w:sz w:val="21"/>
                      <w:szCs w:val="21"/>
                    </w:rPr>
                    <w:t>1次/季度；主要声源设备大修前后</w:t>
                  </w:r>
                </w:p>
              </w:tc>
              <w:tc>
                <w:tcPr>
                  <w:tcW w:w="2049" w:type="pct"/>
                  <w:tcBorders>
                    <w:tl2br w:val="nil"/>
                    <w:tr2bl w:val="nil"/>
                  </w:tcBorders>
                  <w:vAlign w:val="center"/>
                </w:tcPr>
                <w:p w14:paraId="6ED56BD4">
                  <w:pPr>
                    <w:pStyle w:val="105"/>
                    <w:spacing w:line="320" w:lineRule="exact"/>
                    <w:ind w:left="0" w:firstLine="0"/>
                    <w:jc w:val="center"/>
                    <w:rPr>
                      <w:rFonts w:ascii="Times New Roman" w:cs="Times New Roman"/>
                      <w:sz w:val="21"/>
                      <w:szCs w:val="21"/>
                    </w:rPr>
                  </w:pPr>
                  <w:r>
                    <w:rPr>
                      <w:rFonts w:ascii="Times New Roman" w:cs="Times New Roman"/>
                      <w:sz w:val="21"/>
                      <w:szCs w:val="21"/>
                    </w:rPr>
                    <w:t>《工业企业厂界环境噪声排放标准》（GB123482008）1类标准</w:t>
                  </w:r>
                </w:p>
              </w:tc>
              <w:tc>
                <w:tcPr>
                  <w:tcW w:w="774" w:type="pct"/>
                  <w:tcBorders>
                    <w:tl2br w:val="nil"/>
                    <w:tr2bl w:val="nil"/>
                  </w:tcBorders>
                  <w:vAlign w:val="center"/>
                </w:tcPr>
                <w:p w14:paraId="26C9245E">
                  <w:pPr>
                    <w:pStyle w:val="105"/>
                    <w:spacing w:line="320" w:lineRule="exact"/>
                    <w:ind w:left="0" w:firstLine="0"/>
                    <w:jc w:val="center"/>
                    <w:rPr>
                      <w:rFonts w:ascii="Times New Roman" w:cs="Times New Roman"/>
                      <w:sz w:val="21"/>
                      <w:szCs w:val="21"/>
                    </w:rPr>
                  </w:pPr>
                  <w:r>
                    <w:rPr>
                      <w:rFonts w:ascii="Times New Roman" w:cs="Times New Roman"/>
                      <w:sz w:val="21"/>
                      <w:szCs w:val="21"/>
                    </w:rPr>
                    <w:t>升压站站址四周</w:t>
                  </w:r>
                </w:p>
              </w:tc>
            </w:tr>
          </w:tbl>
          <w:p w14:paraId="75A9864C">
            <w:pPr>
              <w:adjustRightInd w:val="0"/>
              <w:snapToGrid w:val="0"/>
              <w:rPr>
                <w:bCs/>
                <w:spacing w:val="10"/>
                <w:sz w:val="24"/>
              </w:rPr>
            </w:pPr>
          </w:p>
        </w:tc>
      </w:tr>
      <w:tr w14:paraId="2A4AE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 w:type="pct"/>
            <w:vAlign w:val="center"/>
          </w:tcPr>
          <w:p w14:paraId="00D228E4">
            <w:pPr>
              <w:adjustRightInd w:val="0"/>
              <w:snapToGrid w:val="0"/>
              <w:jc w:val="center"/>
              <w:rPr>
                <w:bCs/>
                <w:spacing w:val="10"/>
                <w:sz w:val="24"/>
              </w:rPr>
            </w:pPr>
            <w:r>
              <w:rPr>
                <w:bCs/>
                <w:sz w:val="24"/>
              </w:rPr>
              <w:t>其他</w:t>
            </w:r>
          </w:p>
        </w:tc>
        <w:tc>
          <w:tcPr>
            <w:tcW w:w="4816" w:type="pct"/>
            <w:vAlign w:val="center"/>
          </w:tcPr>
          <w:p w14:paraId="3908D24D">
            <w:pPr>
              <w:autoSpaceDE w:val="0"/>
              <w:autoSpaceDN w:val="0"/>
              <w:adjustRightInd w:val="0"/>
              <w:snapToGrid w:val="0"/>
              <w:spacing w:line="480" w:lineRule="exact"/>
              <w:ind w:firstLine="482" w:firstLineChars="200"/>
              <w:rPr>
                <w:sz w:val="24"/>
              </w:rPr>
            </w:pPr>
            <w:r>
              <w:rPr>
                <w:b/>
                <w:bCs/>
                <w:sz w:val="24"/>
              </w:rPr>
              <w:t>1、排污许可管理要求</w:t>
            </w:r>
          </w:p>
          <w:p w14:paraId="6893B543">
            <w:pPr>
              <w:spacing w:line="480" w:lineRule="exact"/>
              <w:ind w:firstLine="480" w:firstLineChars="200"/>
              <w:rPr>
                <w:sz w:val="24"/>
              </w:rPr>
            </w:pPr>
            <w:r>
              <w:rPr>
                <w:sz w:val="24"/>
              </w:rPr>
              <w:t>根据《关于做好环境影响评价制度与排污许可制衔接相关工作的通知》（环办环评〔2017〕84号）和《固定污染源排污许可分类管理名录（2019年版）》，本项目属于风力发电项目，未在《固定污染源排污许可分类管理名录（2019年版）》内，本项目建成后，不纳入排污许管理。</w:t>
            </w:r>
          </w:p>
          <w:p w14:paraId="37C10E26">
            <w:pPr>
              <w:autoSpaceDE w:val="0"/>
              <w:autoSpaceDN w:val="0"/>
              <w:adjustRightInd w:val="0"/>
              <w:snapToGrid w:val="0"/>
              <w:spacing w:line="480" w:lineRule="exact"/>
              <w:ind w:firstLine="482" w:firstLineChars="200"/>
              <w:rPr>
                <w:b/>
                <w:bCs/>
                <w:sz w:val="24"/>
              </w:rPr>
            </w:pPr>
            <w:r>
              <w:rPr>
                <w:b/>
                <w:bCs/>
                <w:sz w:val="24"/>
              </w:rPr>
              <w:t>2、竣工环保验收内容</w:t>
            </w:r>
          </w:p>
          <w:p w14:paraId="19CF5D4C">
            <w:pPr>
              <w:spacing w:line="480" w:lineRule="exact"/>
              <w:ind w:firstLine="480" w:firstLineChars="200"/>
              <w:rPr>
                <w:sz w:val="24"/>
              </w:rPr>
            </w:pPr>
            <w:r>
              <w:rPr>
                <w:sz w:val="24"/>
              </w:rPr>
              <w:t>根据《建设项目环境保护管理条例》，建设项目需要配套建设的环境保护设施，必须与主体工程同时设计、同时施工、同时投产使用。本项目竣工后，建设单位应当依据《建设项目竣工环境保护验收暂行办法》《建设项目竣工环境保护验收技术规范生态影响类》（HJ/T394-2007）等文件开展竣工环保验收，组织对配套建设的环境保护设施进行验收，编制验收报告，公开相关信息接受社会监督。</w:t>
            </w:r>
          </w:p>
          <w:p w14:paraId="733DA4C4">
            <w:pPr>
              <w:spacing w:line="480" w:lineRule="exact"/>
              <w:ind w:firstLine="482" w:firstLineChars="200"/>
              <w:outlineLvl w:val="1"/>
              <w:rPr>
                <w:b/>
                <w:bCs/>
                <w:kern w:val="0"/>
                <w:sz w:val="24"/>
              </w:rPr>
            </w:pPr>
            <w:r>
              <w:rPr>
                <w:b/>
                <w:bCs/>
                <w:kern w:val="0"/>
                <w:sz w:val="24"/>
              </w:rPr>
              <w:t>3、污染源排放口规范化</w:t>
            </w:r>
          </w:p>
          <w:p w14:paraId="37D814A6">
            <w:pPr>
              <w:spacing w:line="480" w:lineRule="exact"/>
              <w:ind w:firstLine="480" w:firstLineChars="200"/>
              <w:rPr>
                <w:sz w:val="24"/>
              </w:rPr>
            </w:pPr>
            <w:r>
              <w:rPr>
                <w:sz w:val="24"/>
              </w:rPr>
              <w:t>①向环境排放污染物的排污口必须规范化</w:t>
            </w:r>
          </w:p>
          <w:p w14:paraId="52F9C8CA">
            <w:pPr>
              <w:spacing w:line="480" w:lineRule="exact"/>
              <w:jc w:val="center"/>
              <w:outlineLvl w:val="3"/>
              <w:rPr>
                <w:b/>
                <w:bCs/>
                <w:szCs w:val="21"/>
              </w:rPr>
            </w:pPr>
            <w:r>
              <w:rPr>
                <w:b/>
                <w:bCs/>
                <w:szCs w:val="21"/>
              </w:rPr>
              <w:t>表5-</w:t>
            </w:r>
            <w:r>
              <w:rPr>
                <w:rFonts w:hint="eastAsia"/>
                <w:b/>
                <w:bCs/>
                <w:szCs w:val="21"/>
              </w:rPr>
              <w:t>5</w:t>
            </w:r>
            <w:r>
              <w:rPr>
                <w:b/>
                <w:bCs/>
                <w:szCs w:val="21"/>
              </w:rPr>
              <w:t xml:space="preserve">     各种污染源的图形符号及标志形状、颜色</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58"/>
              <w:gridCol w:w="3771"/>
              <w:gridCol w:w="1448"/>
              <w:gridCol w:w="1493"/>
            </w:tblGrid>
            <w:tr w14:paraId="7AC97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13D9AE3D">
                  <w:pPr>
                    <w:adjustRightInd w:val="0"/>
                    <w:jc w:val="center"/>
                    <w:textAlignment w:val="baseline"/>
                    <w:rPr>
                      <w:kern w:val="0"/>
                      <w:szCs w:val="21"/>
                      <w:lang w:val="zh-CN"/>
                    </w:rPr>
                  </w:pPr>
                  <w:r>
                    <w:rPr>
                      <w:kern w:val="0"/>
                      <w:szCs w:val="21"/>
                      <w:lang w:val="zh-CN"/>
                    </w:rPr>
                    <w:t>序号</w:t>
                  </w:r>
                </w:p>
              </w:tc>
              <w:tc>
                <w:tcPr>
                  <w:tcW w:w="3481" w:type="dxa"/>
                  <w:vAlign w:val="center"/>
                </w:tcPr>
                <w:p w14:paraId="211038F4">
                  <w:pPr>
                    <w:adjustRightInd w:val="0"/>
                    <w:jc w:val="center"/>
                    <w:textAlignment w:val="baseline"/>
                    <w:rPr>
                      <w:kern w:val="0"/>
                      <w:szCs w:val="21"/>
                      <w:lang w:val="zh-CN"/>
                    </w:rPr>
                  </w:pPr>
                  <w:r>
                    <w:rPr>
                      <w:kern w:val="0"/>
                      <w:szCs w:val="21"/>
                    </w:rPr>
                    <w:t>环保图形标志</w:t>
                  </w:r>
                </w:p>
              </w:tc>
              <w:tc>
                <w:tcPr>
                  <w:tcW w:w="1337" w:type="dxa"/>
                  <w:vAlign w:val="center"/>
                </w:tcPr>
                <w:p w14:paraId="51A77198">
                  <w:pPr>
                    <w:adjustRightInd w:val="0"/>
                    <w:jc w:val="center"/>
                    <w:textAlignment w:val="baseline"/>
                    <w:rPr>
                      <w:kern w:val="0"/>
                      <w:szCs w:val="21"/>
                      <w:lang w:val="zh-CN"/>
                    </w:rPr>
                  </w:pPr>
                  <w:r>
                    <w:rPr>
                      <w:kern w:val="0"/>
                      <w:szCs w:val="21"/>
                    </w:rPr>
                    <w:t>名称</w:t>
                  </w:r>
                </w:p>
              </w:tc>
              <w:tc>
                <w:tcPr>
                  <w:tcW w:w="1378" w:type="dxa"/>
                  <w:vAlign w:val="center"/>
                </w:tcPr>
                <w:p w14:paraId="11E1D448">
                  <w:pPr>
                    <w:adjustRightInd w:val="0"/>
                    <w:jc w:val="center"/>
                    <w:textAlignment w:val="baseline"/>
                    <w:rPr>
                      <w:kern w:val="0"/>
                      <w:szCs w:val="21"/>
                      <w:lang w:val="zh-CN"/>
                    </w:rPr>
                  </w:pPr>
                  <w:r>
                    <w:rPr>
                      <w:kern w:val="0"/>
                      <w:szCs w:val="21"/>
                    </w:rPr>
                    <w:t>功能</w:t>
                  </w:r>
                </w:p>
              </w:tc>
            </w:tr>
            <w:tr w14:paraId="5258E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1C2EE417">
                  <w:pPr>
                    <w:adjustRightInd w:val="0"/>
                    <w:jc w:val="center"/>
                    <w:textAlignment w:val="baseline"/>
                    <w:rPr>
                      <w:kern w:val="0"/>
                      <w:szCs w:val="21"/>
                    </w:rPr>
                  </w:pPr>
                  <w:r>
                    <w:rPr>
                      <w:kern w:val="0"/>
                      <w:szCs w:val="21"/>
                    </w:rPr>
                    <w:t>1</w:t>
                  </w:r>
                </w:p>
              </w:tc>
              <w:tc>
                <w:tcPr>
                  <w:tcW w:w="3481" w:type="dxa"/>
                  <w:vAlign w:val="center"/>
                </w:tcPr>
                <w:p w14:paraId="6A0FBA98">
                  <w:pPr>
                    <w:adjustRightInd w:val="0"/>
                    <w:jc w:val="center"/>
                    <w:textAlignment w:val="baseline"/>
                    <w:rPr>
                      <w:kern w:val="0"/>
                      <w:szCs w:val="21"/>
                      <w:lang w:val="zh-CN"/>
                    </w:rPr>
                  </w:pPr>
                  <w:r>
                    <w:rPr>
                      <w:kern w:val="0"/>
                      <w:szCs w:val="21"/>
                    </w:rPr>
                    <w:drawing>
                      <wp:inline distT="0" distB="0" distL="114300" distR="114300">
                        <wp:extent cx="1974850" cy="1358900"/>
                        <wp:effectExtent l="0" t="0" r="6350" b="127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0" cstate="print"/>
                                <a:stretch>
                                  <a:fillRect/>
                                </a:stretch>
                              </pic:blipFill>
                              <pic:spPr>
                                <a:xfrm>
                                  <a:off x="0" y="0"/>
                                  <a:ext cx="1974850" cy="1358900"/>
                                </a:xfrm>
                                <a:prstGeom prst="rect">
                                  <a:avLst/>
                                </a:prstGeom>
                                <a:noFill/>
                                <a:ln>
                                  <a:noFill/>
                                </a:ln>
                              </pic:spPr>
                            </pic:pic>
                          </a:graphicData>
                        </a:graphic>
                      </wp:inline>
                    </w:drawing>
                  </w:r>
                </w:p>
              </w:tc>
              <w:tc>
                <w:tcPr>
                  <w:tcW w:w="1337" w:type="dxa"/>
                  <w:vAlign w:val="center"/>
                </w:tcPr>
                <w:p w14:paraId="0BADE0D3">
                  <w:pPr>
                    <w:adjustRightInd w:val="0"/>
                    <w:jc w:val="center"/>
                    <w:textAlignment w:val="baseline"/>
                    <w:rPr>
                      <w:kern w:val="0"/>
                      <w:szCs w:val="21"/>
                      <w:lang w:val="zh-CN"/>
                    </w:rPr>
                  </w:pPr>
                  <w:r>
                    <w:rPr>
                      <w:kern w:val="0"/>
                      <w:szCs w:val="21"/>
                    </w:rPr>
                    <w:t>废气排放口</w:t>
                  </w:r>
                </w:p>
              </w:tc>
              <w:tc>
                <w:tcPr>
                  <w:tcW w:w="1378" w:type="dxa"/>
                  <w:vAlign w:val="center"/>
                </w:tcPr>
                <w:p w14:paraId="044E7F2C">
                  <w:pPr>
                    <w:adjustRightInd w:val="0"/>
                    <w:jc w:val="center"/>
                    <w:textAlignment w:val="baseline"/>
                    <w:rPr>
                      <w:kern w:val="0"/>
                      <w:szCs w:val="21"/>
                      <w:lang w:val="zh-CN"/>
                    </w:rPr>
                  </w:pPr>
                  <w:r>
                    <w:rPr>
                      <w:kern w:val="0"/>
                      <w:szCs w:val="21"/>
                    </w:rPr>
                    <w:t>表示废气向大气环境排放</w:t>
                  </w:r>
                </w:p>
              </w:tc>
            </w:tr>
            <w:tr w14:paraId="41400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87" w:hRule="atLeast"/>
                <w:jc w:val="center"/>
              </w:trPr>
              <w:tc>
                <w:tcPr>
                  <w:tcW w:w="607" w:type="dxa"/>
                  <w:vAlign w:val="center"/>
                </w:tcPr>
                <w:p w14:paraId="610859C0">
                  <w:pPr>
                    <w:adjustRightInd w:val="0"/>
                    <w:jc w:val="center"/>
                    <w:textAlignment w:val="baseline"/>
                    <w:rPr>
                      <w:kern w:val="0"/>
                      <w:szCs w:val="21"/>
                    </w:rPr>
                  </w:pPr>
                  <w:r>
                    <w:rPr>
                      <w:kern w:val="0"/>
                      <w:szCs w:val="21"/>
                    </w:rPr>
                    <w:t>2</w:t>
                  </w:r>
                </w:p>
              </w:tc>
              <w:tc>
                <w:tcPr>
                  <w:tcW w:w="3481" w:type="dxa"/>
                  <w:vAlign w:val="center"/>
                </w:tcPr>
                <w:p w14:paraId="68CD0850">
                  <w:pPr>
                    <w:adjustRightInd w:val="0"/>
                    <w:jc w:val="center"/>
                    <w:textAlignment w:val="baseline"/>
                    <w:rPr>
                      <w:kern w:val="0"/>
                      <w:szCs w:val="21"/>
                      <w:lang w:val="zh-CN"/>
                    </w:rPr>
                  </w:pPr>
                  <w:r>
                    <w:rPr>
                      <w:kern w:val="0"/>
                      <w:szCs w:val="21"/>
                    </w:rPr>
                    <w:drawing>
                      <wp:anchor distT="0" distB="0" distL="114300" distR="114300" simplePos="0" relativeHeight="251665408" behindDoc="0" locked="0" layoutInCell="1" allowOverlap="1">
                        <wp:simplePos x="0" y="0"/>
                        <wp:positionH relativeFrom="column">
                          <wp:posOffset>187325</wp:posOffset>
                        </wp:positionH>
                        <wp:positionV relativeFrom="paragraph">
                          <wp:posOffset>23495</wp:posOffset>
                        </wp:positionV>
                        <wp:extent cx="1986915" cy="1377950"/>
                        <wp:effectExtent l="0" t="0" r="13335" b="12700"/>
                        <wp:wrapNone/>
                        <wp:docPr id="10" name="图片 38"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13592101_140525028352_2"/>
                                <pic:cNvPicPr>
                                  <a:picLocks noChangeAspect="1"/>
                                </pic:cNvPicPr>
                              </pic:nvPicPr>
                              <pic:blipFill>
                                <a:blip r:embed="rId51" cstate="print"/>
                                <a:stretch>
                                  <a:fillRect/>
                                </a:stretch>
                              </pic:blipFill>
                              <pic:spPr>
                                <a:xfrm>
                                  <a:off x="0" y="0"/>
                                  <a:ext cx="1986915" cy="1377950"/>
                                </a:xfrm>
                                <a:prstGeom prst="rect">
                                  <a:avLst/>
                                </a:prstGeom>
                                <a:noFill/>
                                <a:ln>
                                  <a:noFill/>
                                </a:ln>
                              </pic:spPr>
                            </pic:pic>
                          </a:graphicData>
                        </a:graphic>
                      </wp:anchor>
                    </w:drawing>
                  </w:r>
                </w:p>
                <w:p w14:paraId="143AAE86">
                  <w:pPr>
                    <w:adjustRightInd w:val="0"/>
                    <w:jc w:val="center"/>
                    <w:textAlignment w:val="baseline"/>
                    <w:rPr>
                      <w:kern w:val="0"/>
                      <w:szCs w:val="21"/>
                      <w:lang w:val="zh-CN"/>
                    </w:rPr>
                  </w:pPr>
                </w:p>
              </w:tc>
              <w:tc>
                <w:tcPr>
                  <w:tcW w:w="1337" w:type="dxa"/>
                  <w:vAlign w:val="center"/>
                </w:tcPr>
                <w:p w14:paraId="604579BF">
                  <w:pPr>
                    <w:adjustRightInd w:val="0"/>
                    <w:jc w:val="center"/>
                    <w:textAlignment w:val="baseline"/>
                    <w:rPr>
                      <w:kern w:val="0"/>
                      <w:szCs w:val="21"/>
                      <w:lang w:val="zh-CN"/>
                    </w:rPr>
                  </w:pPr>
                  <w:r>
                    <w:rPr>
                      <w:kern w:val="0"/>
                      <w:szCs w:val="21"/>
                    </w:rPr>
                    <w:t>噪声排放源</w:t>
                  </w:r>
                </w:p>
              </w:tc>
              <w:tc>
                <w:tcPr>
                  <w:tcW w:w="1378" w:type="dxa"/>
                  <w:vAlign w:val="center"/>
                </w:tcPr>
                <w:p w14:paraId="08A4C13F">
                  <w:pPr>
                    <w:adjustRightInd w:val="0"/>
                    <w:jc w:val="center"/>
                    <w:textAlignment w:val="baseline"/>
                    <w:rPr>
                      <w:kern w:val="0"/>
                      <w:szCs w:val="21"/>
                      <w:lang w:val="zh-CN"/>
                    </w:rPr>
                  </w:pPr>
                  <w:r>
                    <w:rPr>
                      <w:kern w:val="0"/>
                      <w:szCs w:val="21"/>
                    </w:rPr>
                    <w:t>表示噪声向外环境排放</w:t>
                  </w:r>
                </w:p>
              </w:tc>
            </w:tr>
            <w:tr w14:paraId="0BDEA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4" w:hRule="atLeast"/>
                <w:jc w:val="center"/>
              </w:trPr>
              <w:tc>
                <w:tcPr>
                  <w:tcW w:w="607" w:type="dxa"/>
                  <w:vAlign w:val="center"/>
                </w:tcPr>
                <w:p w14:paraId="0419F71A">
                  <w:pPr>
                    <w:adjustRightInd w:val="0"/>
                    <w:jc w:val="center"/>
                    <w:textAlignment w:val="baseline"/>
                    <w:rPr>
                      <w:kern w:val="0"/>
                      <w:szCs w:val="21"/>
                    </w:rPr>
                  </w:pPr>
                  <w:r>
                    <w:rPr>
                      <w:kern w:val="0"/>
                      <w:szCs w:val="21"/>
                    </w:rPr>
                    <w:t>3</w:t>
                  </w:r>
                </w:p>
              </w:tc>
              <w:tc>
                <w:tcPr>
                  <w:tcW w:w="3481" w:type="dxa"/>
                  <w:vAlign w:val="center"/>
                </w:tcPr>
                <w:p w14:paraId="1BD48D7B">
                  <w:pPr>
                    <w:adjustRightInd w:val="0"/>
                    <w:jc w:val="center"/>
                    <w:textAlignment w:val="baseline"/>
                    <w:rPr>
                      <w:kern w:val="0"/>
                      <w:szCs w:val="21"/>
                      <w:lang w:val="zh-CN"/>
                    </w:rPr>
                  </w:pPr>
                  <w:r>
                    <w:rPr>
                      <w:kern w:val="0"/>
                      <w:szCs w:val="21"/>
                    </w:rPr>
                    <w:drawing>
                      <wp:anchor distT="0" distB="0" distL="114300" distR="114300" simplePos="0" relativeHeight="251664384" behindDoc="0" locked="0" layoutInCell="1" allowOverlap="1">
                        <wp:simplePos x="0" y="0"/>
                        <wp:positionH relativeFrom="column">
                          <wp:posOffset>172085</wp:posOffset>
                        </wp:positionH>
                        <wp:positionV relativeFrom="paragraph">
                          <wp:posOffset>56515</wp:posOffset>
                        </wp:positionV>
                        <wp:extent cx="2013585" cy="1338580"/>
                        <wp:effectExtent l="0" t="0" r="5715" b="13970"/>
                        <wp:wrapNone/>
                        <wp:docPr id="11" name="图片 39"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TB2.Mf3g4hmpuFjSZFyXXcLdFXa_!!759074892.png_300x300"/>
                                <pic:cNvPicPr>
                                  <a:picLocks noChangeAspect="1"/>
                                </pic:cNvPicPr>
                              </pic:nvPicPr>
                              <pic:blipFill>
                                <a:blip r:embed="rId52" cstate="print"/>
                                <a:stretch>
                                  <a:fillRect/>
                                </a:stretch>
                              </pic:blipFill>
                              <pic:spPr>
                                <a:xfrm>
                                  <a:off x="0" y="0"/>
                                  <a:ext cx="2013585" cy="1338580"/>
                                </a:xfrm>
                                <a:prstGeom prst="rect">
                                  <a:avLst/>
                                </a:prstGeom>
                                <a:noFill/>
                                <a:ln>
                                  <a:noFill/>
                                </a:ln>
                              </pic:spPr>
                            </pic:pic>
                          </a:graphicData>
                        </a:graphic>
                      </wp:anchor>
                    </w:drawing>
                  </w:r>
                </w:p>
                <w:p w14:paraId="16E46087">
                  <w:pPr>
                    <w:adjustRightInd w:val="0"/>
                    <w:jc w:val="center"/>
                    <w:textAlignment w:val="baseline"/>
                    <w:rPr>
                      <w:kern w:val="0"/>
                      <w:szCs w:val="21"/>
                      <w:lang w:val="zh-CN"/>
                    </w:rPr>
                  </w:pPr>
                </w:p>
              </w:tc>
              <w:tc>
                <w:tcPr>
                  <w:tcW w:w="1337" w:type="dxa"/>
                  <w:vAlign w:val="center"/>
                </w:tcPr>
                <w:p w14:paraId="3FC7A0C7">
                  <w:pPr>
                    <w:adjustRightInd w:val="0"/>
                    <w:jc w:val="center"/>
                    <w:textAlignment w:val="baseline"/>
                    <w:rPr>
                      <w:kern w:val="0"/>
                      <w:szCs w:val="21"/>
                      <w:lang w:val="zh-CN"/>
                    </w:rPr>
                  </w:pPr>
                  <w:r>
                    <w:rPr>
                      <w:kern w:val="0"/>
                      <w:szCs w:val="21"/>
                    </w:rPr>
                    <w:t>一般固体废物</w:t>
                  </w:r>
                </w:p>
              </w:tc>
              <w:tc>
                <w:tcPr>
                  <w:tcW w:w="1378" w:type="dxa"/>
                  <w:vAlign w:val="center"/>
                </w:tcPr>
                <w:p w14:paraId="0EA0D97C">
                  <w:pPr>
                    <w:adjustRightInd w:val="0"/>
                    <w:jc w:val="center"/>
                    <w:textAlignment w:val="baseline"/>
                    <w:rPr>
                      <w:kern w:val="0"/>
                      <w:szCs w:val="21"/>
                      <w:lang w:val="zh-CN"/>
                    </w:rPr>
                  </w:pPr>
                  <w:r>
                    <w:rPr>
                      <w:kern w:val="0"/>
                      <w:szCs w:val="21"/>
                    </w:rPr>
                    <w:t>表示一般固体废物贮存、处置场</w:t>
                  </w:r>
                </w:p>
              </w:tc>
            </w:tr>
            <w:tr w14:paraId="5D6B0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7" w:type="dxa"/>
                  <w:vAlign w:val="center"/>
                </w:tcPr>
                <w:p w14:paraId="1F1521FD">
                  <w:pPr>
                    <w:adjustRightInd w:val="0"/>
                    <w:jc w:val="center"/>
                    <w:textAlignment w:val="baseline"/>
                    <w:rPr>
                      <w:kern w:val="0"/>
                      <w:szCs w:val="21"/>
                    </w:rPr>
                  </w:pPr>
                  <w:r>
                    <w:rPr>
                      <w:kern w:val="0"/>
                      <w:szCs w:val="21"/>
                    </w:rPr>
                    <w:t>4</w:t>
                  </w:r>
                </w:p>
              </w:tc>
              <w:tc>
                <w:tcPr>
                  <w:tcW w:w="3481" w:type="dxa"/>
                  <w:vAlign w:val="center"/>
                </w:tcPr>
                <w:p w14:paraId="44E7891C">
                  <w:pPr>
                    <w:adjustRightInd w:val="0"/>
                    <w:jc w:val="center"/>
                    <w:textAlignment w:val="baseline"/>
                    <w:rPr>
                      <w:kern w:val="0"/>
                      <w:szCs w:val="21"/>
                      <w:lang w:val="zh-CN"/>
                    </w:rPr>
                  </w:pPr>
                  <w:r>
                    <w:rPr>
                      <w:kern w:val="0"/>
                      <w:szCs w:val="21"/>
                    </w:rPr>
                    <w:drawing>
                      <wp:inline distT="0" distB="0" distL="114300" distR="114300">
                        <wp:extent cx="2061210" cy="1297305"/>
                        <wp:effectExtent l="0" t="0" r="15240" b="171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3" cstate="print"/>
                                <a:stretch>
                                  <a:fillRect/>
                                </a:stretch>
                              </pic:blipFill>
                              <pic:spPr>
                                <a:xfrm>
                                  <a:off x="0" y="0"/>
                                  <a:ext cx="2061210" cy="1297305"/>
                                </a:xfrm>
                                <a:prstGeom prst="rect">
                                  <a:avLst/>
                                </a:prstGeom>
                                <a:noFill/>
                                <a:ln>
                                  <a:noFill/>
                                </a:ln>
                              </pic:spPr>
                            </pic:pic>
                          </a:graphicData>
                        </a:graphic>
                      </wp:inline>
                    </w:drawing>
                  </w:r>
                </w:p>
              </w:tc>
              <w:tc>
                <w:tcPr>
                  <w:tcW w:w="1337" w:type="dxa"/>
                  <w:vAlign w:val="center"/>
                </w:tcPr>
                <w:p w14:paraId="2BC74BE1">
                  <w:pPr>
                    <w:adjustRightInd w:val="0"/>
                    <w:jc w:val="center"/>
                    <w:textAlignment w:val="baseline"/>
                    <w:rPr>
                      <w:kern w:val="0"/>
                      <w:szCs w:val="21"/>
                      <w:lang w:val="zh-CN"/>
                    </w:rPr>
                  </w:pPr>
                  <w:r>
                    <w:rPr>
                      <w:kern w:val="0"/>
                      <w:szCs w:val="21"/>
                    </w:rPr>
                    <w:t>危险废物储存</w:t>
                  </w:r>
                </w:p>
              </w:tc>
              <w:tc>
                <w:tcPr>
                  <w:tcW w:w="1378" w:type="dxa"/>
                  <w:vAlign w:val="center"/>
                </w:tcPr>
                <w:p w14:paraId="7C7627D0">
                  <w:pPr>
                    <w:adjustRightInd w:val="0"/>
                    <w:jc w:val="center"/>
                    <w:textAlignment w:val="baseline"/>
                    <w:rPr>
                      <w:kern w:val="0"/>
                      <w:szCs w:val="21"/>
                      <w:lang w:val="zh-CN"/>
                    </w:rPr>
                  </w:pPr>
                  <w:r>
                    <w:rPr>
                      <w:kern w:val="0"/>
                      <w:szCs w:val="21"/>
                    </w:rPr>
                    <w:t>表示危险废物储存处置场所</w:t>
                  </w:r>
                </w:p>
              </w:tc>
            </w:tr>
          </w:tbl>
          <w:p w14:paraId="0CBA77F0">
            <w:pPr>
              <w:spacing w:line="480" w:lineRule="exact"/>
              <w:jc w:val="center"/>
              <w:outlineLvl w:val="3"/>
              <w:rPr>
                <w:b/>
                <w:bCs/>
                <w:szCs w:val="21"/>
              </w:rPr>
            </w:pPr>
            <w:r>
              <w:rPr>
                <w:b/>
                <w:bCs/>
                <w:szCs w:val="21"/>
              </w:rPr>
              <w:t>表5-</w:t>
            </w:r>
            <w:r>
              <w:rPr>
                <w:rFonts w:hint="eastAsia"/>
                <w:b/>
                <w:bCs/>
                <w:szCs w:val="21"/>
              </w:rPr>
              <w:t>6</w:t>
            </w:r>
            <w:r>
              <w:rPr>
                <w:b/>
                <w:bCs/>
                <w:szCs w:val="21"/>
              </w:rPr>
              <w:t xml:space="preserve">     危暂存设施及储存容器标签示例</w:t>
            </w: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96"/>
              <w:gridCol w:w="3776"/>
              <w:gridCol w:w="2998"/>
            </w:tblGrid>
            <w:tr w14:paraId="6AD60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4" w:type="pct"/>
                  <w:tcBorders>
                    <w:tl2br w:val="nil"/>
                    <w:tr2bl w:val="nil"/>
                  </w:tcBorders>
                  <w:vAlign w:val="center"/>
                </w:tcPr>
                <w:p w14:paraId="6108C9FD">
                  <w:pPr>
                    <w:adjustRightInd w:val="0"/>
                    <w:jc w:val="center"/>
                    <w:textAlignment w:val="baseline"/>
                    <w:rPr>
                      <w:kern w:val="0"/>
                      <w:szCs w:val="21"/>
                    </w:rPr>
                  </w:pPr>
                  <w:r>
                    <w:rPr>
                      <w:kern w:val="0"/>
                      <w:szCs w:val="21"/>
                    </w:rPr>
                    <w:t>场合</w:t>
                  </w:r>
                </w:p>
              </w:tc>
              <w:tc>
                <w:tcPr>
                  <w:tcW w:w="2561" w:type="pct"/>
                  <w:tcBorders>
                    <w:tl2br w:val="nil"/>
                    <w:tr2bl w:val="nil"/>
                  </w:tcBorders>
                  <w:vAlign w:val="center"/>
                </w:tcPr>
                <w:p w14:paraId="10E2465E">
                  <w:pPr>
                    <w:adjustRightInd w:val="0"/>
                    <w:jc w:val="center"/>
                    <w:textAlignment w:val="baseline"/>
                    <w:rPr>
                      <w:kern w:val="0"/>
                      <w:szCs w:val="21"/>
                    </w:rPr>
                  </w:pPr>
                  <w:r>
                    <w:rPr>
                      <w:kern w:val="0"/>
                      <w:szCs w:val="21"/>
                    </w:rPr>
                    <w:t>样式</w:t>
                  </w:r>
                </w:p>
              </w:tc>
              <w:tc>
                <w:tcPr>
                  <w:tcW w:w="2033" w:type="pct"/>
                  <w:tcBorders>
                    <w:tl2br w:val="nil"/>
                    <w:tr2bl w:val="nil"/>
                  </w:tcBorders>
                  <w:vAlign w:val="center"/>
                </w:tcPr>
                <w:p w14:paraId="5B6D9265">
                  <w:pPr>
                    <w:adjustRightInd w:val="0"/>
                    <w:jc w:val="center"/>
                    <w:textAlignment w:val="baseline"/>
                    <w:rPr>
                      <w:kern w:val="0"/>
                      <w:szCs w:val="21"/>
                    </w:rPr>
                  </w:pPr>
                  <w:r>
                    <w:rPr>
                      <w:kern w:val="0"/>
                      <w:szCs w:val="21"/>
                    </w:rPr>
                    <w:t>要求</w:t>
                  </w:r>
                </w:p>
              </w:tc>
            </w:tr>
            <w:tr w14:paraId="79444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04" w:type="pct"/>
                  <w:tcBorders>
                    <w:tl2br w:val="nil"/>
                    <w:tr2bl w:val="nil"/>
                  </w:tcBorders>
                  <w:vAlign w:val="center"/>
                </w:tcPr>
                <w:p w14:paraId="338F3B91">
                  <w:pPr>
                    <w:adjustRightInd w:val="0"/>
                    <w:jc w:val="center"/>
                    <w:textAlignment w:val="baseline"/>
                    <w:rPr>
                      <w:kern w:val="0"/>
                      <w:szCs w:val="21"/>
                    </w:rPr>
                  </w:pPr>
                  <w:r>
                    <w:rPr>
                      <w:kern w:val="0"/>
                      <w:szCs w:val="21"/>
                    </w:rPr>
                    <w:t>粘贴于危险废物储存容器</w:t>
                  </w:r>
                </w:p>
              </w:tc>
              <w:tc>
                <w:tcPr>
                  <w:tcW w:w="2561" w:type="pct"/>
                  <w:tcBorders>
                    <w:tl2br w:val="nil"/>
                    <w:tr2bl w:val="nil"/>
                  </w:tcBorders>
                  <w:vAlign w:val="center"/>
                </w:tcPr>
                <w:p w14:paraId="3FB07C06">
                  <w:pPr>
                    <w:adjustRightInd w:val="0"/>
                    <w:jc w:val="center"/>
                    <w:textAlignment w:val="baseline"/>
                    <w:rPr>
                      <w:kern w:val="0"/>
                      <w:szCs w:val="21"/>
                    </w:rPr>
                  </w:pPr>
                  <w:r>
                    <w:rPr>
                      <w:kern w:val="0"/>
                      <w:szCs w:val="21"/>
                    </w:rPr>
                    <w:drawing>
                      <wp:inline distT="0" distB="0" distL="114300" distR="114300">
                        <wp:extent cx="1697355" cy="1697355"/>
                        <wp:effectExtent l="0" t="0" r="17145" b="171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54" cstate="print"/>
                                <a:stretch>
                                  <a:fillRect/>
                                </a:stretch>
                              </pic:blipFill>
                              <pic:spPr>
                                <a:xfrm>
                                  <a:off x="0" y="0"/>
                                  <a:ext cx="1697355" cy="1697355"/>
                                </a:xfrm>
                                <a:prstGeom prst="rect">
                                  <a:avLst/>
                                </a:prstGeom>
                                <a:noFill/>
                                <a:ln>
                                  <a:noFill/>
                                </a:ln>
                              </pic:spPr>
                            </pic:pic>
                          </a:graphicData>
                        </a:graphic>
                      </wp:inline>
                    </w:drawing>
                  </w:r>
                </w:p>
              </w:tc>
              <w:tc>
                <w:tcPr>
                  <w:tcW w:w="2033" w:type="pct"/>
                  <w:tcBorders>
                    <w:tl2br w:val="nil"/>
                    <w:tr2bl w:val="nil"/>
                  </w:tcBorders>
                  <w:vAlign w:val="center"/>
                </w:tcPr>
                <w:p w14:paraId="3CE6CA8E">
                  <w:pPr>
                    <w:adjustRightInd w:val="0"/>
                    <w:jc w:val="center"/>
                    <w:textAlignment w:val="baseline"/>
                    <w:rPr>
                      <w:kern w:val="0"/>
                      <w:szCs w:val="21"/>
                    </w:rPr>
                  </w:pPr>
                  <w:r>
                    <w:rPr>
                      <w:kern w:val="0"/>
                      <w:szCs w:val="21"/>
                    </w:rPr>
                    <w:t>1、危险废物标签尺寸颜色：</w:t>
                  </w:r>
                </w:p>
                <w:p w14:paraId="0F7771AB">
                  <w:pPr>
                    <w:adjustRightInd w:val="0"/>
                    <w:jc w:val="center"/>
                    <w:textAlignment w:val="baseline"/>
                    <w:rPr>
                      <w:kern w:val="0"/>
                      <w:szCs w:val="21"/>
                    </w:rPr>
                  </w:pPr>
                  <w:r>
                    <w:rPr>
                      <w:kern w:val="0"/>
                      <w:szCs w:val="21"/>
                    </w:rPr>
                    <w:t>尺寸：20×20cm</w:t>
                  </w:r>
                </w:p>
                <w:p w14:paraId="46A639B4">
                  <w:pPr>
                    <w:adjustRightInd w:val="0"/>
                    <w:jc w:val="center"/>
                    <w:textAlignment w:val="baseline"/>
                    <w:rPr>
                      <w:kern w:val="0"/>
                      <w:szCs w:val="21"/>
                    </w:rPr>
                  </w:pPr>
                  <w:r>
                    <w:rPr>
                      <w:kern w:val="0"/>
                      <w:szCs w:val="21"/>
                    </w:rPr>
                    <w:t>底色：醒目的橘黄色字体：黑体字</w:t>
                  </w:r>
                </w:p>
                <w:p w14:paraId="33B9B1E4">
                  <w:pPr>
                    <w:adjustRightInd w:val="0"/>
                    <w:jc w:val="center"/>
                    <w:textAlignment w:val="baseline"/>
                    <w:rPr>
                      <w:kern w:val="0"/>
                      <w:szCs w:val="21"/>
                    </w:rPr>
                  </w:pPr>
                  <w:r>
                    <w:rPr>
                      <w:kern w:val="0"/>
                      <w:szCs w:val="21"/>
                    </w:rPr>
                    <w:t>字体颜色：黑色2、危险类别：按危险废物种类选择</w:t>
                  </w:r>
                </w:p>
              </w:tc>
            </w:tr>
            <w:tr w14:paraId="1B366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67" w:hRule="atLeast"/>
                <w:jc w:val="center"/>
              </w:trPr>
              <w:tc>
                <w:tcPr>
                  <w:tcW w:w="404" w:type="pct"/>
                  <w:tcBorders>
                    <w:tl2br w:val="nil"/>
                    <w:tr2bl w:val="nil"/>
                  </w:tcBorders>
                  <w:vAlign w:val="center"/>
                </w:tcPr>
                <w:p w14:paraId="7EEB07DE">
                  <w:pPr>
                    <w:adjustRightInd w:val="0"/>
                    <w:jc w:val="center"/>
                    <w:textAlignment w:val="baseline"/>
                    <w:rPr>
                      <w:kern w:val="0"/>
                      <w:szCs w:val="21"/>
                    </w:rPr>
                  </w:pPr>
                  <w:r>
                    <w:rPr>
                      <w:kern w:val="0"/>
                      <w:szCs w:val="21"/>
                    </w:rPr>
                    <w:t>危险废物贮存分区标志</w:t>
                  </w:r>
                </w:p>
              </w:tc>
              <w:tc>
                <w:tcPr>
                  <w:tcW w:w="2561" w:type="pct"/>
                  <w:tcBorders>
                    <w:tl2br w:val="nil"/>
                    <w:tr2bl w:val="nil"/>
                  </w:tcBorders>
                  <w:vAlign w:val="center"/>
                </w:tcPr>
                <w:p w14:paraId="73F8F9BA">
                  <w:pPr>
                    <w:adjustRightInd w:val="0"/>
                    <w:textAlignment w:val="baseline"/>
                    <w:rPr>
                      <w:kern w:val="0"/>
                      <w:szCs w:val="21"/>
                    </w:rPr>
                  </w:pPr>
                  <w:r>
                    <w:drawing>
                      <wp:anchor distT="0" distB="0" distL="114300" distR="114300" simplePos="0" relativeHeight="251666432" behindDoc="0" locked="0" layoutInCell="1" allowOverlap="1">
                        <wp:simplePos x="0" y="0"/>
                        <wp:positionH relativeFrom="column">
                          <wp:posOffset>403860</wp:posOffset>
                        </wp:positionH>
                        <wp:positionV relativeFrom="paragraph">
                          <wp:posOffset>28575</wp:posOffset>
                        </wp:positionV>
                        <wp:extent cx="1689735" cy="1673860"/>
                        <wp:effectExtent l="0" t="0" r="5715" b="2540"/>
                        <wp:wrapTopAndBottom/>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55" cstate="print"/>
                                <a:stretch>
                                  <a:fillRect/>
                                </a:stretch>
                              </pic:blipFill>
                              <pic:spPr>
                                <a:xfrm>
                                  <a:off x="0" y="0"/>
                                  <a:ext cx="1689735" cy="1673860"/>
                                </a:xfrm>
                                <a:prstGeom prst="rect">
                                  <a:avLst/>
                                </a:prstGeom>
                                <a:noFill/>
                                <a:ln>
                                  <a:noFill/>
                                </a:ln>
                              </pic:spPr>
                            </pic:pic>
                          </a:graphicData>
                        </a:graphic>
                      </wp:anchor>
                    </w:drawing>
                  </w:r>
                </w:p>
              </w:tc>
              <w:tc>
                <w:tcPr>
                  <w:tcW w:w="2033" w:type="pct"/>
                  <w:tcBorders>
                    <w:tl2br w:val="nil"/>
                    <w:tr2bl w:val="nil"/>
                  </w:tcBorders>
                  <w:vAlign w:val="center"/>
                </w:tcPr>
                <w:p w14:paraId="4BC12FC7">
                  <w:pPr>
                    <w:adjustRightInd w:val="0"/>
                    <w:jc w:val="center"/>
                    <w:textAlignment w:val="baseline"/>
                    <w:rPr>
                      <w:kern w:val="0"/>
                      <w:szCs w:val="21"/>
                    </w:rPr>
                  </w:pPr>
                  <w:r>
                    <w:rPr>
                      <w:rFonts w:hint="eastAsia"/>
                      <w:kern w:val="0"/>
                      <w:szCs w:val="21"/>
                    </w:rPr>
                    <w:t>1、</w:t>
                  </w:r>
                  <w:r>
                    <w:rPr>
                      <w:kern w:val="0"/>
                      <w:szCs w:val="21"/>
                    </w:rPr>
                    <w:t>危险废物设施标志背景颜色为黄色，字体和边框颜色为黑色。</w:t>
                  </w:r>
                </w:p>
                <w:p w14:paraId="0FF8DAA8">
                  <w:pPr>
                    <w:adjustRightInd w:val="0"/>
                    <w:jc w:val="center"/>
                    <w:textAlignment w:val="baseline"/>
                    <w:rPr>
                      <w:kern w:val="0"/>
                      <w:szCs w:val="21"/>
                    </w:rPr>
                  </w:pPr>
                  <w:r>
                    <w:rPr>
                      <w:kern w:val="0"/>
                      <w:szCs w:val="21"/>
                    </w:rPr>
                    <w:t>2、危险废物设施标志字体应采用黑体字，其中危险废物设施类型的字样应加粗放大并居中显示。</w:t>
                  </w:r>
                </w:p>
              </w:tc>
            </w:tr>
          </w:tbl>
          <w:p w14:paraId="403245AA">
            <w:pPr>
              <w:spacing w:line="480" w:lineRule="exact"/>
              <w:ind w:firstLine="480" w:firstLineChars="200"/>
              <w:rPr>
                <w:sz w:val="24"/>
              </w:rPr>
            </w:pPr>
            <w:r>
              <w:rPr>
                <w:sz w:val="24"/>
              </w:rPr>
              <w:t>环境保护图形标志--排放口(源)的形状及颜色见下表。</w:t>
            </w:r>
          </w:p>
          <w:p w14:paraId="2C18B809">
            <w:pPr>
              <w:spacing w:line="480" w:lineRule="exact"/>
              <w:jc w:val="center"/>
              <w:outlineLvl w:val="3"/>
              <w:rPr>
                <w:b/>
                <w:bCs/>
                <w:szCs w:val="21"/>
              </w:rPr>
            </w:pPr>
            <w:r>
              <w:rPr>
                <w:b/>
                <w:bCs/>
                <w:szCs w:val="21"/>
              </w:rPr>
              <w:t>表5-</w:t>
            </w:r>
            <w:r>
              <w:rPr>
                <w:rFonts w:hint="eastAsia"/>
                <w:b/>
                <w:bCs/>
                <w:szCs w:val="21"/>
              </w:rPr>
              <w:t>7</w:t>
            </w:r>
            <w:r>
              <w:rPr>
                <w:b/>
                <w:bCs/>
                <w:szCs w:val="21"/>
              </w:rPr>
              <w:t xml:space="preserve">     标志的形状及颜色说明</w:t>
            </w:r>
          </w:p>
          <w:p w14:paraId="54FC4CFC">
            <w:pPr>
              <w:spacing w:line="19" w:lineRule="exact"/>
              <w:ind w:firstLine="480" w:firstLineChars="200"/>
              <w:rPr>
                <w:sz w:val="24"/>
              </w:rPr>
            </w:pPr>
          </w:p>
          <w:tbl>
            <w:tblPr>
              <w:tblStyle w:val="32"/>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844"/>
              <w:gridCol w:w="1841"/>
              <w:gridCol w:w="1841"/>
              <w:gridCol w:w="1844"/>
            </w:tblGrid>
            <w:tr w14:paraId="7B67B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71D4BF69">
                  <w:pPr>
                    <w:adjustRightInd w:val="0"/>
                    <w:jc w:val="center"/>
                    <w:textAlignment w:val="baseline"/>
                    <w:rPr>
                      <w:kern w:val="0"/>
                      <w:szCs w:val="21"/>
                    </w:rPr>
                  </w:pPr>
                  <w:r>
                    <w:rPr>
                      <w:kern w:val="0"/>
                      <w:szCs w:val="21"/>
                    </w:rPr>
                    <w:t>/</w:t>
                  </w:r>
                </w:p>
              </w:tc>
              <w:tc>
                <w:tcPr>
                  <w:tcW w:w="1249" w:type="pct"/>
                  <w:tcBorders>
                    <w:tl2br w:val="nil"/>
                    <w:tr2bl w:val="nil"/>
                  </w:tcBorders>
                  <w:vAlign w:val="center"/>
                </w:tcPr>
                <w:p w14:paraId="53AF664E">
                  <w:pPr>
                    <w:adjustRightInd w:val="0"/>
                    <w:jc w:val="center"/>
                    <w:textAlignment w:val="baseline"/>
                    <w:rPr>
                      <w:kern w:val="0"/>
                      <w:szCs w:val="21"/>
                    </w:rPr>
                  </w:pPr>
                  <w:r>
                    <w:rPr>
                      <w:kern w:val="0"/>
                      <w:szCs w:val="21"/>
                    </w:rPr>
                    <w:t>形状</w:t>
                  </w:r>
                </w:p>
              </w:tc>
              <w:tc>
                <w:tcPr>
                  <w:tcW w:w="1249" w:type="pct"/>
                  <w:tcBorders>
                    <w:tl2br w:val="nil"/>
                    <w:tr2bl w:val="nil"/>
                  </w:tcBorders>
                  <w:vAlign w:val="center"/>
                </w:tcPr>
                <w:p w14:paraId="064335F1">
                  <w:pPr>
                    <w:adjustRightInd w:val="0"/>
                    <w:jc w:val="center"/>
                    <w:textAlignment w:val="baseline"/>
                    <w:rPr>
                      <w:kern w:val="0"/>
                      <w:szCs w:val="21"/>
                    </w:rPr>
                  </w:pPr>
                  <w:r>
                    <w:rPr>
                      <w:kern w:val="0"/>
                      <w:szCs w:val="21"/>
                    </w:rPr>
                    <w:t>背景颜色</w:t>
                  </w:r>
                </w:p>
              </w:tc>
              <w:tc>
                <w:tcPr>
                  <w:tcW w:w="1250" w:type="pct"/>
                  <w:tcBorders>
                    <w:tl2br w:val="nil"/>
                    <w:tr2bl w:val="nil"/>
                  </w:tcBorders>
                  <w:vAlign w:val="center"/>
                </w:tcPr>
                <w:p w14:paraId="59591446">
                  <w:pPr>
                    <w:adjustRightInd w:val="0"/>
                    <w:jc w:val="center"/>
                    <w:textAlignment w:val="baseline"/>
                    <w:rPr>
                      <w:kern w:val="0"/>
                      <w:szCs w:val="21"/>
                    </w:rPr>
                  </w:pPr>
                  <w:r>
                    <w:rPr>
                      <w:kern w:val="0"/>
                      <w:szCs w:val="21"/>
                    </w:rPr>
                    <w:t>图形颜色</w:t>
                  </w:r>
                </w:p>
              </w:tc>
            </w:tr>
            <w:tr w14:paraId="77689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5D4D3B0F">
                  <w:pPr>
                    <w:adjustRightInd w:val="0"/>
                    <w:jc w:val="center"/>
                    <w:textAlignment w:val="baseline"/>
                    <w:rPr>
                      <w:kern w:val="0"/>
                      <w:szCs w:val="21"/>
                    </w:rPr>
                  </w:pPr>
                  <w:r>
                    <w:rPr>
                      <w:kern w:val="0"/>
                      <w:szCs w:val="21"/>
                    </w:rPr>
                    <w:t>警告标志</w:t>
                  </w:r>
                </w:p>
              </w:tc>
              <w:tc>
                <w:tcPr>
                  <w:tcW w:w="1249" w:type="pct"/>
                  <w:tcBorders>
                    <w:tl2br w:val="nil"/>
                    <w:tr2bl w:val="nil"/>
                  </w:tcBorders>
                  <w:vAlign w:val="center"/>
                </w:tcPr>
                <w:p w14:paraId="3C258993">
                  <w:pPr>
                    <w:adjustRightInd w:val="0"/>
                    <w:jc w:val="center"/>
                    <w:textAlignment w:val="baseline"/>
                    <w:rPr>
                      <w:kern w:val="0"/>
                      <w:szCs w:val="21"/>
                    </w:rPr>
                  </w:pPr>
                  <w:r>
                    <w:rPr>
                      <w:kern w:val="0"/>
                      <w:szCs w:val="21"/>
                    </w:rPr>
                    <w:t>三角形边框</w:t>
                  </w:r>
                </w:p>
              </w:tc>
              <w:tc>
                <w:tcPr>
                  <w:tcW w:w="1249" w:type="pct"/>
                  <w:tcBorders>
                    <w:tl2br w:val="nil"/>
                    <w:tr2bl w:val="nil"/>
                  </w:tcBorders>
                  <w:vAlign w:val="center"/>
                </w:tcPr>
                <w:p w14:paraId="1CDC4DFB">
                  <w:pPr>
                    <w:adjustRightInd w:val="0"/>
                    <w:jc w:val="center"/>
                    <w:textAlignment w:val="baseline"/>
                    <w:rPr>
                      <w:kern w:val="0"/>
                      <w:szCs w:val="21"/>
                    </w:rPr>
                  </w:pPr>
                  <w:r>
                    <w:rPr>
                      <w:kern w:val="0"/>
                      <w:szCs w:val="21"/>
                    </w:rPr>
                    <w:t>黄色</w:t>
                  </w:r>
                </w:p>
              </w:tc>
              <w:tc>
                <w:tcPr>
                  <w:tcW w:w="1250" w:type="pct"/>
                  <w:tcBorders>
                    <w:tl2br w:val="nil"/>
                    <w:tr2bl w:val="nil"/>
                  </w:tcBorders>
                  <w:vAlign w:val="center"/>
                </w:tcPr>
                <w:p w14:paraId="36FF60B0">
                  <w:pPr>
                    <w:adjustRightInd w:val="0"/>
                    <w:jc w:val="center"/>
                    <w:textAlignment w:val="baseline"/>
                    <w:rPr>
                      <w:kern w:val="0"/>
                      <w:szCs w:val="21"/>
                    </w:rPr>
                  </w:pPr>
                  <w:r>
                    <w:rPr>
                      <w:kern w:val="0"/>
                      <w:szCs w:val="21"/>
                    </w:rPr>
                    <w:t>黑色</w:t>
                  </w:r>
                </w:p>
              </w:tc>
            </w:tr>
            <w:tr w14:paraId="26AD5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250" w:type="pct"/>
                  <w:tcBorders>
                    <w:tl2br w:val="nil"/>
                    <w:tr2bl w:val="nil"/>
                  </w:tcBorders>
                  <w:vAlign w:val="center"/>
                </w:tcPr>
                <w:p w14:paraId="67FF2E30">
                  <w:pPr>
                    <w:adjustRightInd w:val="0"/>
                    <w:jc w:val="center"/>
                    <w:textAlignment w:val="baseline"/>
                    <w:rPr>
                      <w:kern w:val="0"/>
                      <w:szCs w:val="21"/>
                    </w:rPr>
                  </w:pPr>
                  <w:r>
                    <w:rPr>
                      <w:kern w:val="0"/>
                      <w:szCs w:val="21"/>
                    </w:rPr>
                    <w:t>提示标志</w:t>
                  </w:r>
                </w:p>
              </w:tc>
              <w:tc>
                <w:tcPr>
                  <w:tcW w:w="1249" w:type="pct"/>
                  <w:tcBorders>
                    <w:tl2br w:val="nil"/>
                    <w:tr2bl w:val="nil"/>
                  </w:tcBorders>
                  <w:vAlign w:val="center"/>
                </w:tcPr>
                <w:p w14:paraId="4EE01BD5">
                  <w:pPr>
                    <w:adjustRightInd w:val="0"/>
                    <w:jc w:val="center"/>
                    <w:textAlignment w:val="baseline"/>
                    <w:rPr>
                      <w:kern w:val="0"/>
                      <w:szCs w:val="21"/>
                    </w:rPr>
                  </w:pPr>
                  <w:r>
                    <w:rPr>
                      <w:kern w:val="0"/>
                      <w:szCs w:val="21"/>
                    </w:rPr>
                    <w:t>正方形边框</w:t>
                  </w:r>
                </w:p>
              </w:tc>
              <w:tc>
                <w:tcPr>
                  <w:tcW w:w="1249" w:type="pct"/>
                  <w:tcBorders>
                    <w:tl2br w:val="nil"/>
                    <w:tr2bl w:val="nil"/>
                  </w:tcBorders>
                  <w:vAlign w:val="center"/>
                </w:tcPr>
                <w:p w14:paraId="7084BF18">
                  <w:pPr>
                    <w:adjustRightInd w:val="0"/>
                    <w:jc w:val="center"/>
                    <w:textAlignment w:val="baseline"/>
                    <w:rPr>
                      <w:kern w:val="0"/>
                      <w:szCs w:val="21"/>
                    </w:rPr>
                  </w:pPr>
                  <w:r>
                    <w:rPr>
                      <w:kern w:val="0"/>
                      <w:szCs w:val="21"/>
                    </w:rPr>
                    <w:t>绿色</w:t>
                  </w:r>
                </w:p>
              </w:tc>
              <w:tc>
                <w:tcPr>
                  <w:tcW w:w="1250" w:type="pct"/>
                  <w:tcBorders>
                    <w:tl2br w:val="nil"/>
                    <w:tr2bl w:val="nil"/>
                  </w:tcBorders>
                  <w:vAlign w:val="center"/>
                </w:tcPr>
                <w:p w14:paraId="2E15B7B3">
                  <w:pPr>
                    <w:adjustRightInd w:val="0"/>
                    <w:jc w:val="center"/>
                    <w:textAlignment w:val="baseline"/>
                    <w:rPr>
                      <w:kern w:val="0"/>
                      <w:szCs w:val="21"/>
                    </w:rPr>
                  </w:pPr>
                  <w:r>
                    <w:rPr>
                      <w:kern w:val="0"/>
                      <w:szCs w:val="21"/>
                    </w:rPr>
                    <w:t>白色</w:t>
                  </w:r>
                </w:p>
              </w:tc>
            </w:tr>
          </w:tbl>
          <w:p w14:paraId="603D16BC">
            <w:pPr>
              <w:widowControl/>
              <w:adjustRightInd w:val="0"/>
              <w:snapToGrid w:val="0"/>
              <w:spacing w:line="480" w:lineRule="exact"/>
              <w:ind w:firstLine="480" w:firstLineChars="200"/>
              <w:rPr>
                <w:sz w:val="24"/>
              </w:rPr>
            </w:pPr>
            <w:r>
              <w:rPr>
                <w:sz w:val="24"/>
              </w:rPr>
              <w:t>排污口应便于采样与计量监测，便于日常现场监督检查。</w:t>
            </w:r>
          </w:p>
        </w:tc>
      </w:tr>
      <w:tr w14:paraId="6D949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 w:type="pct"/>
            <w:vAlign w:val="center"/>
          </w:tcPr>
          <w:p w14:paraId="5D2DEC71">
            <w:pPr>
              <w:adjustRightInd w:val="0"/>
              <w:snapToGrid w:val="0"/>
              <w:jc w:val="center"/>
              <w:rPr>
                <w:bCs/>
                <w:spacing w:val="10"/>
                <w:sz w:val="24"/>
              </w:rPr>
            </w:pPr>
            <w:r>
              <w:rPr>
                <w:bCs/>
                <w:sz w:val="24"/>
              </w:rPr>
              <w:t>环保投资</w:t>
            </w:r>
          </w:p>
        </w:tc>
        <w:tc>
          <w:tcPr>
            <w:tcW w:w="4816" w:type="pct"/>
          </w:tcPr>
          <w:p w14:paraId="73AD4A8D">
            <w:pPr>
              <w:adjustRightInd w:val="0"/>
              <w:snapToGrid w:val="0"/>
              <w:spacing w:line="480" w:lineRule="exact"/>
              <w:ind w:firstLine="480" w:firstLineChars="200"/>
            </w:pPr>
            <w:r>
              <w:rPr>
                <w:sz w:val="24"/>
              </w:rPr>
              <w:t>项目环保投资主要包括：水环境保护、生态防护和恢复、噪声防治、环境空气保护、固体废弃物处理等投资。本项目总投资</w:t>
            </w:r>
            <w:r>
              <w:rPr>
                <w:rFonts w:hint="eastAsia"/>
                <w:sz w:val="24"/>
              </w:rPr>
              <w:t>194934</w:t>
            </w:r>
            <w:r>
              <w:rPr>
                <w:sz w:val="24"/>
              </w:rPr>
              <w:t>万元，环保投资</w:t>
            </w:r>
            <w:r>
              <w:rPr>
                <w:rFonts w:hint="eastAsia"/>
                <w:sz w:val="24"/>
              </w:rPr>
              <w:t>319</w:t>
            </w:r>
            <w:r>
              <w:rPr>
                <w:sz w:val="24"/>
              </w:rPr>
              <w:t>万元，环保投资占总投资</w:t>
            </w:r>
            <w:r>
              <w:rPr>
                <w:rFonts w:hint="eastAsia"/>
                <w:sz w:val="24"/>
              </w:rPr>
              <w:t>0.16</w:t>
            </w:r>
            <w:r>
              <w:rPr>
                <w:sz w:val="24"/>
              </w:rPr>
              <w:t>%，项目环保投资估算详见下表。</w:t>
            </w:r>
          </w:p>
          <w:p w14:paraId="24CDF45A">
            <w:pPr>
              <w:spacing w:line="480" w:lineRule="exact"/>
              <w:jc w:val="center"/>
              <w:outlineLvl w:val="3"/>
              <w:rPr>
                <w:b/>
                <w:bCs/>
                <w:szCs w:val="21"/>
              </w:rPr>
            </w:pPr>
            <w:r>
              <w:rPr>
                <w:b/>
                <w:bCs/>
                <w:szCs w:val="21"/>
              </w:rPr>
              <w:t>表5-</w:t>
            </w:r>
            <w:r>
              <w:rPr>
                <w:rFonts w:hint="eastAsia"/>
                <w:b/>
                <w:bCs/>
                <w:szCs w:val="21"/>
              </w:rPr>
              <w:t>8</w:t>
            </w:r>
            <w:r>
              <w:rPr>
                <w:b/>
                <w:bCs/>
                <w:szCs w:val="21"/>
              </w:rPr>
              <w:t xml:space="preserve">     本项目环保投资估算表</w:t>
            </w:r>
          </w:p>
          <w:tbl>
            <w:tblPr>
              <w:tblStyle w:val="32"/>
              <w:tblW w:w="78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50"/>
              <w:gridCol w:w="1857"/>
              <w:gridCol w:w="4645"/>
              <w:gridCol w:w="970"/>
            </w:tblGrid>
            <w:tr w14:paraId="62B8C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tcBorders>
                    <w:tl2br w:val="nil"/>
                    <w:tr2bl w:val="nil"/>
                  </w:tcBorders>
                  <w:vAlign w:val="center"/>
                </w:tcPr>
                <w:p w14:paraId="0FEBC8A5">
                  <w:pPr>
                    <w:adjustRightInd w:val="0"/>
                    <w:jc w:val="center"/>
                    <w:textAlignment w:val="baseline"/>
                    <w:rPr>
                      <w:kern w:val="0"/>
                      <w:szCs w:val="21"/>
                    </w:rPr>
                  </w:pPr>
                  <w:r>
                    <w:rPr>
                      <w:kern w:val="0"/>
                      <w:szCs w:val="21"/>
                    </w:rPr>
                    <w:t>阶段</w:t>
                  </w:r>
                </w:p>
              </w:tc>
              <w:tc>
                <w:tcPr>
                  <w:tcW w:w="4155" w:type="pct"/>
                  <w:gridSpan w:val="2"/>
                  <w:tcBorders>
                    <w:tl2br w:val="nil"/>
                    <w:tr2bl w:val="nil"/>
                  </w:tcBorders>
                  <w:vAlign w:val="center"/>
                </w:tcPr>
                <w:p w14:paraId="1048F5FE">
                  <w:pPr>
                    <w:adjustRightInd w:val="0"/>
                    <w:jc w:val="center"/>
                    <w:textAlignment w:val="baseline"/>
                    <w:rPr>
                      <w:kern w:val="0"/>
                      <w:szCs w:val="21"/>
                    </w:rPr>
                  </w:pPr>
                  <w:r>
                    <w:rPr>
                      <w:kern w:val="0"/>
                      <w:szCs w:val="21"/>
                    </w:rPr>
                    <w:t>措施</w:t>
                  </w:r>
                </w:p>
              </w:tc>
              <w:tc>
                <w:tcPr>
                  <w:tcW w:w="620" w:type="pct"/>
                  <w:tcBorders>
                    <w:tl2br w:val="nil"/>
                    <w:tr2bl w:val="nil"/>
                  </w:tcBorders>
                  <w:vAlign w:val="center"/>
                </w:tcPr>
                <w:p w14:paraId="019A413A">
                  <w:pPr>
                    <w:adjustRightInd w:val="0"/>
                    <w:jc w:val="center"/>
                    <w:textAlignment w:val="baseline"/>
                    <w:rPr>
                      <w:kern w:val="0"/>
                      <w:szCs w:val="21"/>
                    </w:rPr>
                  </w:pPr>
                  <w:r>
                    <w:rPr>
                      <w:kern w:val="0"/>
                      <w:szCs w:val="21"/>
                    </w:rPr>
                    <w:t>投资估算</w:t>
                  </w:r>
                </w:p>
                <w:p w14:paraId="29D6B35F">
                  <w:pPr>
                    <w:adjustRightInd w:val="0"/>
                    <w:jc w:val="center"/>
                    <w:textAlignment w:val="baseline"/>
                    <w:rPr>
                      <w:kern w:val="0"/>
                      <w:szCs w:val="21"/>
                    </w:rPr>
                  </w:pPr>
                  <w:r>
                    <w:rPr>
                      <w:kern w:val="0"/>
                      <w:szCs w:val="21"/>
                    </w:rPr>
                    <w:t>（万元）</w:t>
                  </w:r>
                </w:p>
              </w:tc>
            </w:tr>
            <w:tr w14:paraId="0FCD1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restart"/>
                  <w:tcBorders>
                    <w:tl2br w:val="nil"/>
                    <w:tr2bl w:val="nil"/>
                  </w:tcBorders>
                  <w:vAlign w:val="center"/>
                </w:tcPr>
                <w:p w14:paraId="037DCEE6">
                  <w:pPr>
                    <w:adjustRightInd w:val="0"/>
                    <w:jc w:val="center"/>
                    <w:textAlignment w:val="baseline"/>
                    <w:rPr>
                      <w:kern w:val="0"/>
                      <w:szCs w:val="21"/>
                    </w:rPr>
                  </w:pPr>
                  <w:r>
                    <w:rPr>
                      <w:kern w:val="0"/>
                      <w:szCs w:val="21"/>
                    </w:rPr>
                    <w:t>施工期</w:t>
                  </w:r>
                </w:p>
              </w:tc>
              <w:tc>
                <w:tcPr>
                  <w:tcW w:w="1187" w:type="pct"/>
                  <w:tcBorders>
                    <w:tl2br w:val="nil"/>
                    <w:tr2bl w:val="nil"/>
                  </w:tcBorders>
                  <w:vAlign w:val="center"/>
                </w:tcPr>
                <w:p w14:paraId="464C342D">
                  <w:pPr>
                    <w:adjustRightInd w:val="0"/>
                    <w:jc w:val="center"/>
                    <w:textAlignment w:val="baseline"/>
                    <w:rPr>
                      <w:kern w:val="0"/>
                      <w:szCs w:val="21"/>
                    </w:rPr>
                  </w:pPr>
                  <w:r>
                    <w:rPr>
                      <w:kern w:val="0"/>
                      <w:szCs w:val="21"/>
                    </w:rPr>
                    <w:t>大气环境保护措施</w:t>
                  </w:r>
                </w:p>
              </w:tc>
              <w:tc>
                <w:tcPr>
                  <w:tcW w:w="2968" w:type="pct"/>
                  <w:tcBorders>
                    <w:tl2br w:val="nil"/>
                    <w:tr2bl w:val="nil"/>
                  </w:tcBorders>
                  <w:vAlign w:val="center"/>
                </w:tcPr>
                <w:p w14:paraId="78F4BC8C">
                  <w:pPr>
                    <w:adjustRightInd w:val="0"/>
                    <w:jc w:val="center"/>
                    <w:textAlignment w:val="baseline"/>
                    <w:rPr>
                      <w:kern w:val="0"/>
                      <w:szCs w:val="21"/>
                      <w:lang w:val="zh-CN"/>
                    </w:rPr>
                  </w:pPr>
                  <w:r>
                    <w:rPr>
                      <w:kern w:val="0"/>
                      <w:szCs w:val="21"/>
                    </w:rPr>
                    <w:t>施工时安装视频监控或扬尘监测设施，并与有关部门联网；开挖土方、临时堆料在指定地点堆放，采取围挡、覆盖措施，开挖土方及时回填；施工现场设置围挡，施工道路和作业场地硬化，出入口设车轮冲洗装置对出场车轮进行冲洗，</w:t>
                  </w:r>
                  <w:r>
                    <w:t>施工现场</w:t>
                  </w:r>
                  <w:r>
                    <w:rPr>
                      <w:rFonts w:hint="eastAsia"/>
                    </w:rPr>
                    <w:t>雾炮降尘、</w:t>
                  </w:r>
                  <w:r>
                    <w:rPr>
                      <w:kern w:val="0"/>
                      <w:szCs w:val="21"/>
                    </w:rPr>
                    <w:t>洒水抑尘，对易产生扬尘的建筑材料和运输车辆采取防尘布苫盖等，施工现场的建筑垃圾必须设置垃圾存放点，及时清运；焊接烟尘采用焊烟净化器处理后排放；加强各种施工机械的维修与保养</w:t>
                  </w:r>
                </w:p>
              </w:tc>
              <w:tc>
                <w:tcPr>
                  <w:tcW w:w="620" w:type="pct"/>
                  <w:tcBorders>
                    <w:tl2br w:val="nil"/>
                    <w:tr2bl w:val="nil"/>
                  </w:tcBorders>
                  <w:vAlign w:val="center"/>
                </w:tcPr>
                <w:p w14:paraId="422D0C7F">
                  <w:pPr>
                    <w:adjustRightInd w:val="0"/>
                    <w:jc w:val="center"/>
                    <w:textAlignment w:val="baseline"/>
                    <w:rPr>
                      <w:kern w:val="0"/>
                      <w:szCs w:val="21"/>
                    </w:rPr>
                  </w:pPr>
                  <w:r>
                    <w:rPr>
                      <w:kern w:val="0"/>
                      <w:szCs w:val="21"/>
                    </w:rPr>
                    <w:t>30</w:t>
                  </w:r>
                </w:p>
              </w:tc>
            </w:tr>
            <w:tr w14:paraId="6D5A2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2BC722D2">
                  <w:pPr>
                    <w:adjustRightInd w:val="0"/>
                    <w:jc w:val="center"/>
                    <w:textAlignment w:val="baseline"/>
                    <w:rPr>
                      <w:kern w:val="0"/>
                      <w:szCs w:val="21"/>
                    </w:rPr>
                  </w:pPr>
                </w:p>
              </w:tc>
              <w:tc>
                <w:tcPr>
                  <w:tcW w:w="1187" w:type="pct"/>
                  <w:tcBorders>
                    <w:tl2br w:val="nil"/>
                    <w:tr2bl w:val="nil"/>
                  </w:tcBorders>
                  <w:vAlign w:val="center"/>
                </w:tcPr>
                <w:p w14:paraId="43E34594">
                  <w:pPr>
                    <w:adjustRightInd w:val="0"/>
                    <w:jc w:val="center"/>
                    <w:textAlignment w:val="baseline"/>
                    <w:rPr>
                      <w:kern w:val="0"/>
                      <w:szCs w:val="21"/>
                    </w:rPr>
                  </w:pPr>
                  <w:r>
                    <w:rPr>
                      <w:kern w:val="0"/>
                      <w:szCs w:val="21"/>
                    </w:rPr>
                    <w:t>声环境保护措施</w:t>
                  </w:r>
                </w:p>
              </w:tc>
              <w:tc>
                <w:tcPr>
                  <w:tcW w:w="2968" w:type="pct"/>
                  <w:tcBorders>
                    <w:tl2br w:val="nil"/>
                    <w:tr2bl w:val="nil"/>
                  </w:tcBorders>
                  <w:vAlign w:val="center"/>
                </w:tcPr>
                <w:p w14:paraId="4C4FE236">
                  <w:pPr>
                    <w:adjustRightInd w:val="0"/>
                    <w:jc w:val="center"/>
                    <w:textAlignment w:val="baseline"/>
                    <w:rPr>
                      <w:kern w:val="0"/>
                      <w:szCs w:val="21"/>
                      <w:lang w:val="zh-CN"/>
                    </w:rPr>
                  </w:pPr>
                  <w:r>
                    <w:rPr>
                      <w:kern w:val="0"/>
                      <w:szCs w:val="21"/>
                    </w:rPr>
                    <w:t>低噪声设备，加强设备的维护与管理，围挡隔声等</w:t>
                  </w:r>
                </w:p>
              </w:tc>
              <w:tc>
                <w:tcPr>
                  <w:tcW w:w="620" w:type="pct"/>
                  <w:tcBorders>
                    <w:tl2br w:val="nil"/>
                    <w:tr2bl w:val="nil"/>
                  </w:tcBorders>
                  <w:vAlign w:val="center"/>
                </w:tcPr>
                <w:p w14:paraId="37C684AF">
                  <w:pPr>
                    <w:adjustRightInd w:val="0"/>
                    <w:jc w:val="center"/>
                    <w:textAlignment w:val="baseline"/>
                    <w:rPr>
                      <w:kern w:val="0"/>
                      <w:szCs w:val="21"/>
                    </w:rPr>
                  </w:pPr>
                  <w:r>
                    <w:rPr>
                      <w:kern w:val="0"/>
                      <w:szCs w:val="21"/>
                    </w:rPr>
                    <w:t>15</w:t>
                  </w:r>
                </w:p>
              </w:tc>
            </w:tr>
            <w:tr w14:paraId="62FB4E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2E05817E">
                  <w:pPr>
                    <w:adjustRightInd w:val="0"/>
                    <w:jc w:val="center"/>
                    <w:textAlignment w:val="baseline"/>
                    <w:rPr>
                      <w:kern w:val="0"/>
                      <w:szCs w:val="21"/>
                    </w:rPr>
                  </w:pPr>
                </w:p>
              </w:tc>
              <w:tc>
                <w:tcPr>
                  <w:tcW w:w="1187" w:type="pct"/>
                  <w:tcBorders>
                    <w:tl2br w:val="nil"/>
                    <w:tr2bl w:val="nil"/>
                  </w:tcBorders>
                  <w:vAlign w:val="center"/>
                </w:tcPr>
                <w:p w14:paraId="740D8701">
                  <w:pPr>
                    <w:adjustRightInd w:val="0"/>
                    <w:jc w:val="center"/>
                    <w:textAlignment w:val="baseline"/>
                    <w:rPr>
                      <w:kern w:val="0"/>
                      <w:szCs w:val="21"/>
                    </w:rPr>
                  </w:pPr>
                  <w:r>
                    <w:rPr>
                      <w:kern w:val="0"/>
                      <w:szCs w:val="21"/>
                    </w:rPr>
                    <w:t>水环境保护措施</w:t>
                  </w:r>
                </w:p>
              </w:tc>
              <w:tc>
                <w:tcPr>
                  <w:tcW w:w="2968" w:type="pct"/>
                  <w:tcBorders>
                    <w:tl2br w:val="nil"/>
                    <w:tr2bl w:val="nil"/>
                  </w:tcBorders>
                  <w:vAlign w:val="center"/>
                </w:tcPr>
                <w:p w14:paraId="40553201">
                  <w:pPr>
                    <w:adjustRightInd w:val="0"/>
                    <w:jc w:val="center"/>
                    <w:textAlignment w:val="baseline"/>
                    <w:rPr>
                      <w:kern w:val="0"/>
                      <w:szCs w:val="21"/>
                      <w:lang w:val="zh-CN"/>
                    </w:rPr>
                  </w:pPr>
                  <w:r>
                    <w:rPr>
                      <w:kern w:val="0"/>
                      <w:szCs w:val="21"/>
                    </w:rPr>
                    <w:t>沉淀池、土工布、环保型厕所等</w:t>
                  </w:r>
                </w:p>
              </w:tc>
              <w:tc>
                <w:tcPr>
                  <w:tcW w:w="620" w:type="pct"/>
                  <w:tcBorders>
                    <w:tl2br w:val="nil"/>
                    <w:tr2bl w:val="nil"/>
                  </w:tcBorders>
                  <w:vAlign w:val="center"/>
                </w:tcPr>
                <w:p w14:paraId="36629082">
                  <w:pPr>
                    <w:adjustRightInd w:val="0"/>
                    <w:jc w:val="center"/>
                    <w:textAlignment w:val="baseline"/>
                    <w:rPr>
                      <w:kern w:val="0"/>
                      <w:szCs w:val="21"/>
                    </w:rPr>
                  </w:pPr>
                  <w:r>
                    <w:rPr>
                      <w:kern w:val="0"/>
                      <w:szCs w:val="21"/>
                    </w:rPr>
                    <w:t>20</w:t>
                  </w:r>
                </w:p>
              </w:tc>
            </w:tr>
            <w:tr w14:paraId="5F179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B21D75F">
                  <w:pPr>
                    <w:adjustRightInd w:val="0"/>
                    <w:jc w:val="center"/>
                    <w:textAlignment w:val="baseline"/>
                    <w:rPr>
                      <w:kern w:val="0"/>
                      <w:szCs w:val="21"/>
                    </w:rPr>
                  </w:pPr>
                </w:p>
              </w:tc>
              <w:tc>
                <w:tcPr>
                  <w:tcW w:w="1187" w:type="pct"/>
                  <w:tcBorders>
                    <w:tl2br w:val="nil"/>
                    <w:tr2bl w:val="nil"/>
                  </w:tcBorders>
                  <w:vAlign w:val="center"/>
                </w:tcPr>
                <w:p w14:paraId="648F100C">
                  <w:pPr>
                    <w:adjustRightInd w:val="0"/>
                    <w:jc w:val="center"/>
                    <w:textAlignment w:val="baseline"/>
                    <w:rPr>
                      <w:kern w:val="0"/>
                      <w:szCs w:val="21"/>
                    </w:rPr>
                  </w:pPr>
                  <w:r>
                    <w:rPr>
                      <w:kern w:val="0"/>
                      <w:szCs w:val="21"/>
                    </w:rPr>
                    <w:t>固体废物处置措施</w:t>
                  </w:r>
                </w:p>
              </w:tc>
              <w:tc>
                <w:tcPr>
                  <w:tcW w:w="2968" w:type="pct"/>
                  <w:tcBorders>
                    <w:tl2br w:val="nil"/>
                    <w:tr2bl w:val="nil"/>
                  </w:tcBorders>
                  <w:vAlign w:val="center"/>
                </w:tcPr>
                <w:p w14:paraId="20D08257">
                  <w:pPr>
                    <w:adjustRightInd w:val="0"/>
                    <w:jc w:val="center"/>
                    <w:textAlignment w:val="baseline"/>
                    <w:rPr>
                      <w:kern w:val="0"/>
                      <w:szCs w:val="21"/>
                      <w:lang w:val="zh-CN"/>
                    </w:rPr>
                  </w:pPr>
                  <w:r>
                    <w:rPr>
                      <w:kern w:val="0"/>
                      <w:szCs w:val="21"/>
                    </w:rPr>
                    <w:t>生活垃圾收集清运、施工垃圾（包括废弃建筑材料、泥浆及淤泥等）分类定点处置</w:t>
                  </w:r>
                </w:p>
              </w:tc>
              <w:tc>
                <w:tcPr>
                  <w:tcW w:w="620" w:type="pct"/>
                  <w:tcBorders>
                    <w:tl2br w:val="nil"/>
                    <w:tr2bl w:val="nil"/>
                  </w:tcBorders>
                  <w:vAlign w:val="center"/>
                </w:tcPr>
                <w:p w14:paraId="21A5595C">
                  <w:pPr>
                    <w:adjustRightInd w:val="0"/>
                    <w:jc w:val="center"/>
                    <w:textAlignment w:val="baseline"/>
                    <w:rPr>
                      <w:kern w:val="0"/>
                      <w:szCs w:val="21"/>
                    </w:rPr>
                  </w:pPr>
                  <w:r>
                    <w:rPr>
                      <w:kern w:val="0"/>
                      <w:szCs w:val="21"/>
                    </w:rPr>
                    <w:t>10</w:t>
                  </w:r>
                </w:p>
              </w:tc>
            </w:tr>
            <w:tr w14:paraId="291322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11A6D132">
                  <w:pPr>
                    <w:adjustRightInd w:val="0"/>
                    <w:jc w:val="center"/>
                    <w:textAlignment w:val="baseline"/>
                    <w:rPr>
                      <w:kern w:val="0"/>
                      <w:szCs w:val="21"/>
                    </w:rPr>
                  </w:pPr>
                </w:p>
              </w:tc>
              <w:tc>
                <w:tcPr>
                  <w:tcW w:w="1187" w:type="pct"/>
                  <w:tcBorders>
                    <w:tl2br w:val="nil"/>
                    <w:tr2bl w:val="nil"/>
                  </w:tcBorders>
                  <w:vAlign w:val="center"/>
                </w:tcPr>
                <w:p w14:paraId="2B5B4A3D">
                  <w:pPr>
                    <w:adjustRightInd w:val="0"/>
                    <w:jc w:val="center"/>
                    <w:textAlignment w:val="baseline"/>
                    <w:rPr>
                      <w:kern w:val="0"/>
                      <w:szCs w:val="21"/>
                    </w:rPr>
                  </w:pPr>
                  <w:r>
                    <w:rPr>
                      <w:kern w:val="0"/>
                      <w:szCs w:val="21"/>
                    </w:rPr>
                    <w:t>生态恢复措施</w:t>
                  </w:r>
                </w:p>
              </w:tc>
              <w:tc>
                <w:tcPr>
                  <w:tcW w:w="2968" w:type="pct"/>
                  <w:tcBorders>
                    <w:tl2br w:val="nil"/>
                    <w:tr2bl w:val="nil"/>
                  </w:tcBorders>
                  <w:vAlign w:val="center"/>
                </w:tcPr>
                <w:p w14:paraId="667EA177">
                  <w:pPr>
                    <w:adjustRightInd w:val="0"/>
                    <w:jc w:val="center"/>
                    <w:textAlignment w:val="baseline"/>
                    <w:rPr>
                      <w:kern w:val="0"/>
                      <w:szCs w:val="21"/>
                      <w:lang w:val="zh-CN"/>
                    </w:rPr>
                  </w:pPr>
                  <w:r>
                    <w:rPr>
                      <w:kern w:val="0"/>
                      <w:szCs w:val="21"/>
                    </w:rPr>
                    <w:t>水土保持、生态恢复（植被恢复、复耕等）措施</w:t>
                  </w:r>
                </w:p>
              </w:tc>
              <w:tc>
                <w:tcPr>
                  <w:tcW w:w="620" w:type="pct"/>
                  <w:tcBorders>
                    <w:tl2br w:val="nil"/>
                    <w:tr2bl w:val="nil"/>
                  </w:tcBorders>
                  <w:vAlign w:val="center"/>
                </w:tcPr>
                <w:p w14:paraId="72591CDE">
                  <w:pPr>
                    <w:adjustRightInd w:val="0"/>
                    <w:jc w:val="center"/>
                    <w:textAlignment w:val="baseline"/>
                    <w:rPr>
                      <w:kern w:val="0"/>
                      <w:szCs w:val="21"/>
                    </w:rPr>
                  </w:pPr>
                  <w:r>
                    <w:rPr>
                      <w:kern w:val="0"/>
                      <w:szCs w:val="21"/>
                    </w:rPr>
                    <w:t>120</w:t>
                  </w:r>
                </w:p>
              </w:tc>
            </w:tr>
            <w:tr w14:paraId="1DC1A9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restart"/>
                  <w:tcBorders>
                    <w:tl2br w:val="nil"/>
                    <w:tr2bl w:val="nil"/>
                  </w:tcBorders>
                  <w:vAlign w:val="center"/>
                </w:tcPr>
                <w:p w14:paraId="1BDBC923">
                  <w:pPr>
                    <w:adjustRightInd w:val="0"/>
                    <w:jc w:val="center"/>
                    <w:textAlignment w:val="baseline"/>
                    <w:rPr>
                      <w:kern w:val="0"/>
                      <w:szCs w:val="21"/>
                    </w:rPr>
                  </w:pPr>
                  <w:r>
                    <w:rPr>
                      <w:kern w:val="0"/>
                      <w:szCs w:val="21"/>
                    </w:rPr>
                    <w:t>运营期</w:t>
                  </w:r>
                </w:p>
              </w:tc>
              <w:tc>
                <w:tcPr>
                  <w:tcW w:w="1187" w:type="pct"/>
                  <w:tcBorders>
                    <w:tl2br w:val="nil"/>
                    <w:tr2bl w:val="nil"/>
                  </w:tcBorders>
                  <w:vAlign w:val="center"/>
                </w:tcPr>
                <w:p w14:paraId="642CA97A">
                  <w:pPr>
                    <w:adjustRightInd w:val="0"/>
                    <w:jc w:val="center"/>
                    <w:textAlignment w:val="baseline"/>
                    <w:rPr>
                      <w:kern w:val="0"/>
                      <w:szCs w:val="21"/>
                    </w:rPr>
                  </w:pPr>
                  <w:r>
                    <w:rPr>
                      <w:kern w:val="0"/>
                      <w:szCs w:val="21"/>
                    </w:rPr>
                    <w:t>大气环境保护措施</w:t>
                  </w:r>
                </w:p>
              </w:tc>
              <w:tc>
                <w:tcPr>
                  <w:tcW w:w="2968" w:type="pct"/>
                  <w:tcBorders>
                    <w:tl2br w:val="nil"/>
                    <w:tr2bl w:val="nil"/>
                  </w:tcBorders>
                  <w:vAlign w:val="center"/>
                </w:tcPr>
                <w:p w14:paraId="197E8DA6">
                  <w:pPr>
                    <w:adjustRightInd w:val="0"/>
                    <w:jc w:val="center"/>
                    <w:textAlignment w:val="baseline"/>
                    <w:rPr>
                      <w:kern w:val="0"/>
                      <w:szCs w:val="21"/>
                    </w:rPr>
                  </w:pPr>
                  <w:r>
                    <w:rPr>
                      <w:kern w:val="0"/>
                      <w:szCs w:val="21"/>
                    </w:rPr>
                    <w:t>油烟净化器</w:t>
                  </w:r>
                </w:p>
              </w:tc>
              <w:tc>
                <w:tcPr>
                  <w:tcW w:w="620" w:type="pct"/>
                  <w:tcBorders>
                    <w:tl2br w:val="nil"/>
                    <w:tr2bl w:val="nil"/>
                  </w:tcBorders>
                  <w:vAlign w:val="center"/>
                </w:tcPr>
                <w:p w14:paraId="69879363">
                  <w:pPr>
                    <w:adjustRightInd w:val="0"/>
                    <w:jc w:val="center"/>
                    <w:textAlignment w:val="baseline"/>
                    <w:rPr>
                      <w:kern w:val="0"/>
                      <w:szCs w:val="21"/>
                    </w:rPr>
                  </w:pPr>
                  <w:r>
                    <w:rPr>
                      <w:rFonts w:hint="eastAsia"/>
                      <w:kern w:val="0"/>
                      <w:szCs w:val="21"/>
                    </w:rPr>
                    <w:t>2</w:t>
                  </w:r>
                </w:p>
              </w:tc>
            </w:tr>
            <w:tr w14:paraId="3D303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5AE721B4">
                  <w:pPr>
                    <w:adjustRightInd w:val="0"/>
                    <w:jc w:val="center"/>
                    <w:textAlignment w:val="baseline"/>
                    <w:rPr>
                      <w:kern w:val="0"/>
                      <w:szCs w:val="21"/>
                    </w:rPr>
                  </w:pPr>
                </w:p>
              </w:tc>
              <w:tc>
                <w:tcPr>
                  <w:tcW w:w="1187" w:type="pct"/>
                  <w:tcBorders>
                    <w:tl2br w:val="nil"/>
                    <w:tr2bl w:val="nil"/>
                  </w:tcBorders>
                  <w:vAlign w:val="center"/>
                </w:tcPr>
                <w:p w14:paraId="142D384B">
                  <w:pPr>
                    <w:adjustRightInd w:val="0"/>
                    <w:jc w:val="center"/>
                    <w:textAlignment w:val="baseline"/>
                    <w:rPr>
                      <w:kern w:val="0"/>
                      <w:szCs w:val="21"/>
                    </w:rPr>
                  </w:pPr>
                  <w:r>
                    <w:rPr>
                      <w:kern w:val="0"/>
                      <w:szCs w:val="21"/>
                    </w:rPr>
                    <w:t>水环境保护措施</w:t>
                  </w:r>
                </w:p>
              </w:tc>
              <w:tc>
                <w:tcPr>
                  <w:tcW w:w="2968" w:type="pct"/>
                  <w:tcBorders>
                    <w:tl2br w:val="nil"/>
                    <w:tr2bl w:val="nil"/>
                  </w:tcBorders>
                  <w:vAlign w:val="center"/>
                </w:tcPr>
                <w:p w14:paraId="1C5E8F3E">
                  <w:pPr>
                    <w:adjustRightInd w:val="0"/>
                    <w:jc w:val="center"/>
                    <w:textAlignment w:val="baseline"/>
                    <w:rPr>
                      <w:kern w:val="0"/>
                      <w:szCs w:val="21"/>
                    </w:rPr>
                  </w:pPr>
                  <w:r>
                    <w:rPr>
                      <w:rFonts w:hint="eastAsia"/>
                    </w:rPr>
                    <w:t>隔油池、化粪池</w:t>
                  </w:r>
                </w:p>
              </w:tc>
              <w:tc>
                <w:tcPr>
                  <w:tcW w:w="620" w:type="pct"/>
                  <w:tcBorders>
                    <w:tl2br w:val="nil"/>
                    <w:tr2bl w:val="nil"/>
                  </w:tcBorders>
                  <w:vAlign w:val="center"/>
                </w:tcPr>
                <w:p w14:paraId="675BAF34">
                  <w:pPr>
                    <w:adjustRightInd w:val="0"/>
                    <w:jc w:val="center"/>
                    <w:textAlignment w:val="baseline"/>
                    <w:rPr>
                      <w:kern w:val="0"/>
                      <w:szCs w:val="21"/>
                    </w:rPr>
                  </w:pPr>
                  <w:r>
                    <w:rPr>
                      <w:rFonts w:hint="eastAsia"/>
                      <w:kern w:val="0"/>
                      <w:szCs w:val="21"/>
                    </w:rPr>
                    <w:t>0.5</w:t>
                  </w:r>
                </w:p>
              </w:tc>
            </w:tr>
            <w:tr w14:paraId="3D52E4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5ADCA5D">
                  <w:pPr>
                    <w:adjustRightInd w:val="0"/>
                    <w:jc w:val="center"/>
                    <w:textAlignment w:val="baseline"/>
                    <w:rPr>
                      <w:kern w:val="0"/>
                      <w:szCs w:val="21"/>
                    </w:rPr>
                  </w:pPr>
                </w:p>
              </w:tc>
              <w:tc>
                <w:tcPr>
                  <w:tcW w:w="1187" w:type="pct"/>
                  <w:tcBorders>
                    <w:tl2br w:val="nil"/>
                    <w:tr2bl w:val="nil"/>
                  </w:tcBorders>
                  <w:vAlign w:val="center"/>
                </w:tcPr>
                <w:p w14:paraId="3E4C750E">
                  <w:pPr>
                    <w:adjustRightInd w:val="0"/>
                    <w:jc w:val="center"/>
                    <w:textAlignment w:val="baseline"/>
                    <w:rPr>
                      <w:kern w:val="0"/>
                      <w:szCs w:val="21"/>
                    </w:rPr>
                  </w:pPr>
                  <w:r>
                    <w:rPr>
                      <w:kern w:val="0"/>
                      <w:szCs w:val="21"/>
                    </w:rPr>
                    <w:t>声环境保护措施</w:t>
                  </w:r>
                </w:p>
              </w:tc>
              <w:tc>
                <w:tcPr>
                  <w:tcW w:w="2968" w:type="pct"/>
                  <w:tcBorders>
                    <w:tl2br w:val="nil"/>
                    <w:tr2bl w:val="nil"/>
                  </w:tcBorders>
                  <w:vAlign w:val="center"/>
                </w:tcPr>
                <w:p w14:paraId="6A59802D">
                  <w:pPr>
                    <w:adjustRightInd w:val="0"/>
                    <w:jc w:val="center"/>
                    <w:textAlignment w:val="baseline"/>
                    <w:rPr>
                      <w:kern w:val="0"/>
                      <w:szCs w:val="21"/>
                    </w:rPr>
                  </w:pPr>
                  <w:r>
                    <w:rPr>
                      <w:kern w:val="0"/>
                      <w:szCs w:val="21"/>
                    </w:rPr>
                    <w:t>低噪声设备，基础减振，定期检查、维护和管理</w:t>
                  </w:r>
                </w:p>
              </w:tc>
              <w:tc>
                <w:tcPr>
                  <w:tcW w:w="620" w:type="pct"/>
                  <w:tcBorders>
                    <w:tl2br w:val="nil"/>
                    <w:tr2bl w:val="nil"/>
                  </w:tcBorders>
                  <w:vAlign w:val="center"/>
                </w:tcPr>
                <w:p w14:paraId="02AC5A06">
                  <w:pPr>
                    <w:adjustRightInd w:val="0"/>
                    <w:jc w:val="center"/>
                    <w:textAlignment w:val="baseline"/>
                    <w:rPr>
                      <w:kern w:val="0"/>
                      <w:szCs w:val="21"/>
                    </w:rPr>
                  </w:pPr>
                  <w:r>
                    <w:rPr>
                      <w:kern w:val="0"/>
                      <w:szCs w:val="21"/>
                    </w:rPr>
                    <w:t>1</w:t>
                  </w:r>
                  <w:r>
                    <w:rPr>
                      <w:rFonts w:hint="eastAsia"/>
                      <w:kern w:val="0"/>
                      <w:szCs w:val="21"/>
                    </w:rPr>
                    <w:t>1.5</w:t>
                  </w:r>
                </w:p>
              </w:tc>
            </w:tr>
            <w:tr w14:paraId="547F8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2C9A8D6A">
                  <w:pPr>
                    <w:adjustRightInd w:val="0"/>
                    <w:jc w:val="center"/>
                    <w:textAlignment w:val="baseline"/>
                    <w:rPr>
                      <w:kern w:val="0"/>
                      <w:szCs w:val="21"/>
                    </w:rPr>
                  </w:pPr>
                </w:p>
              </w:tc>
              <w:tc>
                <w:tcPr>
                  <w:tcW w:w="1187" w:type="pct"/>
                  <w:tcBorders>
                    <w:tl2br w:val="nil"/>
                    <w:tr2bl w:val="nil"/>
                  </w:tcBorders>
                  <w:vAlign w:val="center"/>
                </w:tcPr>
                <w:p w14:paraId="2A7B6207">
                  <w:pPr>
                    <w:adjustRightInd w:val="0"/>
                    <w:jc w:val="center"/>
                    <w:textAlignment w:val="baseline"/>
                    <w:rPr>
                      <w:kern w:val="0"/>
                      <w:szCs w:val="21"/>
                    </w:rPr>
                  </w:pPr>
                  <w:r>
                    <w:rPr>
                      <w:kern w:val="0"/>
                      <w:szCs w:val="21"/>
                    </w:rPr>
                    <w:t>固体废物处置措施</w:t>
                  </w:r>
                </w:p>
              </w:tc>
              <w:tc>
                <w:tcPr>
                  <w:tcW w:w="2968" w:type="pct"/>
                  <w:tcBorders>
                    <w:tl2br w:val="nil"/>
                    <w:tr2bl w:val="nil"/>
                  </w:tcBorders>
                  <w:vAlign w:val="center"/>
                </w:tcPr>
                <w:p w14:paraId="4D89A965">
                  <w:pPr>
                    <w:adjustRightInd w:val="0"/>
                    <w:jc w:val="center"/>
                    <w:textAlignment w:val="baseline"/>
                    <w:rPr>
                      <w:kern w:val="0"/>
                      <w:szCs w:val="21"/>
                    </w:rPr>
                  </w:pPr>
                  <w:r>
                    <w:rPr>
                      <w:kern w:val="0"/>
                      <w:szCs w:val="21"/>
                    </w:rPr>
                    <w:t>一般固废储存区、危废贮存库建设</w:t>
                  </w:r>
                </w:p>
              </w:tc>
              <w:tc>
                <w:tcPr>
                  <w:tcW w:w="620" w:type="pct"/>
                  <w:tcBorders>
                    <w:tl2br w:val="nil"/>
                    <w:tr2bl w:val="nil"/>
                  </w:tcBorders>
                  <w:vAlign w:val="center"/>
                </w:tcPr>
                <w:p w14:paraId="0E01FC08">
                  <w:pPr>
                    <w:adjustRightInd w:val="0"/>
                    <w:jc w:val="center"/>
                    <w:textAlignment w:val="baseline"/>
                    <w:rPr>
                      <w:kern w:val="0"/>
                      <w:szCs w:val="21"/>
                    </w:rPr>
                  </w:pPr>
                  <w:r>
                    <w:rPr>
                      <w:kern w:val="0"/>
                      <w:szCs w:val="21"/>
                    </w:rPr>
                    <w:t>5</w:t>
                  </w:r>
                </w:p>
              </w:tc>
            </w:tr>
            <w:tr w14:paraId="0399A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18E7785">
                  <w:pPr>
                    <w:adjustRightInd w:val="0"/>
                    <w:jc w:val="center"/>
                    <w:textAlignment w:val="baseline"/>
                    <w:rPr>
                      <w:kern w:val="0"/>
                      <w:szCs w:val="21"/>
                    </w:rPr>
                  </w:pPr>
                </w:p>
              </w:tc>
              <w:tc>
                <w:tcPr>
                  <w:tcW w:w="1187" w:type="pct"/>
                  <w:tcBorders>
                    <w:tl2br w:val="nil"/>
                    <w:tr2bl w:val="nil"/>
                  </w:tcBorders>
                  <w:vAlign w:val="center"/>
                </w:tcPr>
                <w:p w14:paraId="0D16F20A">
                  <w:pPr>
                    <w:adjustRightInd w:val="0"/>
                    <w:jc w:val="center"/>
                    <w:textAlignment w:val="baseline"/>
                    <w:rPr>
                      <w:kern w:val="0"/>
                      <w:szCs w:val="21"/>
                    </w:rPr>
                  </w:pPr>
                  <w:r>
                    <w:rPr>
                      <w:kern w:val="0"/>
                      <w:szCs w:val="21"/>
                    </w:rPr>
                    <w:t>风险防范措施</w:t>
                  </w:r>
                </w:p>
              </w:tc>
              <w:tc>
                <w:tcPr>
                  <w:tcW w:w="2968" w:type="pct"/>
                  <w:tcBorders>
                    <w:tl2br w:val="nil"/>
                    <w:tr2bl w:val="nil"/>
                  </w:tcBorders>
                  <w:vAlign w:val="center"/>
                </w:tcPr>
                <w:p w14:paraId="03C06995">
                  <w:pPr>
                    <w:adjustRightInd w:val="0"/>
                    <w:jc w:val="center"/>
                    <w:textAlignment w:val="baseline"/>
                    <w:rPr>
                      <w:kern w:val="0"/>
                      <w:szCs w:val="21"/>
                    </w:rPr>
                  </w:pPr>
                  <w:r>
                    <w:rPr>
                      <w:kern w:val="0"/>
                      <w:szCs w:val="21"/>
                    </w:rPr>
                    <w:t>应急防范措施建设（收集桶、贮油坑、事故油池等）</w:t>
                  </w:r>
                </w:p>
              </w:tc>
              <w:tc>
                <w:tcPr>
                  <w:tcW w:w="620" w:type="pct"/>
                  <w:tcBorders>
                    <w:tl2br w:val="nil"/>
                    <w:tr2bl w:val="nil"/>
                  </w:tcBorders>
                  <w:vAlign w:val="center"/>
                </w:tcPr>
                <w:p w14:paraId="72D1BC8B">
                  <w:pPr>
                    <w:adjustRightInd w:val="0"/>
                    <w:jc w:val="center"/>
                    <w:textAlignment w:val="baseline"/>
                    <w:rPr>
                      <w:kern w:val="0"/>
                      <w:szCs w:val="21"/>
                    </w:rPr>
                  </w:pPr>
                  <w:r>
                    <w:rPr>
                      <w:kern w:val="0"/>
                      <w:szCs w:val="21"/>
                    </w:rPr>
                    <w:t>40</w:t>
                  </w:r>
                </w:p>
              </w:tc>
            </w:tr>
            <w:tr w14:paraId="6B262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6859604D">
                  <w:pPr>
                    <w:adjustRightInd w:val="0"/>
                    <w:jc w:val="center"/>
                    <w:textAlignment w:val="baseline"/>
                    <w:rPr>
                      <w:kern w:val="0"/>
                      <w:szCs w:val="21"/>
                    </w:rPr>
                  </w:pPr>
                </w:p>
              </w:tc>
              <w:tc>
                <w:tcPr>
                  <w:tcW w:w="1187" w:type="pct"/>
                  <w:tcBorders>
                    <w:tl2br w:val="nil"/>
                    <w:tr2bl w:val="nil"/>
                  </w:tcBorders>
                  <w:vAlign w:val="center"/>
                </w:tcPr>
                <w:p w14:paraId="64E3CAC3">
                  <w:pPr>
                    <w:adjustRightInd w:val="0"/>
                    <w:jc w:val="center"/>
                    <w:textAlignment w:val="baseline"/>
                    <w:rPr>
                      <w:kern w:val="0"/>
                      <w:szCs w:val="21"/>
                    </w:rPr>
                  </w:pPr>
                  <w:r>
                    <w:rPr>
                      <w:kern w:val="0"/>
                      <w:szCs w:val="21"/>
                    </w:rPr>
                    <w:t>升压站厂区绿化</w:t>
                  </w:r>
                </w:p>
              </w:tc>
              <w:tc>
                <w:tcPr>
                  <w:tcW w:w="2968" w:type="pct"/>
                  <w:tcBorders>
                    <w:tl2br w:val="nil"/>
                    <w:tr2bl w:val="nil"/>
                  </w:tcBorders>
                  <w:vAlign w:val="center"/>
                </w:tcPr>
                <w:p w14:paraId="3068FF50">
                  <w:pPr>
                    <w:adjustRightInd w:val="0"/>
                    <w:jc w:val="center"/>
                    <w:textAlignment w:val="baseline"/>
                    <w:rPr>
                      <w:kern w:val="0"/>
                      <w:szCs w:val="21"/>
                    </w:rPr>
                  </w:pPr>
                  <w:r>
                    <w:rPr>
                      <w:kern w:val="0"/>
                      <w:szCs w:val="21"/>
                    </w:rPr>
                    <w:t>/</w:t>
                  </w:r>
                </w:p>
              </w:tc>
              <w:tc>
                <w:tcPr>
                  <w:tcW w:w="620" w:type="pct"/>
                  <w:tcBorders>
                    <w:tl2br w:val="nil"/>
                    <w:tr2bl w:val="nil"/>
                  </w:tcBorders>
                  <w:vAlign w:val="center"/>
                </w:tcPr>
                <w:p w14:paraId="20DC460F">
                  <w:pPr>
                    <w:adjustRightInd w:val="0"/>
                    <w:jc w:val="center"/>
                    <w:textAlignment w:val="baseline"/>
                    <w:rPr>
                      <w:kern w:val="0"/>
                      <w:szCs w:val="21"/>
                    </w:rPr>
                  </w:pPr>
                  <w:r>
                    <w:rPr>
                      <w:kern w:val="0"/>
                      <w:szCs w:val="21"/>
                    </w:rPr>
                    <w:t>5</w:t>
                  </w:r>
                </w:p>
              </w:tc>
            </w:tr>
            <w:tr w14:paraId="7B7AD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6EF4CA61">
                  <w:pPr>
                    <w:adjustRightInd w:val="0"/>
                    <w:jc w:val="center"/>
                    <w:textAlignment w:val="baseline"/>
                    <w:rPr>
                      <w:kern w:val="0"/>
                      <w:szCs w:val="21"/>
                    </w:rPr>
                  </w:pPr>
                </w:p>
              </w:tc>
              <w:tc>
                <w:tcPr>
                  <w:tcW w:w="1187" w:type="pct"/>
                  <w:tcBorders>
                    <w:tl2br w:val="nil"/>
                    <w:tr2bl w:val="nil"/>
                  </w:tcBorders>
                  <w:vAlign w:val="center"/>
                </w:tcPr>
                <w:p w14:paraId="29B91510">
                  <w:pPr>
                    <w:adjustRightInd w:val="0"/>
                    <w:jc w:val="center"/>
                    <w:textAlignment w:val="baseline"/>
                    <w:rPr>
                      <w:kern w:val="0"/>
                      <w:szCs w:val="21"/>
                    </w:rPr>
                  </w:pPr>
                  <w:r>
                    <w:rPr>
                      <w:kern w:val="0"/>
                      <w:szCs w:val="21"/>
                    </w:rPr>
                    <w:t>生态保护措施</w:t>
                  </w:r>
                </w:p>
              </w:tc>
              <w:tc>
                <w:tcPr>
                  <w:tcW w:w="2968" w:type="pct"/>
                  <w:tcBorders>
                    <w:tl2br w:val="nil"/>
                    <w:tr2bl w:val="nil"/>
                  </w:tcBorders>
                  <w:vAlign w:val="center"/>
                </w:tcPr>
                <w:p w14:paraId="0F142CF6">
                  <w:pPr>
                    <w:adjustRightInd w:val="0"/>
                    <w:textAlignment w:val="baseline"/>
                    <w:rPr>
                      <w:kern w:val="0"/>
                      <w:szCs w:val="21"/>
                    </w:rPr>
                  </w:pPr>
                  <w:r>
                    <w:rPr>
                      <w:rFonts w:hint="eastAsia"/>
                      <w:kern w:val="0"/>
                      <w:szCs w:val="21"/>
                    </w:rPr>
                    <w:t>风机处设置警示色标识，合理使用光源，安装鸟类分流器，智能鸟类轨迹探测并主动停机避鸟，定期巡检，加强鸟类监测，加强管理；</w:t>
                  </w:r>
                </w:p>
                <w:p w14:paraId="4DC0A364">
                  <w:pPr>
                    <w:adjustRightInd w:val="0"/>
                    <w:textAlignment w:val="baseline"/>
                    <w:rPr>
                      <w:kern w:val="0"/>
                      <w:szCs w:val="21"/>
                    </w:rPr>
                  </w:pPr>
                  <w:r>
                    <w:rPr>
                      <w:rFonts w:hint="eastAsia"/>
                      <w:kern w:val="0"/>
                      <w:szCs w:val="21"/>
                    </w:rPr>
                    <w:t>根据相关部门要求对项目所占地块进行占地补偿，并进行植被恢复后的管护、管理工作。</w:t>
                  </w:r>
                </w:p>
              </w:tc>
              <w:tc>
                <w:tcPr>
                  <w:tcW w:w="620" w:type="pct"/>
                  <w:tcBorders>
                    <w:tl2br w:val="nil"/>
                    <w:tr2bl w:val="nil"/>
                  </w:tcBorders>
                  <w:vAlign w:val="center"/>
                </w:tcPr>
                <w:p w14:paraId="3794CDC6">
                  <w:pPr>
                    <w:adjustRightInd w:val="0"/>
                    <w:jc w:val="center"/>
                    <w:textAlignment w:val="baseline"/>
                    <w:rPr>
                      <w:kern w:val="0"/>
                      <w:szCs w:val="21"/>
                    </w:rPr>
                  </w:pPr>
                  <w:r>
                    <w:rPr>
                      <w:rFonts w:hint="eastAsia"/>
                      <w:kern w:val="0"/>
                      <w:szCs w:val="21"/>
                    </w:rPr>
                    <w:t>50</w:t>
                  </w:r>
                </w:p>
              </w:tc>
            </w:tr>
            <w:tr w14:paraId="73F83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4" w:type="pct"/>
                  <w:vMerge w:val="continue"/>
                  <w:tcBorders>
                    <w:tl2br w:val="nil"/>
                    <w:tr2bl w:val="nil"/>
                  </w:tcBorders>
                  <w:vAlign w:val="center"/>
                </w:tcPr>
                <w:p w14:paraId="7263400B">
                  <w:pPr>
                    <w:adjustRightInd w:val="0"/>
                    <w:jc w:val="center"/>
                    <w:textAlignment w:val="baseline"/>
                    <w:rPr>
                      <w:kern w:val="0"/>
                      <w:szCs w:val="21"/>
                    </w:rPr>
                  </w:pPr>
                </w:p>
              </w:tc>
              <w:tc>
                <w:tcPr>
                  <w:tcW w:w="1187" w:type="pct"/>
                  <w:tcBorders>
                    <w:tl2br w:val="nil"/>
                    <w:tr2bl w:val="nil"/>
                  </w:tcBorders>
                  <w:vAlign w:val="center"/>
                </w:tcPr>
                <w:p w14:paraId="0B75E798">
                  <w:pPr>
                    <w:adjustRightInd w:val="0"/>
                    <w:jc w:val="center"/>
                    <w:textAlignment w:val="baseline"/>
                    <w:rPr>
                      <w:kern w:val="0"/>
                      <w:szCs w:val="21"/>
                    </w:rPr>
                  </w:pPr>
                  <w:r>
                    <w:rPr>
                      <w:kern w:val="0"/>
                      <w:szCs w:val="21"/>
                    </w:rPr>
                    <w:t>环境管理与监测</w:t>
                  </w:r>
                </w:p>
              </w:tc>
              <w:tc>
                <w:tcPr>
                  <w:tcW w:w="2968" w:type="pct"/>
                  <w:tcBorders>
                    <w:tl2br w:val="nil"/>
                    <w:tr2bl w:val="nil"/>
                  </w:tcBorders>
                  <w:vAlign w:val="center"/>
                </w:tcPr>
                <w:p w14:paraId="3FC3BBD2">
                  <w:pPr>
                    <w:adjustRightInd w:val="0"/>
                    <w:jc w:val="center"/>
                    <w:textAlignment w:val="baseline"/>
                    <w:rPr>
                      <w:kern w:val="0"/>
                      <w:szCs w:val="21"/>
                    </w:rPr>
                  </w:pPr>
                  <w:r>
                    <w:rPr>
                      <w:kern w:val="0"/>
                      <w:szCs w:val="21"/>
                    </w:rPr>
                    <w:t>人员培训、环境监测等</w:t>
                  </w:r>
                </w:p>
              </w:tc>
              <w:tc>
                <w:tcPr>
                  <w:tcW w:w="620" w:type="pct"/>
                  <w:tcBorders>
                    <w:tl2br w:val="nil"/>
                    <w:tr2bl w:val="nil"/>
                  </w:tcBorders>
                  <w:vAlign w:val="center"/>
                </w:tcPr>
                <w:p w14:paraId="35C298B9">
                  <w:pPr>
                    <w:adjustRightInd w:val="0"/>
                    <w:jc w:val="center"/>
                    <w:textAlignment w:val="baseline"/>
                    <w:rPr>
                      <w:kern w:val="0"/>
                      <w:szCs w:val="21"/>
                    </w:rPr>
                  </w:pPr>
                  <w:r>
                    <w:rPr>
                      <w:kern w:val="0"/>
                      <w:szCs w:val="21"/>
                    </w:rPr>
                    <w:t>10</w:t>
                  </w:r>
                </w:p>
              </w:tc>
            </w:tr>
            <w:tr w14:paraId="3835D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79" w:type="pct"/>
                  <w:gridSpan w:val="3"/>
                  <w:tcBorders>
                    <w:tl2br w:val="nil"/>
                    <w:tr2bl w:val="nil"/>
                  </w:tcBorders>
                  <w:vAlign w:val="center"/>
                </w:tcPr>
                <w:p w14:paraId="5652DA1D">
                  <w:pPr>
                    <w:adjustRightInd w:val="0"/>
                    <w:jc w:val="center"/>
                    <w:textAlignment w:val="baseline"/>
                    <w:rPr>
                      <w:kern w:val="0"/>
                      <w:szCs w:val="21"/>
                    </w:rPr>
                  </w:pPr>
                  <w:r>
                    <w:rPr>
                      <w:kern w:val="0"/>
                      <w:szCs w:val="21"/>
                    </w:rPr>
                    <w:t>合计</w:t>
                  </w:r>
                </w:p>
              </w:tc>
              <w:tc>
                <w:tcPr>
                  <w:tcW w:w="620" w:type="pct"/>
                  <w:tcBorders>
                    <w:tl2br w:val="nil"/>
                    <w:tr2bl w:val="nil"/>
                  </w:tcBorders>
                  <w:vAlign w:val="center"/>
                </w:tcPr>
                <w:p w14:paraId="26CBFB9A">
                  <w:pPr>
                    <w:adjustRightInd w:val="0"/>
                    <w:jc w:val="center"/>
                    <w:textAlignment w:val="baseline"/>
                    <w:rPr>
                      <w:kern w:val="0"/>
                      <w:szCs w:val="21"/>
                    </w:rPr>
                  </w:pPr>
                  <w:r>
                    <w:rPr>
                      <w:kern w:val="0"/>
                      <w:szCs w:val="21"/>
                    </w:rPr>
                    <w:t>319</w:t>
                  </w:r>
                </w:p>
              </w:tc>
            </w:tr>
          </w:tbl>
          <w:p w14:paraId="66E779B7">
            <w:pPr>
              <w:pStyle w:val="23"/>
              <w:ind w:firstLine="0" w:firstLineChars="0"/>
            </w:pPr>
          </w:p>
          <w:p w14:paraId="61F8FEE8">
            <w:pPr>
              <w:pStyle w:val="23"/>
              <w:ind w:firstLine="0" w:firstLineChars="0"/>
            </w:pPr>
          </w:p>
          <w:p w14:paraId="3DB9BBC0">
            <w:pPr>
              <w:pStyle w:val="23"/>
              <w:ind w:firstLine="0" w:firstLineChars="0"/>
            </w:pPr>
          </w:p>
          <w:p w14:paraId="1DE46DCE">
            <w:pPr>
              <w:pStyle w:val="23"/>
              <w:ind w:firstLine="0" w:firstLineChars="0"/>
            </w:pPr>
          </w:p>
          <w:p w14:paraId="68BF3B0D">
            <w:pPr>
              <w:pStyle w:val="23"/>
              <w:ind w:firstLine="0" w:firstLineChars="0"/>
            </w:pPr>
          </w:p>
          <w:p w14:paraId="53FB6CB1">
            <w:pPr>
              <w:pStyle w:val="23"/>
              <w:ind w:firstLine="0" w:firstLineChars="0"/>
            </w:pPr>
          </w:p>
          <w:p w14:paraId="14E3B4E6">
            <w:pPr>
              <w:pStyle w:val="23"/>
              <w:ind w:firstLine="0" w:firstLineChars="0"/>
            </w:pPr>
          </w:p>
          <w:p w14:paraId="3E052D20">
            <w:pPr>
              <w:pStyle w:val="23"/>
              <w:ind w:firstLine="0" w:firstLineChars="0"/>
            </w:pPr>
          </w:p>
          <w:p w14:paraId="7DE9EFF5">
            <w:pPr>
              <w:pStyle w:val="23"/>
              <w:ind w:firstLine="0" w:firstLineChars="0"/>
            </w:pPr>
          </w:p>
          <w:p w14:paraId="46E14E3B">
            <w:pPr>
              <w:pStyle w:val="23"/>
              <w:ind w:firstLine="0" w:firstLineChars="0"/>
            </w:pPr>
          </w:p>
          <w:p w14:paraId="21EE350D">
            <w:pPr>
              <w:pStyle w:val="23"/>
              <w:ind w:firstLine="0" w:firstLineChars="0"/>
            </w:pPr>
          </w:p>
          <w:p w14:paraId="2B456AEA">
            <w:pPr>
              <w:pStyle w:val="23"/>
              <w:ind w:firstLine="0" w:firstLineChars="0"/>
            </w:pPr>
          </w:p>
          <w:p w14:paraId="212F20C2">
            <w:pPr>
              <w:pStyle w:val="23"/>
              <w:ind w:firstLine="0" w:firstLineChars="0"/>
            </w:pPr>
          </w:p>
          <w:p w14:paraId="02211A7B">
            <w:pPr>
              <w:pStyle w:val="23"/>
              <w:ind w:firstLine="0" w:firstLineChars="0"/>
            </w:pPr>
          </w:p>
          <w:p w14:paraId="48078916">
            <w:pPr>
              <w:pStyle w:val="23"/>
              <w:ind w:firstLine="0" w:firstLineChars="0"/>
            </w:pPr>
          </w:p>
          <w:p w14:paraId="6A502EB9">
            <w:pPr>
              <w:pStyle w:val="23"/>
              <w:ind w:firstLine="0" w:firstLineChars="0"/>
            </w:pPr>
          </w:p>
          <w:p w14:paraId="4221E8C0">
            <w:pPr>
              <w:pStyle w:val="23"/>
              <w:ind w:firstLine="0" w:firstLineChars="0"/>
            </w:pPr>
          </w:p>
          <w:p w14:paraId="47D1D01D">
            <w:pPr>
              <w:pStyle w:val="23"/>
              <w:ind w:firstLine="0" w:firstLineChars="0"/>
            </w:pPr>
          </w:p>
          <w:p w14:paraId="29A12F4E">
            <w:pPr>
              <w:pStyle w:val="23"/>
              <w:ind w:firstLine="0" w:firstLineChars="0"/>
            </w:pPr>
          </w:p>
          <w:p w14:paraId="67301AA5">
            <w:pPr>
              <w:pStyle w:val="23"/>
              <w:ind w:firstLine="0" w:firstLineChars="0"/>
            </w:pPr>
          </w:p>
        </w:tc>
      </w:tr>
    </w:tbl>
    <w:p w14:paraId="36279FCF"/>
    <w:p w14:paraId="467927BE">
      <w:pPr>
        <w:keepNext/>
        <w:overflowPunct w:val="0"/>
        <w:snapToGrid w:val="0"/>
        <w:jc w:val="center"/>
        <w:outlineLvl w:val="0"/>
        <w:rPr>
          <w:b/>
          <w:bCs/>
          <w:kern w:val="44"/>
          <w:sz w:val="30"/>
          <w:szCs w:val="30"/>
        </w:rPr>
        <w:sectPr>
          <w:pgSz w:w="11906" w:h="16838"/>
          <w:pgMar w:top="1440" w:right="1800" w:bottom="1440" w:left="1800" w:header="851" w:footer="1077" w:gutter="0"/>
          <w:pgNumType w:fmt="numberInDash"/>
          <w:cols w:space="720" w:num="1"/>
          <w:docGrid w:linePitch="312" w:charSpace="0"/>
        </w:sectPr>
      </w:pPr>
      <w:bookmarkStart w:id="28" w:name="_Toc13423"/>
    </w:p>
    <w:p w14:paraId="50730567">
      <w:pPr>
        <w:keepNext/>
        <w:overflowPunct w:val="0"/>
        <w:snapToGrid w:val="0"/>
        <w:jc w:val="center"/>
        <w:outlineLvl w:val="0"/>
        <w:rPr>
          <w:b/>
          <w:bCs/>
          <w:kern w:val="44"/>
          <w:sz w:val="30"/>
          <w:szCs w:val="30"/>
        </w:rPr>
      </w:pPr>
      <w:r>
        <w:rPr>
          <w:b/>
          <w:bCs/>
          <w:kern w:val="44"/>
          <w:sz w:val="30"/>
          <w:szCs w:val="30"/>
        </w:rPr>
        <w:t>六、生态环境保护措施监督检查清单</w:t>
      </w:r>
      <w:bookmarkEnd w:id="28"/>
    </w:p>
    <w:tbl>
      <w:tblPr>
        <w:tblStyle w:val="32"/>
        <w:tblW w:w="52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07"/>
        <w:gridCol w:w="2136"/>
        <w:gridCol w:w="1315"/>
        <w:gridCol w:w="2077"/>
        <w:gridCol w:w="2153"/>
      </w:tblGrid>
      <w:tr w14:paraId="3D6A8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Merge w:val="restart"/>
            <w:tcBorders>
              <w:tl2br w:val="single" w:color="auto" w:sz="4" w:space="0"/>
            </w:tcBorders>
          </w:tcPr>
          <w:p w14:paraId="6405643C">
            <w:pPr>
              <w:adjustRightInd w:val="0"/>
              <w:snapToGrid w:val="0"/>
              <w:jc w:val="right"/>
              <w:rPr>
                <w:szCs w:val="21"/>
              </w:rPr>
            </w:pPr>
            <w:r>
              <w:rPr>
                <w:szCs w:val="21"/>
              </w:rPr>
              <w:t xml:space="preserve">     </w:t>
            </w:r>
          </w:p>
          <w:p w14:paraId="03B85975">
            <w:pPr>
              <w:adjustRightInd w:val="0"/>
              <w:snapToGrid w:val="0"/>
              <w:jc w:val="right"/>
              <w:outlineLvl w:val="0"/>
              <w:rPr>
                <w:szCs w:val="21"/>
              </w:rPr>
            </w:pPr>
            <w:r>
              <w:rPr>
                <w:szCs w:val="21"/>
              </w:rPr>
              <w:t xml:space="preserve">  </w:t>
            </w:r>
            <w:bookmarkStart w:id="29" w:name="_Toc14493"/>
            <w:bookmarkStart w:id="30" w:name="_Toc25525"/>
            <w:r>
              <w:rPr>
                <w:szCs w:val="21"/>
              </w:rPr>
              <w:t>内容</w:t>
            </w:r>
            <w:bookmarkEnd w:id="29"/>
            <w:bookmarkEnd w:id="30"/>
          </w:p>
          <w:p w14:paraId="4576FBB7">
            <w:pPr>
              <w:adjustRightInd w:val="0"/>
              <w:snapToGrid w:val="0"/>
              <w:jc w:val="center"/>
              <w:rPr>
                <w:szCs w:val="21"/>
              </w:rPr>
            </w:pPr>
            <w:r>
              <w:rPr>
                <w:szCs w:val="21"/>
              </w:rPr>
              <w:t xml:space="preserve"> </w:t>
            </w:r>
          </w:p>
          <w:p w14:paraId="7C9F0C33">
            <w:pPr>
              <w:adjustRightInd w:val="0"/>
              <w:snapToGrid w:val="0"/>
              <w:rPr>
                <w:szCs w:val="21"/>
              </w:rPr>
            </w:pPr>
          </w:p>
          <w:p w14:paraId="05ECD370">
            <w:pPr>
              <w:adjustRightInd w:val="0"/>
              <w:snapToGrid w:val="0"/>
              <w:outlineLvl w:val="0"/>
              <w:rPr>
                <w:szCs w:val="21"/>
              </w:rPr>
            </w:pPr>
            <w:bookmarkStart w:id="31" w:name="_Toc19635"/>
            <w:bookmarkStart w:id="32" w:name="_Toc795"/>
            <w:r>
              <w:rPr>
                <w:szCs w:val="21"/>
              </w:rPr>
              <w:t>要素</w:t>
            </w:r>
            <w:bookmarkEnd w:id="31"/>
            <w:bookmarkEnd w:id="32"/>
          </w:p>
        </w:tc>
        <w:tc>
          <w:tcPr>
            <w:tcW w:w="1963" w:type="pct"/>
            <w:gridSpan w:val="2"/>
            <w:vAlign w:val="center"/>
          </w:tcPr>
          <w:p w14:paraId="4D8A6DF9">
            <w:pPr>
              <w:adjustRightInd w:val="0"/>
              <w:snapToGrid w:val="0"/>
              <w:jc w:val="center"/>
              <w:outlineLvl w:val="0"/>
              <w:rPr>
                <w:szCs w:val="21"/>
              </w:rPr>
            </w:pPr>
            <w:bookmarkStart w:id="33" w:name="_Toc23322"/>
            <w:bookmarkStart w:id="34" w:name="_Toc13249"/>
            <w:r>
              <w:rPr>
                <w:szCs w:val="21"/>
              </w:rPr>
              <w:t>施工期</w:t>
            </w:r>
            <w:bookmarkEnd w:id="33"/>
            <w:bookmarkEnd w:id="34"/>
          </w:p>
        </w:tc>
        <w:tc>
          <w:tcPr>
            <w:tcW w:w="2406" w:type="pct"/>
            <w:gridSpan w:val="2"/>
            <w:vAlign w:val="center"/>
          </w:tcPr>
          <w:p w14:paraId="0E79DC69">
            <w:pPr>
              <w:adjustRightInd w:val="0"/>
              <w:snapToGrid w:val="0"/>
              <w:jc w:val="center"/>
              <w:outlineLvl w:val="0"/>
              <w:rPr>
                <w:szCs w:val="21"/>
              </w:rPr>
            </w:pPr>
            <w:bookmarkStart w:id="35" w:name="_Toc17684"/>
            <w:bookmarkStart w:id="36" w:name="_Toc6774"/>
            <w:r>
              <w:rPr>
                <w:szCs w:val="21"/>
              </w:rPr>
              <w:t>运营期</w:t>
            </w:r>
            <w:bookmarkEnd w:id="35"/>
            <w:bookmarkEnd w:id="36"/>
          </w:p>
        </w:tc>
      </w:tr>
      <w:tr w14:paraId="74DAC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Merge w:val="continue"/>
          </w:tcPr>
          <w:p w14:paraId="0A10433F">
            <w:pPr>
              <w:adjustRightInd w:val="0"/>
              <w:snapToGrid w:val="0"/>
              <w:jc w:val="center"/>
              <w:rPr>
                <w:szCs w:val="21"/>
              </w:rPr>
            </w:pPr>
          </w:p>
        </w:tc>
        <w:tc>
          <w:tcPr>
            <w:tcW w:w="1215" w:type="pct"/>
            <w:vAlign w:val="center"/>
          </w:tcPr>
          <w:p w14:paraId="708D0B99">
            <w:pPr>
              <w:adjustRightInd w:val="0"/>
              <w:snapToGrid w:val="0"/>
              <w:jc w:val="center"/>
              <w:outlineLvl w:val="0"/>
              <w:rPr>
                <w:szCs w:val="21"/>
              </w:rPr>
            </w:pPr>
            <w:bookmarkStart w:id="37" w:name="_Toc2178"/>
            <w:bookmarkStart w:id="38" w:name="_Toc27736"/>
            <w:r>
              <w:rPr>
                <w:szCs w:val="21"/>
              </w:rPr>
              <w:t>环境保护措施</w:t>
            </w:r>
            <w:bookmarkEnd w:id="37"/>
            <w:bookmarkEnd w:id="38"/>
          </w:p>
        </w:tc>
        <w:tc>
          <w:tcPr>
            <w:tcW w:w="748" w:type="pct"/>
            <w:vAlign w:val="center"/>
          </w:tcPr>
          <w:p w14:paraId="51D74DB3">
            <w:pPr>
              <w:adjustRightInd w:val="0"/>
              <w:snapToGrid w:val="0"/>
              <w:jc w:val="center"/>
              <w:outlineLvl w:val="0"/>
              <w:rPr>
                <w:szCs w:val="21"/>
              </w:rPr>
            </w:pPr>
            <w:bookmarkStart w:id="39" w:name="_Toc6343"/>
            <w:bookmarkStart w:id="40" w:name="_Toc29552"/>
            <w:r>
              <w:rPr>
                <w:szCs w:val="21"/>
              </w:rPr>
              <w:t>验收要求</w:t>
            </w:r>
            <w:bookmarkEnd w:id="39"/>
            <w:bookmarkEnd w:id="40"/>
          </w:p>
        </w:tc>
        <w:tc>
          <w:tcPr>
            <w:tcW w:w="1182" w:type="pct"/>
            <w:vAlign w:val="center"/>
          </w:tcPr>
          <w:p w14:paraId="68251825">
            <w:pPr>
              <w:adjustRightInd w:val="0"/>
              <w:snapToGrid w:val="0"/>
              <w:jc w:val="center"/>
              <w:outlineLvl w:val="0"/>
              <w:rPr>
                <w:szCs w:val="21"/>
              </w:rPr>
            </w:pPr>
            <w:bookmarkStart w:id="41" w:name="_Toc10020"/>
            <w:bookmarkStart w:id="42" w:name="_Toc20726"/>
            <w:r>
              <w:rPr>
                <w:szCs w:val="21"/>
              </w:rPr>
              <w:t>环境保护措施</w:t>
            </w:r>
            <w:bookmarkEnd w:id="41"/>
            <w:bookmarkEnd w:id="42"/>
          </w:p>
        </w:tc>
        <w:tc>
          <w:tcPr>
            <w:tcW w:w="1224" w:type="pct"/>
            <w:vAlign w:val="center"/>
          </w:tcPr>
          <w:p w14:paraId="0DDEE699">
            <w:pPr>
              <w:adjustRightInd w:val="0"/>
              <w:snapToGrid w:val="0"/>
              <w:jc w:val="center"/>
              <w:outlineLvl w:val="0"/>
              <w:rPr>
                <w:szCs w:val="21"/>
              </w:rPr>
            </w:pPr>
            <w:bookmarkStart w:id="43" w:name="_Toc17247"/>
            <w:bookmarkStart w:id="44" w:name="_Toc13187"/>
            <w:r>
              <w:rPr>
                <w:szCs w:val="21"/>
              </w:rPr>
              <w:t>验收要求</w:t>
            </w:r>
            <w:bookmarkEnd w:id="43"/>
            <w:bookmarkEnd w:id="44"/>
          </w:p>
        </w:tc>
      </w:tr>
      <w:tr w14:paraId="7CC22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10E6BA30">
            <w:pPr>
              <w:adjustRightInd w:val="0"/>
              <w:snapToGrid w:val="0"/>
              <w:jc w:val="center"/>
              <w:rPr>
                <w:bCs/>
                <w:szCs w:val="21"/>
              </w:rPr>
            </w:pPr>
            <w:r>
              <w:rPr>
                <w:bCs/>
                <w:szCs w:val="21"/>
              </w:rPr>
              <w:t>陆生生态</w:t>
            </w:r>
          </w:p>
        </w:tc>
        <w:tc>
          <w:tcPr>
            <w:tcW w:w="1215" w:type="pct"/>
            <w:vAlign w:val="center"/>
          </w:tcPr>
          <w:p w14:paraId="5EF9E2D0">
            <w:pPr>
              <w:adjustRightInd w:val="0"/>
              <w:jc w:val="center"/>
              <w:textAlignment w:val="baseline"/>
              <w:rPr>
                <w:kern w:val="0"/>
                <w:szCs w:val="21"/>
              </w:rPr>
            </w:pPr>
            <w:r>
              <w:rPr>
                <w:kern w:val="0"/>
                <w:szCs w:val="21"/>
              </w:rPr>
              <w:t>落实施工期占地控制、植被保护、土壤及水土保持、野生动物保护、生态恢复及补偿措施等生态环境保护措施</w:t>
            </w:r>
          </w:p>
        </w:tc>
        <w:tc>
          <w:tcPr>
            <w:tcW w:w="748" w:type="pct"/>
            <w:vAlign w:val="center"/>
          </w:tcPr>
          <w:p w14:paraId="4DB90A50">
            <w:pPr>
              <w:adjustRightInd w:val="0"/>
              <w:jc w:val="center"/>
              <w:textAlignment w:val="baseline"/>
              <w:rPr>
                <w:kern w:val="0"/>
                <w:szCs w:val="21"/>
              </w:rPr>
            </w:pPr>
            <w:r>
              <w:rPr>
                <w:kern w:val="0"/>
                <w:szCs w:val="21"/>
              </w:rPr>
              <w:t>不占用生态保护红线、自然保护区、湿地公园等生态敏感区；及时恢复植被及生态功能</w:t>
            </w:r>
          </w:p>
        </w:tc>
        <w:tc>
          <w:tcPr>
            <w:tcW w:w="1182" w:type="pct"/>
            <w:vAlign w:val="center"/>
          </w:tcPr>
          <w:p w14:paraId="7FDD1C37">
            <w:pPr>
              <w:adjustRightInd w:val="0"/>
              <w:jc w:val="center"/>
              <w:textAlignment w:val="baseline"/>
              <w:rPr>
                <w:kern w:val="0"/>
                <w:szCs w:val="21"/>
              </w:rPr>
            </w:pPr>
            <w:r>
              <w:rPr>
                <w:kern w:val="0"/>
                <w:szCs w:val="21"/>
              </w:rPr>
              <w:t>风机处设置警示色标识，合理使用光源，安装鸟类分流器，智能鸟类轨迹探测并主动停机避鸟，定期巡检，加强鸟类监测，加强管理</w:t>
            </w:r>
            <w:r>
              <w:rPr>
                <w:rFonts w:hint="eastAsia"/>
                <w:kern w:val="0"/>
                <w:szCs w:val="21"/>
              </w:rPr>
              <w:t>；</w:t>
            </w:r>
            <w:r>
              <w:rPr>
                <w:kern w:val="0"/>
                <w:szCs w:val="21"/>
              </w:rPr>
              <w:t>根据相关部门要求对项目所占地块进行占地补偿</w:t>
            </w:r>
            <w:r>
              <w:rPr>
                <w:rFonts w:hint="eastAsia"/>
                <w:kern w:val="0"/>
                <w:szCs w:val="21"/>
              </w:rPr>
              <w:t>，并</w:t>
            </w:r>
            <w:r>
              <w:t>进行植被恢复后的管护、管理工作</w:t>
            </w:r>
            <w:r>
              <w:rPr>
                <w:kern w:val="0"/>
                <w:szCs w:val="21"/>
              </w:rPr>
              <w:t>。</w:t>
            </w:r>
          </w:p>
        </w:tc>
        <w:tc>
          <w:tcPr>
            <w:tcW w:w="1224" w:type="pct"/>
            <w:vAlign w:val="center"/>
          </w:tcPr>
          <w:p w14:paraId="7A810EAD">
            <w:pPr>
              <w:adjustRightInd w:val="0"/>
              <w:jc w:val="center"/>
              <w:textAlignment w:val="baseline"/>
              <w:rPr>
                <w:kern w:val="0"/>
                <w:szCs w:val="21"/>
              </w:rPr>
            </w:pPr>
            <w:r>
              <w:rPr>
                <w:kern w:val="0"/>
                <w:szCs w:val="21"/>
              </w:rPr>
              <w:t>对</w:t>
            </w:r>
            <w:r>
              <w:rPr>
                <w:rFonts w:hint="eastAsia"/>
                <w:kern w:val="0"/>
                <w:szCs w:val="21"/>
              </w:rPr>
              <w:t>陆生生态</w:t>
            </w:r>
            <w:r>
              <w:rPr>
                <w:kern w:val="0"/>
                <w:szCs w:val="21"/>
              </w:rPr>
              <w:t>的干扰降</w:t>
            </w:r>
            <w:r>
              <w:rPr>
                <w:rFonts w:hint="eastAsia"/>
                <w:kern w:val="0"/>
                <w:szCs w:val="21"/>
              </w:rPr>
              <w:t>至</w:t>
            </w:r>
            <w:r>
              <w:rPr>
                <w:kern w:val="0"/>
                <w:szCs w:val="21"/>
              </w:rPr>
              <w:t>最低</w:t>
            </w:r>
          </w:p>
        </w:tc>
      </w:tr>
      <w:tr w14:paraId="38ADD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6B2A89D1">
            <w:pPr>
              <w:adjustRightInd w:val="0"/>
              <w:snapToGrid w:val="0"/>
              <w:jc w:val="center"/>
              <w:rPr>
                <w:szCs w:val="21"/>
              </w:rPr>
            </w:pPr>
            <w:r>
              <w:rPr>
                <w:szCs w:val="21"/>
              </w:rPr>
              <w:t>水生生态</w:t>
            </w:r>
          </w:p>
        </w:tc>
        <w:tc>
          <w:tcPr>
            <w:tcW w:w="1215" w:type="pct"/>
            <w:vAlign w:val="center"/>
          </w:tcPr>
          <w:p w14:paraId="2684BAA1">
            <w:pPr>
              <w:adjustRightInd w:val="0"/>
              <w:snapToGrid w:val="0"/>
              <w:jc w:val="center"/>
              <w:rPr>
                <w:szCs w:val="21"/>
              </w:rPr>
            </w:pPr>
            <w:r>
              <w:rPr>
                <w:szCs w:val="21"/>
              </w:rPr>
              <w:t>/</w:t>
            </w:r>
          </w:p>
        </w:tc>
        <w:tc>
          <w:tcPr>
            <w:tcW w:w="748" w:type="pct"/>
            <w:vAlign w:val="center"/>
          </w:tcPr>
          <w:p w14:paraId="2B98106E">
            <w:pPr>
              <w:adjustRightInd w:val="0"/>
              <w:snapToGrid w:val="0"/>
              <w:jc w:val="center"/>
              <w:rPr>
                <w:szCs w:val="21"/>
              </w:rPr>
            </w:pPr>
            <w:r>
              <w:rPr>
                <w:szCs w:val="21"/>
              </w:rPr>
              <w:t>/</w:t>
            </w:r>
          </w:p>
        </w:tc>
        <w:tc>
          <w:tcPr>
            <w:tcW w:w="1182" w:type="pct"/>
            <w:vAlign w:val="center"/>
          </w:tcPr>
          <w:p w14:paraId="4E218E48">
            <w:pPr>
              <w:adjustRightInd w:val="0"/>
              <w:snapToGrid w:val="0"/>
              <w:jc w:val="center"/>
              <w:rPr>
                <w:szCs w:val="21"/>
              </w:rPr>
            </w:pPr>
            <w:r>
              <w:rPr>
                <w:szCs w:val="21"/>
              </w:rPr>
              <w:t>/</w:t>
            </w:r>
          </w:p>
        </w:tc>
        <w:tc>
          <w:tcPr>
            <w:tcW w:w="1224" w:type="pct"/>
            <w:vAlign w:val="center"/>
          </w:tcPr>
          <w:p w14:paraId="1940CBFA">
            <w:pPr>
              <w:adjustRightInd w:val="0"/>
              <w:snapToGrid w:val="0"/>
              <w:jc w:val="center"/>
              <w:rPr>
                <w:szCs w:val="21"/>
              </w:rPr>
            </w:pPr>
            <w:r>
              <w:rPr>
                <w:szCs w:val="21"/>
              </w:rPr>
              <w:t>/</w:t>
            </w:r>
          </w:p>
        </w:tc>
      </w:tr>
      <w:tr w14:paraId="37AE1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63FBA0E">
            <w:pPr>
              <w:adjustRightInd w:val="0"/>
              <w:snapToGrid w:val="0"/>
              <w:jc w:val="center"/>
              <w:rPr>
                <w:szCs w:val="21"/>
              </w:rPr>
            </w:pPr>
            <w:r>
              <w:rPr>
                <w:szCs w:val="21"/>
              </w:rPr>
              <w:t>地表水环境</w:t>
            </w:r>
          </w:p>
        </w:tc>
        <w:tc>
          <w:tcPr>
            <w:tcW w:w="1215" w:type="pct"/>
            <w:vAlign w:val="center"/>
          </w:tcPr>
          <w:p w14:paraId="44B65F55">
            <w:pPr>
              <w:adjustRightInd w:val="0"/>
              <w:jc w:val="center"/>
              <w:textAlignment w:val="baseline"/>
              <w:rPr>
                <w:kern w:val="0"/>
                <w:szCs w:val="21"/>
              </w:rPr>
            </w:pPr>
            <w:r>
              <w:rPr>
                <w:kern w:val="0"/>
                <w:szCs w:val="21"/>
              </w:rPr>
              <w:t>施工现场设置临时沉淀池，施工过程中产生的车辆冲洗废水、基坑降水，经沉淀后循环使用；混凝土养护废水全部蒸发，无废水外排。施工营地设置环保型旱厕，生活污水排入环保临时旱厕，定期清运</w:t>
            </w:r>
          </w:p>
        </w:tc>
        <w:tc>
          <w:tcPr>
            <w:tcW w:w="748" w:type="pct"/>
            <w:vAlign w:val="center"/>
          </w:tcPr>
          <w:p w14:paraId="0C45F3C4">
            <w:pPr>
              <w:adjustRightInd w:val="0"/>
              <w:jc w:val="center"/>
              <w:textAlignment w:val="baseline"/>
              <w:rPr>
                <w:kern w:val="0"/>
                <w:szCs w:val="21"/>
              </w:rPr>
            </w:pPr>
            <w:r>
              <w:rPr>
                <w:kern w:val="0"/>
                <w:szCs w:val="21"/>
              </w:rPr>
              <w:t>严格落实沉砂池、环保型临时旱厕等措施，对周边地表水不造成污染</w:t>
            </w:r>
          </w:p>
        </w:tc>
        <w:tc>
          <w:tcPr>
            <w:tcW w:w="1182" w:type="pct"/>
            <w:vAlign w:val="center"/>
          </w:tcPr>
          <w:p w14:paraId="2140051E">
            <w:pPr>
              <w:adjustRightInd w:val="0"/>
              <w:jc w:val="center"/>
              <w:textAlignment w:val="baseline"/>
              <w:rPr>
                <w:kern w:val="0"/>
                <w:szCs w:val="21"/>
              </w:rPr>
            </w:pPr>
            <w:r>
              <w:rPr>
                <w:kern w:val="0"/>
                <w:szCs w:val="21"/>
              </w:rPr>
              <w:t>食堂废水采用隔油池处理后与其他生活污水共同排入化粪池，定期清掏</w:t>
            </w:r>
          </w:p>
        </w:tc>
        <w:tc>
          <w:tcPr>
            <w:tcW w:w="1224" w:type="pct"/>
            <w:vAlign w:val="center"/>
          </w:tcPr>
          <w:p w14:paraId="239A2C36">
            <w:pPr>
              <w:adjustRightInd w:val="0"/>
              <w:jc w:val="center"/>
              <w:textAlignment w:val="baseline"/>
              <w:rPr>
                <w:kern w:val="0"/>
                <w:szCs w:val="21"/>
              </w:rPr>
            </w:pPr>
            <w:r>
              <w:rPr>
                <w:kern w:val="0"/>
                <w:szCs w:val="21"/>
              </w:rPr>
              <w:t>不外排</w:t>
            </w:r>
          </w:p>
        </w:tc>
      </w:tr>
      <w:tr w14:paraId="4C606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3B8B96C8">
            <w:pPr>
              <w:adjustRightInd w:val="0"/>
              <w:snapToGrid w:val="0"/>
              <w:jc w:val="center"/>
              <w:rPr>
                <w:szCs w:val="21"/>
              </w:rPr>
            </w:pPr>
            <w:r>
              <w:rPr>
                <w:szCs w:val="21"/>
              </w:rPr>
              <w:t>地下水及土壤环境</w:t>
            </w:r>
          </w:p>
        </w:tc>
        <w:tc>
          <w:tcPr>
            <w:tcW w:w="1215" w:type="pct"/>
            <w:vAlign w:val="center"/>
          </w:tcPr>
          <w:p w14:paraId="627A7A51">
            <w:pPr>
              <w:adjustRightInd w:val="0"/>
              <w:jc w:val="center"/>
              <w:textAlignment w:val="baseline"/>
              <w:rPr>
                <w:kern w:val="0"/>
                <w:szCs w:val="21"/>
              </w:rPr>
            </w:pPr>
            <w:r>
              <w:rPr>
                <w:kern w:val="0"/>
                <w:szCs w:val="21"/>
              </w:rPr>
              <w:t>化粪池、沉淀池进行防渗</w:t>
            </w:r>
          </w:p>
        </w:tc>
        <w:tc>
          <w:tcPr>
            <w:tcW w:w="748" w:type="pct"/>
            <w:vAlign w:val="center"/>
          </w:tcPr>
          <w:p w14:paraId="12A041F9">
            <w:pPr>
              <w:adjustRightInd w:val="0"/>
              <w:jc w:val="center"/>
              <w:textAlignment w:val="baseline"/>
              <w:rPr>
                <w:kern w:val="0"/>
                <w:szCs w:val="21"/>
              </w:rPr>
            </w:pPr>
            <w:r>
              <w:rPr>
                <w:kern w:val="0"/>
                <w:szCs w:val="21"/>
              </w:rPr>
              <w:t>不对区域地下水、 土壤造成污染</w:t>
            </w:r>
          </w:p>
        </w:tc>
        <w:tc>
          <w:tcPr>
            <w:tcW w:w="1182" w:type="pct"/>
            <w:vAlign w:val="center"/>
          </w:tcPr>
          <w:p w14:paraId="62EA990E">
            <w:pPr>
              <w:adjustRightInd w:val="0"/>
              <w:jc w:val="center"/>
              <w:textAlignment w:val="baseline"/>
              <w:rPr>
                <w:kern w:val="0"/>
                <w:szCs w:val="21"/>
              </w:rPr>
            </w:pPr>
            <w:r>
              <w:rPr>
                <w:rFonts w:hint="eastAsia"/>
              </w:rPr>
              <w:t>对风机、变电站、蓄电池室、危废间等定期进行检修；</w:t>
            </w:r>
            <w:r>
              <w:rPr>
                <w:kern w:val="0"/>
                <w:szCs w:val="21"/>
              </w:rPr>
              <w:t>事故油池、贮油池、</w:t>
            </w:r>
            <w:r>
              <w:rPr>
                <w:rFonts w:hint="eastAsia"/>
                <w:kern w:val="0"/>
                <w:szCs w:val="21"/>
              </w:rPr>
              <w:t>危废贮存库、蓄电池室</w:t>
            </w:r>
            <w:r>
              <w:rPr>
                <w:kern w:val="0"/>
                <w:szCs w:val="21"/>
              </w:rPr>
              <w:t>重点防渗，其余简单防渗</w:t>
            </w:r>
          </w:p>
        </w:tc>
        <w:tc>
          <w:tcPr>
            <w:tcW w:w="1224" w:type="pct"/>
            <w:vAlign w:val="center"/>
          </w:tcPr>
          <w:p w14:paraId="36A9954B">
            <w:pPr>
              <w:adjustRightInd w:val="0"/>
              <w:jc w:val="center"/>
              <w:textAlignment w:val="baseline"/>
              <w:rPr>
                <w:kern w:val="0"/>
                <w:szCs w:val="21"/>
              </w:rPr>
            </w:pPr>
            <w:r>
              <w:rPr>
                <w:kern w:val="0"/>
                <w:szCs w:val="21"/>
              </w:rPr>
              <w:t>各区域满足相应防渗要求，不对区域地下水、土壤造成污染</w:t>
            </w:r>
          </w:p>
        </w:tc>
      </w:tr>
      <w:tr w14:paraId="05983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08041AF7">
            <w:pPr>
              <w:adjustRightInd w:val="0"/>
              <w:snapToGrid w:val="0"/>
              <w:jc w:val="center"/>
              <w:rPr>
                <w:szCs w:val="21"/>
              </w:rPr>
            </w:pPr>
            <w:r>
              <w:rPr>
                <w:szCs w:val="21"/>
              </w:rPr>
              <w:t>声环境</w:t>
            </w:r>
          </w:p>
        </w:tc>
        <w:tc>
          <w:tcPr>
            <w:tcW w:w="1215" w:type="pct"/>
            <w:vAlign w:val="center"/>
          </w:tcPr>
          <w:p w14:paraId="137AC0D7">
            <w:pPr>
              <w:adjustRightInd w:val="0"/>
              <w:jc w:val="center"/>
              <w:textAlignment w:val="baseline"/>
              <w:rPr>
                <w:kern w:val="0"/>
                <w:szCs w:val="21"/>
              </w:rPr>
            </w:pPr>
            <w:r>
              <w:rPr>
                <w:kern w:val="0"/>
                <w:szCs w:val="21"/>
              </w:rPr>
              <w:t>合理安排工期，基础减噪，选用低噪声设备，同时加强机械维护，保障机械的良好运行，在途经居民敏感点时， 应减速慢行，禁止鸣笛</w:t>
            </w:r>
          </w:p>
        </w:tc>
        <w:tc>
          <w:tcPr>
            <w:tcW w:w="748" w:type="pct"/>
            <w:vAlign w:val="center"/>
          </w:tcPr>
          <w:p w14:paraId="37AC6F6D">
            <w:pPr>
              <w:adjustRightInd w:val="0"/>
              <w:jc w:val="center"/>
              <w:textAlignment w:val="baseline"/>
              <w:rPr>
                <w:kern w:val="0"/>
                <w:szCs w:val="21"/>
              </w:rPr>
            </w:pPr>
            <w:r>
              <w:rPr>
                <w:kern w:val="0"/>
                <w:szCs w:val="21"/>
              </w:rPr>
              <w:t>满足《建筑施工场界环境噪声排放标准》（GB12523-2011）</w:t>
            </w:r>
          </w:p>
        </w:tc>
        <w:tc>
          <w:tcPr>
            <w:tcW w:w="1182" w:type="pct"/>
            <w:vAlign w:val="center"/>
          </w:tcPr>
          <w:p w14:paraId="6E173250">
            <w:pPr>
              <w:adjustRightInd w:val="0"/>
              <w:jc w:val="center"/>
              <w:textAlignment w:val="baseline"/>
              <w:rPr>
                <w:kern w:val="0"/>
                <w:szCs w:val="21"/>
              </w:rPr>
            </w:pPr>
            <w:r>
              <w:rPr>
                <w:kern w:val="0"/>
                <w:szCs w:val="21"/>
              </w:rPr>
              <w:t>通过选用低噪声设备，对同时加强设备维护，保障设备的良好运行</w:t>
            </w:r>
          </w:p>
        </w:tc>
        <w:tc>
          <w:tcPr>
            <w:tcW w:w="1224" w:type="pct"/>
            <w:vAlign w:val="center"/>
          </w:tcPr>
          <w:p w14:paraId="61F1BB56">
            <w:pPr>
              <w:adjustRightInd w:val="0"/>
              <w:jc w:val="center"/>
              <w:textAlignment w:val="baseline"/>
              <w:rPr>
                <w:kern w:val="0"/>
                <w:szCs w:val="21"/>
              </w:rPr>
            </w:pPr>
            <w:r>
              <w:rPr>
                <w:kern w:val="0"/>
                <w:szCs w:val="21"/>
              </w:rPr>
              <w:t>厂界噪声满足《工业企业厂界环境噪声排放标准》（GB12348-2008）1类标准限值</w:t>
            </w:r>
          </w:p>
        </w:tc>
      </w:tr>
      <w:tr w14:paraId="2A683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390D9D57">
            <w:pPr>
              <w:adjustRightInd w:val="0"/>
              <w:snapToGrid w:val="0"/>
              <w:jc w:val="center"/>
              <w:rPr>
                <w:szCs w:val="21"/>
              </w:rPr>
            </w:pPr>
            <w:r>
              <w:rPr>
                <w:szCs w:val="21"/>
              </w:rPr>
              <w:t>振动</w:t>
            </w:r>
          </w:p>
        </w:tc>
        <w:tc>
          <w:tcPr>
            <w:tcW w:w="1215" w:type="pct"/>
            <w:vAlign w:val="center"/>
          </w:tcPr>
          <w:p w14:paraId="21EF4737">
            <w:pPr>
              <w:adjustRightInd w:val="0"/>
              <w:snapToGrid w:val="0"/>
              <w:jc w:val="center"/>
              <w:rPr>
                <w:szCs w:val="21"/>
              </w:rPr>
            </w:pPr>
            <w:r>
              <w:rPr>
                <w:szCs w:val="21"/>
              </w:rPr>
              <w:t>/</w:t>
            </w:r>
          </w:p>
        </w:tc>
        <w:tc>
          <w:tcPr>
            <w:tcW w:w="748" w:type="pct"/>
            <w:vAlign w:val="center"/>
          </w:tcPr>
          <w:p w14:paraId="027DC942">
            <w:pPr>
              <w:adjustRightInd w:val="0"/>
              <w:snapToGrid w:val="0"/>
              <w:jc w:val="center"/>
              <w:rPr>
                <w:szCs w:val="21"/>
              </w:rPr>
            </w:pPr>
            <w:r>
              <w:rPr>
                <w:szCs w:val="21"/>
              </w:rPr>
              <w:t>/</w:t>
            </w:r>
          </w:p>
        </w:tc>
        <w:tc>
          <w:tcPr>
            <w:tcW w:w="1182" w:type="pct"/>
            <w:vAlign w:val="center"/>
          </w:tcPr>
          <w:p w14:paraId="6688B012">
            <w:pPr>
              <w:adjustRightInd w:val="0"/>
              <w:snapToGrid w:val="0"/>
              <w:jc w:val="center"/>
              <w:rPr>
                <w:szCs w:val="21"/>
              </w:rPr>
            </w:pPr>
            <w:r>
              <w:rPr>
                <w:szCs w:val="21"/>
              </w:rPr>
              <w:t>/</w:t>
            </w:r>
          </w:p>
        </w:tc>
        <w:tc>
          <w:tcPr>
            <w:tcW w:w="1224" w:type="pct"/>
            <w:vAlign w:val="center"/>
          </w:tcPr>
          <w:p w14:paraId="54635197">
            <w:pPr>
              <w:adjustRightInd w:val="0"/>
              <w:snapToGrid w:val="0"/>
              <w:jc w:val="center"/>
              <w:rPr>
                <w:szCs w:val="21"/>
              </w:rPr>
            </w:pPr>
            <w:r>
              <w:rPr>
                <w:szCs w:val="21"/>
              </w:rPr>
              <w:t>/</w:t>
            </w:r>
          </w:p>
        </w:tc>
      </w:tr>
      <w:tr w14:paraId="77A41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3D719B3">
            <w:pPr>
              <w:adjustRightInd w:val="0"/>
              <w:snapToGrid w:val="0"/>
              <w:jc w:val="center"/>
              <w:rPr>
                <w:szCs w:val="21"/>
              </w:rPr>
            </w:pPr>
            <w:r>
              <w:rPr>
                <w:szCs w:val="21"/>
              </w:rPr>
              <w:t>大气环境</w:t>
            </w:r>
          </w:p>
        </w:tc>
        <w:tc>
          <w:tcPr>
            <w:tcW w:w="1215" w:type="pct"/>
            <w:vAlign w:val="center"/>
          </w:tcPr>
          <w:p w14:paraId="6AA90C72">
            <w:pPr>
              <w:adjustRightInd w:val="0"/>
              <w:jc w:val="center"/>
              <w:textAlignment w:val="baseline"/>
              <w:rPr>
                <w:kern w:val="0"/>
                <w:szCs w:val="21"/>
              </w:rPr>
            </w:pPr>
            <w:r>
              <w:rPr>
                <w:kern w:val="0"/>
                <w:szCs w:val="21"/>
              </w:rPr>
              <w:t>施工时安装视频监控或扬尘监测设施，并与有关部门联网；开挖土方、临时堆料在指定地点堆放，采取围挡、覆盖措施，开挖土方及时回填；施工现场设置围挡，施工道路和作业场地硬化，出入口设车轮冲洗装置对出场车轮进行冲洗，施工现场洒水抑尘，对易产生扬尘的建筑材料和运输车辆采取防尘布苫盖等，施工现场的建筑垃圾必须设置垃圾存放点，及时清运；物料及土方等装卸过程采用雾炮喷雾抑尘；焊接烟尘采用焊烟净化器处理后排放；加强各种施工机械的维修与保养</w:t>
            </w:r>
          </w:p>
        </w:tc>
        <w:tc>
          <w:tcPr>
            <w:tcW w:w="748" w:type="pct"/>
            <w:vAlign w:val="center"/>
          </w:tcPr>
          <w:p w14:paraId="15F31BAE">
            <w:pPr>
              <w:adjustRightInd w:val="0"/>
              <w:jc w:val="center"/>
              <w:textAlignment w:val="baseline"/>
              <w:rPr>
                <w:kern w:val="0"/>
                <w:szCs w:val="21"/>
              </w:rPr>
            </w:pPr>
            <w:r>
              <w:rPr>
                <w:kern w:val="0"/>
                <w:szCs w:val="21"/>
              </w:rPr>
              <w:t>满足《施工场地扬尘排放标准》（DB13/2934-2019）表1</w:t>
            </w:r>
          </w:p>
        </w:tc>
        <w:tc>
          <w:tcPr>
            <w:tcW w:w="2078" w:type="dxa"/>
            <w:vAlign w:val="center"/>
          </w:tcPr>
          <w:p w14:paraId="1E92AB07">
            <w:pPr>
              <w:adjustRightInd w:val="0"/>
              <w:jc w:val="center"/>
              <w:textAlignment w:val="baseline"/>
              <w:rPr>
                <w:kern w:val="0"/>
                <w:szCs w:val="21"/>
              </w:rPr>
            </w:pPr>
            <w:r>
              <w:rPr>
                <w:kern w:val="0"/>
                <w:szCs w:val="21"/>
              </w:rPr>
              <w:t>食堂油烟采用油烟净化器处理后净专用排气筒排放</w:t>
            </w:r>
          </w:p>
        </w:tc>
        <w:tc>
          <w:tcPr>
            <w:tcW w:w="2152" w:type="dxa"/>
            <w:vAlign w:val="center"/>
          </w:tcPr>
          <w:p w14:paraId="4A4A4C3C">
            <w:pPr>
              <w:adjustRightInd w:val="0"/>
              <w:jc w:val="center"/>
              <w:textAlignment w:val="baseline"/>
              <w:rPr>
                <w:kern w:val="0"/>
                <w:szCs w:val="21"/>
              </w:rPr>
            </w:pPr>
            <w:r>
              <w:rPr>
                <w:kern w:val="0"/>
                <w:szCs w:val="21"/>
              </w:rPr>
              <w:t xml:space="preserve">食堂排气筒满足《餐饮业大气污染物排放标准》（DB13/5808-2023) </w:t>
            </w:r>
            <w:r>
              <w:rPr>
                <w:rFonts w:hint="eastAsia"/>
                <w:kern w:val="0"/>
                <w:szCs w:val="21"/>
              </w:rPr>
              <w:t>、</w:t>
            </w:r>
            <w:r>
              <w:rPr>
                <w:kern w:val="0"/>
                <w:szCs w:val="21"/>
              </w:rPr>
              <w:t>《唐山市餐饮油烟污染治理专项方案》</w:t>
            </w:r>
            <w:r>
              <w:rPr>
                <w:rFonts w:hint="eastAsia"/>
                <w:kern w:val="0"/>
                <w:szCs w:val="21"/>
              </w:rPr>
              <w:t>（</w:t>
            </w:r>
            <w:r>
              <w:rPr>
                <w:kern w:val="0"/>
                <w:szCs w:val="21"/>
              </w:rPr>
              <w:t>唐气领办〔2021〕58号</w:t>
            </w:r>
            <w:r>
              <w:rPr>
                <w:rFonts w:hint="eastAsia"/>
                <w:kern w:val="0"/>
                <w:szCs w:val="21"/>
              </w:rPr>
              <w:t>）</w:t>
            </w:r>
          </w:p>
        </w:tc>
      </w:tr>
      <w:tr w14:paraId="4D8EC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6526E985">
            <w:pPr>
              <w:adjustRightInd w:val="0"/>
              <w:snapToGrid w:val="0"/>
              <w:jc w:val="center"/>
              <w:rPr>
                <w:szCs w:val="21"/>
              </w:rPr>
            </w:pPr>
            <w:r>
              <w:rPr>
                <w:szCs w:val="21"/>
              </w:rPr>
              <w:t>固体废物</w:t>
            </w:r>
          </w:p>
        </w:tc>
        <w:tc>
          <w:tcPr>
            <w:tcW w:w="1215" w:type="pct"/>
            <w:vAlign w:val="center"/>
          </w:tcPr>
          <w:p w14:paraId="6B46E28A">
            <w:pPr>
              <w:adjustRightInd w:val="0"/>
              <w:jc w:val="center"/>
              <w:textAlignment w:val="baseline"/>
              <w:rPr>
                <w:kern w:val="0"/>
                <w:szCs w:val="21"/>
              </w:rPr>
            </w:pPr>
            <w:r>
              <w:rPr>
                <w:kern w:val="0"/>
                <w:szCs w:val="21"/>
              </w:rPr>
              <w:t>项目开挖的土石方均能全部回填利用，不需设置弃渣场；在临近风电机组基础的吊装平台上设置泥浆循环池，</w:t>
            </w:r>
          </w:p>
          <w:p w14:paraId="090004EE">
            <w:pPr>
              <w:adjustRightInd w:val="0"/>
              <w:jc w:val="center"/>
              <w:textAlignment w:val="baseline"/>
              <w:rPr>
                <w:kern w:val="0"/>
                <w:szCs w:val="21"/>
              </w:rPr>
            </w:pPr>
            <w:r>
              <w:rPr>
                <w:kern w:val="0"/>
                <w:szCs w:val="21"/>
              </w:rPr>
              <w:t>施工期清理的淤泥，桩基施工、拉管施工过程产生的废弃泥浆，其他建筑施工废物，委托许可单位运送至相关管理部门指定地点处理；</w:t>
            </w:r>
          </w:p>
          <w:p w14:paraId="1637AED9">
            <w:pPr>
              <w:adjustRightInd w:val="0"/>
              <w:jc w:val="center"/>
              <w:textAlignment w:val="baseline"/>
              <w:rPr>
                <w:kern w:val="0"/>
                <w:szCs w:val="21"/>
              </w:rPr>
            </w:pPr>
            <w:r>
              <w:rPr>
                <w:kern w:val="0"/>
                <w:szCs w:val="21"/>
              </w:rPr>
              <w:t>设备安装产生的固废等由厂家回收；</w:t>
            </w:r>
          </w:p>
          <w:p w14:paraId="71884745">
            <w:pPr>
              <w:adjustRightInd w:val="0"/>
              <w:jc w:val="center"/>
              <w:textAlignment w:val="baseline"/>
              <w:rPr>
                <w:kern w:val="0"/>
                <w:szCs w:val="21"/>
              </w:rPr>
            </w:pPr>
            <w:r>
              <w:rPr>
                <w:kern w:val="0"/>
                <w:szCs w:val="21"/>
              </w:rPr>
              <w:t>生活垃圾收集后由当地环卫部门统一处理</w:t>
            </w:r>
          </w:p>
        </w:tc>
        <w:tc>
          <w:tcPr>
            <w:tcW w:w="748" w:type="pct"/>
            <w:vAlign w:val="center"/>
          </w:tcPr>
          <w:p w14:paraId="2AC13147">
            <w:pPr>
              <w:adjustRightInd w:val="0"/>
              <w:jc w:val="center"/>
              <w:textAlignment w:val="baseline"/>
              <w:rPr>
                <w:kern w:val="0"/>
                <w:szCs w:val="21"/>
              </w:rPr>
            </w:pPr>
            <w:r>
              <w:rPr>
                <w:kern w:val="0"/>
                <w:szCs w:val="21"/>
              </w:rPr>
              <w:t>合理处置</w:t>
            </w:r>
          </w:p>
        </w:tc>
        <w:tc>
          <w:tcPr>
            <w:tcW w:w="1182" w:type="pct"/>
            <w:vAlign w:val="center"/>
          </w:tcPr>
          <w:p w14:paraId="3BCA35CF">
            <w:pPr>
              <w:adjustRightInd w:val="0"/>
              <w:jc w:val="center"/>
              <w:textAlignment w:val="baseline"/>
              <w:rPr>
                <w:kern w:val="0"/>
                <w:szCs w:val="21"/>
              </w:rPr>
            </w:pPr>
            <w:r>
              <w:rPr>
                <w:kern w:val="0"/>
                <w:szCs w:val="21"/>
              </w:rPr>
              <w:t>危险废物中设备维护过程产生的废齿轮油桶装加盖收集，与设备维护过程产生的废油桶、备用电源更换的废蓄电池暂存于</w:t>
            </w:r>
            <w:r>
              <w:rPr>
                <w:rFonts w:hint="eastAsia"/>
                <w:kern w:val="0"/>
                <w:szCs w:val="21"/>
              </w:rPr>
              <w:t>危废贮存库</w:t>
            </w:r>
            <w:r>
              <w:rPr>
                <w:kern w:val="0"/>
                <w:szCs w:val="21"/>
              </w:rPr>
              <w:t>，委托有危废处理资质的单位进行处理。按照检修计划联系有危废处理资质的单位进站，确保更换的废变压器油随产随清，不在厂区内暂存，事故状态泄漏的事故废油通过管道流入事故油池，委托有危废处理资质的单位及时进行处理，常规状态池内不储存废油</w:t>
            </w:r>
          </w:p>
        </w:tc>
        <w:tc>
          <w:tcPr>
            <w:tcW w:w="1224" w:type="pct"/>
            <w:vAlign w:val="center"/>
          </w:tcPr>
          <w:p w14:paraId="6B22F43B">
            <w:pPr>
              <w:adjustRightInd w:val="0"/>
              <w:jc w:val="center"/>
              <w:textAlignment w:val="baseline"/>
              <w:rPr>
                <w:kern w:val="0"/>
                <w:szCs w:val="21"/>
              </w:rPr>
            </w:pPr>
            <w:r>
              <w:rPr>
                <w:kern w:val="0"/>
                <w:szCs w:val="21"/>
              </w:rPr>
              <w:t>去向合理，不产生二次污染</w:t>
            </w:r>
          </w:p>
        </w:tc>
      </w:tr>
      <w:tr w14:paraId="13E9D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565FB227">
            <w:pPr>
              <w:adjustRightInd w:val="0"/>
              <w:snapToGrid w:val="0"/>
              <w:jc w:val="center"/>
              <w:rPr>
                <w:szCs w:val="21"/>
              </w:rPr>
            </w:pPr>
            <w:r>
              <w:rPr>
                <w:szCs w:val="21"/>
              </w:rPr>
              <w:t>电磁环境</w:t>
            </w:r>
          </w:p>
        </w:tc>
        <w:tc>
          <w:tcPr>
            <w:tcW w:w="4370" w:type="pct"/>
            <w:gridSpan w:val="4"/>
            <w:vAlign w:val="center"/>
          </w:tcPr>
          <w:p w14:paraId="68F63AFE">
            <w:pPr>
              <w:adjustRightInd w:val="0"/>
              <w:snapToGrid w:val="0"/>
              <w:jc w:val="center"/>
              <w:rPr>
                <w:szCs w:val="21"/>
              </w:rPr>
            </w:pPr>
            <w:r>
              <w:rPr>
                <w:szCs w:val="21"/>
              </w:rPr>
              <w:t>本评价不包括220kV送出线路</w:t>
            </w:r>
            <w:r>
              <w:rPr>
                <w:rFonts w:hint="eastAsia"/>
                <w:szCs w:val="21"/>
              </w:rPr>
              <w:t>及</w:t>
            </w:r>
            <w:r>
              <w:rPr>
                <w:szCs w:val="21"/>
              </w:rPr>
              <w:t>220kV</w:t>
            </w:r>
            <w:r>
              <w:rPr>
                <w:rFonts w:hint="eastAsia"/>
                <w:szCs w:val="21"/>
              </w:rPr>
              <w:t>升压</w:t>
            </w:r>
            <w:r>
              <w:rPr>
                <w:szCs w:val="21"/>
              </w:rPr>
              <w:t>站的电磁辐射环境影响评价，</w:t>
            </w:r>
            <w:r>
              <w:rPr>
                <w:rFonts w:hint="eastAsia"/>
                <w:szCs w:val="21"/>
              </w:rPr>
              <w:t>升压站</w:t>
            </w:r>
            <w:r>
              <w:rPr>
                <w:szCs w:val="21"/>
              </w:rPr>
              <w:t>及送出线路的电磁辐射影响需另行委托评价</w:t>
            </w:r>
          </w:p>
        </w:tc>
      </w:tr>
      <w:tr w14:paraId="52AA4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3CB12E57">
            <w:pPr>
              <w:adjustRightInd w:val="0"/>
              <w:snapToGrid w:val="0"/>
              <w:jc w:val="center"/>
              <w:rPr>
                <w:szCs w:val="21"/>
              </w:rPr>
            </w:pPr>
            <w:r>
              <w:rPr>
                <w:szCs w:val="21"/>
              </w:rPr>
              <w:t>环境风险</w:t>
            </w:r>
          </w:p>
        </w:tc>
        <w:tc>
          <w:tcPr>
            <w:tcW w:w="1215" w:type="pct"/>
            <w:vAlign w:val="center"/>
          </w:tcPr>
          <w:p w14:paraId="7827A98F">
            <w:pPr>
              <w:adjustRightInd w:val="0"/>
              <w:snapToGrid w:val="0"/>
              <w:jc w:val="center"/>
              <w:rPr>
                <w:szCs w:val="21"/>
              </w:rPr>
            </w:pPr>
            <w:r>
              <w:rPr>
                <w:szCs w:val="21"/>
              </w:rPr>
              <w:t>/</w:t>
            </w:r>
          </w:p>
        </w:tc>
        <w:tc>
          <w:tcPr>
            <w:tcW w:w="748" w:type="pct"/>
            <w:vAlign w:val="center"/>
          </w:tcPr>
          <w:p w14:paraId="285D3332">
            <w:pPr>
              <w:adjustRightInd w:val="0"/>
              <w:snapToGrid w:val="0"/>
              <w:jc w:val="center"/>
              <w:rPr>
                <w:szCs w:val="21"/>
              </w:rPr>
            </w:pPr>
            <w:r>
              <w:rPr>
                <w:szCs w:val="21"/>
              </w:rPr>
              <w:t>/</w:t>
            </w:r>
          </w:p>
        </w:tc>
        <w:tc>
          <w:tcPr>
            <w:tcW w:w="1182" w:type="pct"/>
            <w:vAlign w:val="center"/>
          </w:tcPr>
          <w:p w14:paraId="03AC8C32">
            <w:pPr>
              <w:adjustRightInd w:val="0"/>
              <w:jc w:val="center"/>
              <w:textAlignment w:val="baseline"/>
              <w:rPr>
                <w:kern w:val="0"/>
                <w:szCs w:val="21"/>
              </w:rPr>
            </w:pPr>
            <w:r>
              <w:t>主变设置贮油池、事故油池</w:t>
            </w:r>
            <w:r>
              <w:rPr>
                <w:rFonts w:hint="eastAsia"/>
              </w:rPr>
              <w:t>，箱变设置事故油池</w:t>
            </w:r>
            <w:r>
              <w:t>。主变压器、箱式变压器产生的</w:t>
            </w:r>
            <w:r>
              <w:rPr>
                <w:rFonts w:hint="eastAsia"/>
              </w:rPr>
              <w:t>事故</w:t>
            </w:r>
            <w:r>
              <w:t>废油</w:t>
            </w:r>
            <w:r>
              <w:rPr>
                <w:rFonts w:hint="eastAsia"/>
              </w:rPr>
              <w:t>流入</w:t>
            </w:r>
            <w:r>
              <w:t>事故油池中，委托有资质单位进行处置。</w:t>
            </w:r>
            <w:r>
              <w:rPr>
                <w:rFonts w:hint="eastAsia"/>
              </w:rPr>
              <w:t>蓄电池室内蓄电池下方设置托盘，地面进行混凝土硬化及防腐防渗处理。贮油池、</w:t>
            </w:r>
            <w:r>
              <w:t>事故油池</w:t>
            </w:r>
            <w:r>
              <w:rPr>
                <w:rFonts w:hint="eastAsia"/>
              </w:rPr>
              <w:t>、危废间、蓄电池室均</w:t>
            </w:r>
            <w:r>
              <w:t>采取重点防渗</w:t>
            </w:r>
            <w:r>
              <w:rPr>
                <w:rFonts w:hint="eastAsia"/>
              </w:rPr>
              <w:t>措施</w:t>
            </w:r>
            <w:r>
              <w:t>。变压器本体设安全保护装置</w:t>
            </w:r>
            <w:r>
              <w:rPr>
                <w:rFonts w:hint="eastAsia"/>
              </w:rPr>
              <w:t>、</w:t>
            </w:r>
            <w:r>
              <w:t>气体继电器</w:t>
            </w:r>
            <w:r>
              <w:rPr>
                <w:rFonts w:hint="eastAsia"/>
              </w:rPr>
              <w:t>、</w:t>
            </w:r>
            <w:r>
              <w:t>压力释放装置等。</w:t>
            </w:r>
            <w:r>
              <w:rPr>
                <w:rFonts w:hint="eastAsia"/>
              </w:rPr>
              <w:t>场区设置消防器材。编制突发环境事件应急预案</w:t>
            </w:r>
          </w:p>
        </w:tc>
        <w:tc>
          <w:tcPr>
            <w:tcW w:w="1224" w:type="pct"/>
            <w:vAlign w:val="center"/>
          </w:tcPr>
          <w:p w14:paraId="4F88D3A3">
            <w:pPr>
              <w:adjustRightInd w:val="0"/>
              <w:jc w:val="center"/>
              <w:textAlignment w:val="baseline"/>
              <w:rPr>
                <w:kern w:val="0"/>
                <w:szCs w:val="21"/>
              </w:rPr>
            </w:pPr>
            <w:r>
              <w:rPr>
                <w:kern w:val="0"/>
                <w:szCs w:val="21"/>
              </w:rPr>
              <w:t>事故油池容积满足《电力设备典型消防规程》DL5027的要求；防渗满足《危险废物贮存污染控制标准》（GB18597-2023）要求，编制突发环境事件应急预案</w:t>
            </w:r>
          </w:p>
        </w:tc>
      </w:tr>
      <w:tr w14:paraId="13FE1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36E6674D">
            <w:pPr>
              <w:adjustRightInd w:val="0"/>
              <w:snapToGrid w:val="0"/>
              <w:jc w:val="center"/>
              <w:rPr>
                <w:szCs w:val="21"/>
              </w:rPr>
            </w:pPr>
            <w:r>
              <w:rPr>
                <w:szCs w:val="21"/>
              </w:rPr>
              <w:t>环境监测</w:t>
            </w:r>
          </w:p>
        </w:tc>
        <w:tc>
          <w:tcPr>
            <w:tcW w:w="1215" w:type="pct"/>
            <w:vAlign w:val="center"/>
          </w:tcPr>
          <w:p w14:paraId="78D3C0F3">
            <w:pPr>
              <w:adjustRightInd w:val="0"/>
              <w:jc w:val="center"/>
              <w:textAlignment w:val="baseline"/>
              <w:rPr>
                <w:kern w:val="0"/>
                <w:szCs w:val="21"/>
              </w:rPr>
            </w:pPr>
            <w:r>
              <w:rPr>
                <w:kern w:val="0"/>
                <w:szCs w:val="21"/>
              </w:rPr>
              <w:t>施工场地PM</w:t>
            </w:r>
            <w:r>
              <w:rPr>
                <w:kern w:val="0"/>
                <w:szCs w:val="21"/>
                <w:vertAlign w:val="subscript"/>
              </w:rPr>
              <w:t>10</w:t>
            </w:r>
            <w:r>
              <w:rPr>
                <w:kern w:val="0"/>
                <w:szCs w:val="21"/>
              </w:rPr>
              <w:t>监测</w:t>
            </w:r>
          </w:p>
        </w:tc>
        <w:tc>
          <w:tcPr>
            <w:tcW w:w="748" w:type="pct"/>
            <w:vAlign w:val="center"/>
          </w:tcPr>
          <w:p w14:paraId="0E03FA0A">
            <w:pPr>
              <w:adjustRightInd w:val="0"/>
              <w:jc w:val="center"/>
              <w:textAlignment w:val="baseline"/>
              <w:rPr>
                <w:kern w:val="0"/>
                <w:szCs w:val="21"/>
              </w:rPr>
            </w:pPr>
            <w:r>
              <w:rPr>
                <w:kern w:val="0"/>
                <w:szCs w:val="21"/>
              </w:rPr>
              <w:t>《施工场地扬尘排放标准》（DB13/2934-2019）</w:t>
            </w:r>
          </w:p>
        </w:tc>
        <w:tc>
          <w:tcPr>
            <w:tcW w:w="2078" w:type="dxa"/>
            <w:vAlign w:val="center"/>
          </w:tcPr>
          <w:p w14:paraId="1D339277">
            <w:pPr>
              <w:adjustRightInd w:val="0"/>
              <w:jc w:val="center"/>
              <w:textAlignment w:val="baseline"/>
              <w:rPr>
                <w:kern w:val="0"/>
                <w:szCs w:val="21"/>
              </w:rPr>
            </w:pPr>
            <w:r>
              <w:rPr>
                <w:kern w:val="0"/>
                <w:szCs w:val="21"/>
              </w:rPr>
              <w:t>油烟监测及升压站厂界噪声监测</w:t>
            </w:r>
          </w:p>
        </w:tc>
        <w:tc>
          <w:tcPr>
            <w:tcW w:w="2152" w:type="dxa"/>
            <w:vAlign w:val="center"/>
          </w:tcPr>
          <w:p w14:paraId="6BE3D284">
            <w:pPr>
              <w:adjustRightInd w:val="0"/>
              <w:jc w:val="center"/>
              <w:textAlignment w:val="baseline"/>
              <w:rPr>
                <w:kern w:val="0"/>
                <w:szCs w:val="21"/>
              </w:rPr>
            </w:pPr>
            <w:r>
              <w:rPr>
                <w:szCs w:val="21"/>
              </w:rPr>
              <w:t>《饮食业油烟排放标准（试行）》（GB18483-2001）、《唐山市餐饮油烟污染治理专项方案》</w:t>
            </w:r>
            <w:r>
              <w:rPr>
                <w:rFonts w:hint="eastAsia"/>
                <w:szCs w:val="21"/>
              </w:rPr>
              <w:t>（</w:t>
            </w:r>
            <w:r>
              <w:rPr>
                <w:szCs w:val="21"/>
              </w:rPr>
              <w:t>唐气领办〔2021〕58号</w:t>
            </w:r>
            <w:r>
              <w:rPr>
                <w:rFonts w:hint="eastAsia"/>
                <w:szCs w:val="21"/>
              </w:rPr>
              <w:t>）</w:t>
            </w:r>
            <w:r>
              <w:rPr>
                <w:szCs w:val="21"/>
              </w:rPr>
              <w:t>；《工业企业厂界环境噪声排放标准》（GB123482008）1类标准</w:t>
            </w:r>
          </w:p>
        </w:tc>
      </w:tr>
      <w:tr w14:paraId="4777D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4CBA2E3">
            <w:pPr>
              <w:adjustRightInd w:val="0"/>
              <w:snapToGrid w:val="0"/>
              <w:jc w:val="center"/>
              <w:rPr>
                <w:szCs w:val="21"/>
              </w:rPr>
            </w:pPr>
            <w:r>
              <w:rPr>
                <w:szCs w:val="21"/>
              </w:rPr>
              <w:t>水土流失</w:t>
            </w:r>
          </w:p>
        </w:tc>
        <w:tc>
          <w:tcPr>
            <w:tcW w:w="1215" w:type="pct"/>
            <w:vAlign w:val="center"/>
          </w:tcPr>
          <w:p w14:paraId="554CC0CC">
            <w:pPr>
              <w:adjustRightInd w:val="0"/>
              <w:jc w:val="center"/>
              <w:textAlignment w:val="baseline"/>
              <w:rPr>
                <w:kern w:val="0"/>
                <w:szCs w:val="21"/>
              </w:rPr>
            </w:pPr>
            <w:r>
              <w:rPr>
                <w:kern w:val="0"/>
                <w:szCs w:val="21"/>
              </w:rPr>
              <w:t>施工组织设计中尽量减少土方开挖量和临时占地量，开挖土方全部就地平摊或回填；施工活动严格限定在用地范围内，严禁随意占压、扰动和破坏地表；施工区做好拦挡措施，废水禁止外排；道路区做好排水、护坡措施</w:t>
            </w:r>
          </w:p>
        </w:tc>
        <w:tc>
          <w:tcPr>
            <w:tcW w:w="748" w:type="pct"/>
            <w:vAlign w:val="center"/>
          </w:tcPr>
          <w:p w14:paraId="3CF484BD">
            <w:pPr>
              <w:adjustRightInd w:val="0"/>
              <w:jc w:val="center"/>
              <w:textAlignment w:val="baseline"/>
              <w:rPr>
                <w:kern w:val="0"/>
                <w:szCs w:val="21"/>
              </w:rPr>
            </w:pPr>
            <w:r>
              <w:rPr>
                <w:kern w:val="0"/>
                <w:szCs w:val="21"/>
              </w:rPr>
              <w:t>水土流失情况得到保护和改善</w:t>
            </w:r>
          </w:p>
        </w:tc>
        <w:tc>
          <w:tcPr>
            <w:tcW w:w="1182" w:type="pct"/>
            <w:vAlign w:val="center"/>
          </w:tcPr>
          <w:p w14:paraId="09D9897D">
            <w:pPr>
              <w:adjustRightInd w:val="0"/>
              <w:snapToGrid w:val="0"/>
              <w:jc w:val="center"/>
              <w:rPr>
                <w:szCs w:val="21"/>
              </w:rPr>
            </w:pPr>
            <w:r>
              <w:rPr>
                <w:szCs w:val="21"/>
              </w:rPr>
              <w:t>/</w:t>
            </w:r>
          </w:p>
        </w:tc>
        <w:tc>
          <w:tcPr>
            <w:tcW w:w="1224" w:type="pct"/>
            <w:vAlign w:val="center"/>
          </w:tcPr>
          <w:p w14:paraId="1A0DDA64">
            <w:pPr>
              <w:adjustRightInd w:val="0"/>
              <w:snapToGrid w:val="0"/>
              <w:jc w:val="center"/>
              <w:rPr>
                <w:szCs w:val="21"/>
              </w:rPr>
            </w:pPr>
            <w:r>
              <w:rPr>
                <w:szCs w:val="21"/>
              </w:rPr>
              <w:t>/</w:t>
            </w:r>
          </w:p>
        </w:tc>
      </w:tr>
      <w:tr w14:paraId="1678A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629" w:type="pct"/>
            <w:vAlign w:val="center"/>
          </w:tcPr>
          <w:p w14:paraId="276C66EC">
            <w:pPr>
              <w:adjustRightInd w:val="0"/>
              <w:snapToGrid w:val="0"/>
              <w:jc w:val="center"/>
              <w:rPr>
                <w:szCs w:val="21"/>
              </w:rPr>
            </w:pPr>
            <w:r>
              <w:rPr>
                <w:szCs w:val="21"/>
              </w:rPr>
              <w:t>其他</w:t>
            </w:r>
          </w:p>
        </w:tc>
        <w:tc>
          <w:tcPr>
            <w:tcW w:w="1215" w:type="pct"/>
            <w:vAlign w:val="center"/>
          </w:tcPr>
          <w:p w14:paraId="3810AA0B">
            <w:pPr>
              <w:adjustRightInd w:val="0"/>
              <w:snapToGrid w:val="0"/>
              <w:jc w:val="center"/>
              <w:rPr>
                <w:szCs w:val="21"/>
              </w:rPr>
            </w:pPr>
            <w:r>
              <w:rPr>
                <w:szCs w:val="21"/>
              </w:rPr>
              <w:t>/</w:t>
            </w:r>
          </w:p>
        </w:tc>
        <w:tc>
          <w:tcPr>
            <w:tcW w:w="748" w:type="pct"/>
            <w:vAlign w:val="center"/>
          </w:tcPr>
          <w:p w14:paraId="0BA081AB">
            <w:pPr>
              <w:adjustRightInd w:val="0"/>
              <w:snapToGrid w:val="0"/>
              <w:jc w:val="center"/>
              <w:rPr>
                <w:szCs w:val="21"/>
              </w:rPr>
            </w:pPr>
            <w:r>
              <w:rPr>
                <w:szCs w:val="21"/>
              </w:rPr>
              <w:t>/</w:t>
            </w:r>
          </w:p>
        </w:tc>
        <w:tc>
          <w:tcPr>
            <w:tcW w:w="1182" w:type="pct"/>
            <w:vAlign w:val="center"/>
          </w:tcPr>
          <w:p w14:paraId="015F5EFC">
            <w:pPr>
              <w:adjustRightInd w:val="0"/>
              <w:snapToGrid w:val="0"/>
              <w:jc w:val="center"/>
              <w:rPr>
                <w:szCs w:val="21"/>
              </w:rPr>
            </w:pPr>
            <w:r>
              <w:rPr>
                <w:szCs w:val="21"/>
              </w:rPr>
              <w:t>/</w:t>
            </w:r>
          </w:p>
        </w:tc>
        <w:tc>
          <w:tcPr>
            <w:tcW w:w="1224" w:type="pct"/>
            <w:vAlign w:val="center"/>
          </w:tcPr>
          <w:p w14:paraId="493D1852">
            <w:pPr>
              <w:adjustRightInd w:val="0"/>
              <w:snapToGrid w:val="0"/>
              <w:jc w:val="center"/>
              <w:rPr>
                <w:szCs w:val="21"/>
              </w:rPr>
            </w:pPr>
            <w:r>
              <w:rPr>
                <w:szCs w:val="21"/>
              </w:rPr>
              <w:t>/</w:t>
            </w:r>
          </w:p>
        </w:tc>
      </w:tr>
    </w:tbl>
    <w:p w14:paraId="1F86BA00">
      <w:pPr>
        <w:pStyle w:val="27"/>
        <w:spacing w:beforeLines="80" w:beforeAutospacing="0"/>
        <w:jc w:val="center"/>
        <w:outlineLvl w:val="0"/>
        <w:rPr>
          <w:rFonts w:ascii="Times New Roman" w:hAnsi="Times New Roman"/>
          <w:snapToGrid w:val="0"/>
          <w:sz w:val="30"/>
          <w:szCs w:val="30"/>
        </w:rPr>
        <w:sectPr>
          <w:pgSz w:w="11906" w:h="16838"/>
          <w:pgMar w:top="1440" w:right="1800" w:bottom="1440" w:left="1800" w:header="851" w:footer="1077" w:gutter="0"/>
          <w:pgNumType w:fmt="numberInDash"/>
          <w:cols w:space="720" w:num="1"/>
          <w:docGrid w:linePitch="312" w:charSpace="0"/>
        </w:sectPr>
      </w:pPr>
    </w:p>
    <w:p w14:paraId="223366FF">
      <w:pPr>
        <w:pStyle w:val="27"/>
        <w:spacing w:beforeLines="80" w:beforeAutospacing="0"/>
        <w:jc w:val="center"/>
        <w:outlineLvl w:val="0"/>
        <w:rPr>
          <w:rFonts w:ascii="Times New Roman" w:hAnsi="Times New Roman"/>
          <w:snapToGrid w:val="0"/>
          <w:sz w:val="30"/>
          <w:szCs w:val="30"/>
        </w:rPr>
      </w:pPr>
      <w:r>
        <w:rPr>
          <w:rFonts w:ascii="Times New Roman" w:hAnsi="Times New Roman"/>
          <w:snapToGrid w:val="0"/>
          <w:sz w:val="30"/>
          <w:szCs w:val="30"/>
        </w:rPr>
        <w:t>七、结论</w:t>
      </w:r>
    </w:p>
    <w:tbl>
      <w:tblPr>
        <w:tblStyle w:val="32"/>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786FA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14:paraId="7327A78A">
            <w:pPr>
              <w:adjustRightInd w:val="0"/>
              <w:snapToGrid w:val="0"/>
              <w:spacing w:line="480" w:lineRule="exact"/>
              <w:ind w:firstLine="480" w:firstLineChars="200"/>
              <w:rPr>
                <w:sz w:val="24"/>
              </w:rPr>
            </w:pPr>
            <w:r>
              <w:rPr>
                <w:rFonts w:hint="eastAsia"/>
                <w:sz w:val="24"/>
              </w:rPr>
              <w:t>本项目致力于清洁能源风能的开发利用，符合国家产业政策及地区发展规划，具有明显的减排效益、社会和经济效益。本项目在施工期和运营期会对环境带来不同程度的影响，但采取各项生态保护措施后，项目对环境的不利影响可以得到有效降低。本项目认真落实本报告提出的各项污染防治措施，特别是落实必要的生态保护和补偿措施后，具备环境可行性。</w:t>
            </w:r>
          </w:p>
          <w:p w14:paraId="7C6D4D53">
            <w:pPr>
              <w:adjustRightInd w:val="0"/>
              <w:snapToGrid w:val="0"/>
              <w:ind w:firstLine="315"/>
            </w:pPr>
          </w:p>
          <w:p w14:paraId="13AD9B53">
            <w:pPr>
              <w:pStyle w:val="3"/>
              <w:spacing w:before="48"/>
              <w:rPr>
                <w:rFonts w:ascii="Times New Roman" w:hAnsi="Times New Roman" w:eastAsia="宋体"/>
              </w:rPr>
            </w:pPr>
          </w:p>
          <w:p w14:paraId="71DDF7D7"/>
          <w:p w14:paraId="6EC084B7">
            <w:pPr>
              <w:pStyle w:val="3"/>
              <w:spacing w:before="48"/>
              <w:rPr>
                <w:rFonts w:ascii="Times New Roman" w:hAnsi="Times New Roman" w:eastAsia="宋体"/>
              </w:rPr>
            </w:pPr>
          </w:p>
          <w:p w14:paraId="49B0734D"/>
          <w:p w14:paraId="44CA06ED">
            <w:pPr>
              <w:pStyle w:val="3"/>
              <w:spacing w:before="48"/>
              <w:rPr>
                <w:rFonts w:ascii="Times New Roman" w:hAnsi="Times New Roman" w:eastAsia="宋体"/>
              </w:rPr>
            </w:pPr>
          </w:p>
          <w:p w14:paraId="3C9B30F4"/>
          <w:p w14:paraId="26737A44">
            <w:pPr>
              <w:pStyle w:val="3"/>
              <w:spacing w:before="48"/>
              <w:rPr>
                <w:rFonts w:ascii="Times New Roman" w:hAnsi="Times New Roman" w:eastAsia="宋体"/>
              </w:rPr>
            </w:pPr>
          </w:p>
          <w:p w14:paraId="12EE9CAA"/>
          <w:p w14:paraId="408C3ECD">
            <w:pPr>
              <w:pStyle w:val="3"/>
              <w:spacing w:before="48"/>
              <w:rPr>
                <w:rFonts w:ascii="Times New Roman" w:hAnsi="Times New Roman" w:eastAsia="宋体"/>
              </w:rPr>
            </w:pPr>
          </w:p>
          <w:p w14:paraId="08299475"/>
          <w:p w14:paraId="772B104D">
            <w:pPr>
              <w:pStyle w:val="3"/>
              <w:spacing w:before="48"/>
              <w:rPr>
                <w:rFonts w:ascii="Times New Roman" w:hAnsi="Times New Roman" w:eastAsia="宋体"/>
              </w:rPr>
            </w:pPr>
          </w:p>
          <w:p w14:paraId="1A023D07"/>
          <w:p w14:paraId="7FE8DDC0">
            <w:pPr>
              <w:pStyle w:val="3"/>
              <w:spacing w:before="48"/>
              <w:rPr>
                <w:rFonts w:ascii="Times New Roman" w:hAnsi="Times New Roman" w:eastAsia="宋体"/>
              </w:rPr>
            </w:pPr>
          </w:p>
          <w:p w14:paraId="3A4A62C6"/>
          <w:p w14:paraId="254101C4">
            <w:pPr>
              <w:pStyle w:val="3"/>
              <w:spacing w:before="48"/>
              <w:rPr>
                <w:rFonts w:ascii="Times New Roman" w:hAnsi="Times New Roman" w:eastAsia="宋体"/>
              </w:rPr>
            </w:pPr>
          </w:p>
          <w:p w14:paraId="32A73BD4"/>
          <w:p w14:paraId="025FC266">
            <w:pPr>
              <w:pStyle w:val="3"/>
              <w:spacing w:before="48"/>
              <w:rPr>
                <w:rFonts w:ascii="Times New Roman" w:hAnsi="Times New Roman" w:eastAsia="宋体"/>
              </w:rPr>
            </w:pPr>
          </w:p>
          <w:p w14:paraId="6A14DF30"/>
          <w:p w14:paraId="3F6E4930">
            <w:pPr>
              <w:pStyle w:val="3"/>
              <w:spacing w:before="48"/>
              <w:rPr>
                <w:rFonts w:ascii="Times New Roman" w:hAnsi="Times New Roman" w:eastAsia="宋体"/>
              </w:rPr>
            </w:pPr>
          </w:p>
          <w:p w14:paraId="1E717AAF"/>
          <w:p w14:paraId="0CCACBEC">
            <w:pPr>
              <w:pStyle w:val="3"/>
              <w:spacing w:before="48"/>
              <w:rPr>
                <w:rFonts w:ascii="Times New Roman" w:hAnsi="Times New Roman" w:eastAsia="宋体"/>
              </w:rPr>
            </w:pPr>
          </w:p>
          <w:p w14:paraId="27F18A8D"/>
          <w:p w14:paraId="3C28EC82">
            <w:pPr>
              <w:pStyle w:val="3"/>
              <w:spacing w:before="48"/>
              <w:rPr>
                <w:rFonts w:ascii="Times New Roman" w:hAnsi="Times New Roman" w:eastAsia="宋体"/>
              </w:rPr>
            </w:pPr>
          </w:p>
          <w:p w14:paraId="3755DB3F"/>
          <w:p w14:paraId="04B96A1B">
            <w:pPr>
              <w:pStyle w:val="3"/>
              <w:spacing w:before="48"/>
              <w:rPr>
                <w:rFonts w:ascii="Times New Roman" w:hAnsi="Times New Roman" w:eastAsia="宋体"/>
              </w:rPr>
            </w:pPr>
          </w:p>
          <w:p w14:paraId="0E09D5AF"/>
          <w:p w14:paraId="35ADB1AB">
            <w:pPr>
              <w:pStyle w:val="3"/>
              <w:spacing w:before="48"/>
              <w:rPr>
                <w:rFonts w:ascii="Times New Roman" w:hAnsi="Times New Roman" w:eastAsia="宋体"/>
              </w:rPr>
            </w:pPr>
          </w:p>
          <w:p w14:paraId="0A051CE5"/>
        </w:tc>
      </w:tr>
    </w:tbl>
    <w:p w14:paraId="17904918"/>
    <w:sectPr>
      <w:pgSz w:w="11906" w:h="16838"/>
      <w:pgMar w:top="1440" w:right="1800" w:bottom="1440" w:left="1800" w:header="851" w:footer="1077"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imes New Roman”“">
    <w:altName w:val="宋体"/>
    <w:panose1 w:val="00000000000000000000"/>
    <w:charset w:val="86"/>
    <w:family w:val="roma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G Times (WN)">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80"/>
    <w:family w:val="auto"/>
    <w:pitch w:val="default"/>
    <w:sig w:usb0="00000000" w:usb1="00000000" w:usb2="00000010" w:usb3="00000000" w:csb0="0002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86"/>
    <w:family w:val="auto"/>
    <w:pitch w:val="default"/>
    <w:sig w:usb0="00000000" w:usb1="00000000" w:usb2="00000016" w:usb3="00000000" w:csb0="0004000F" w:csb1="00000000"/>
  </w:font>
  <w:font w:name="Arial Unicode MS">
    <w:altName w:val="Arial"/>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EB839">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48B9A">
    <w:pPr>
      <w:pStyle w:val="20"/>
      <w:framePr w:wrap="around" w:vAnchor="text" w:hAnchor="margin" w:xAlign="outside" w:y="1"/>
      <w:rPr>
        <w:rStyle w:val="36"/>
      </w:rPr>
    </w:pPr>
    <w:r>
      <w:fldChar w:fldCharType="begin"/>
    </w:r>
    <w:r>
      <w:rPr>
        <w:rStyle w:val="36"/>
      </w:rPr>
      <w:instrText xml:space="preserve">PAGE  </w:instrText>
    </w:r>
    <w:r>
      <w:fldChar w:fldCharType="end"/>
    </w:r>
  </w:p>
  <w:p w14:paraId="28898BBD">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0C23C">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A792CC">
                          <w:r>
                            <w:fldChar w:fldCharType="begin"/>
                          </w:r>
                          <w:r>
                            <w:instrText xml:space="preserve"> PAGE   \* MERGEFORMAT </w:instrText>
                          </w:r>
                          <w:r>
                            <w:fldChar w:fldCharType="separate"/>
                          </w:r>
                          <w:r>
                            <w:rPr>
                              <w:lang w:val="zh-CN"/>
                            </w:rPr>
                            <w:t>-</w:t>
                          </w:r>
                          <w:r>
                            <w:t xml:space="preserve"> 64 -</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MsZMkBAACa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dPWGEsctTvzy/dvlx6/Lz69k&#10;m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2EyxkyQEAAJoDAAAOAAAAAAAAAAEAIAAAAB4BAABkcnMvZTJvRG9j&#10;LnhtbFBLBQYAAAAABgAGAFkBAABZBQAAAAA=&#10;">
              <v:fill on="f" focussize="0,0"/>
              <v:stroke on="f"/>
              <v:imagedata o:title=""/>
              <o:lock v:ext="edit" aspectratio="f"/>
              <v:textbox inset="0mm,0mm,0mm,0mm" style="mso-fit-shape-to-text:t;">
                <w:txbxContent>
                  <w:p w14:paraId="6BA792CC">
                    <w:r>
                      <w:fldChar w:fldCharType="begin"/>
                    </w:r>
                    <w:r>
                      <w:instrText xml:space="preserve"> PAGE   \* MERGEFORMAT </w:instrText>
                    </w:r>
                    <w:r>
                      <w:fldChar w:fldCharType="separate"/>
                    </w:r>
                    <w:r>
                      <w:rPr>
                        <w:lang w:val="zh-CN"/>
                      </w:rPr>
                      <w:t>-</w:t>
                    </w:r>
                    <w:r>
                      <w:t xml:space="preserve"> 64 -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wMGYyOGI5ZDkxYTg5ODZkY2IxYjA5ODJmMjVjY2IifQ=="/>
  </w:docVars>
  <w:rsids>
    <w:rsidRoot w:val="00172A27"/>
    <w:rsid w:val="000002ED"/>
    <w:rsid w:val="00000950"/>
    <w:rsid w:val="00000F52"/>
    <w:rsid w:val="00001309"/>
    <w:rsid w:val="000017AC"/>
    <w:rsid w:val="00001CED"/>
    <w:rsid w:val="00001E67"/>
    <w:rsid w:val="00002867"/>
    <w:rsid w:val="00002E4C"/>
    <w:rsid w:val="00003A4B"/>
    <w:rsid w:val="00003C54"/>
    <w:rsid w:val="00003CC5"/>
    <w:rsid w:val="00003CD8"/>
    <w:rsid w:val="00004C51"/>
    <w:rsid w:val="000052A1"/>
    <w:rsid w:val="0000563A"/>
    <w:rsid w:val="00005860"/>
    <w:rsid w:val="00005F9E"/>
    <w:rsid w:val="00006131"/>
    <w:rsid w:val="0000668E"/>
    <w:rsid w:val="00007285"/>
    <w:rsid w:val="00007A11"/>
    <w:rsid w:val="00010E81"/>
    <w:rsid w:val="00011522"/>
    <w:rsid w:val="00011E4E"/>
    <w:rsid w:val="000128ED"/>
    <w:rsid w:val="00012DAC"/>
    <w:rsid w:val="00013471"/>
    <w:rsid w:val="00013814"/>
    <w:rsid w:val="00014192"/>
    <w:rsid w:val="00014194"/>
    <w:rsid w:val="000143E2"/>
    <w:rsid w:val="0001447D"/>
    <w:rsid w:val="00014965"/>
    <w:rsid w:val="00014BFD"/>
    <w:rsid w:val="0001514B"/>
    <w:rsid w:val="0001523A"/>
    <w:rsid w:val="000154F7"/>
    <w:rsid w:val="00015684"/>
    <w:rsid w:val="000157FF"/>
    <w:rsid w:val="00016712"/>
    <w:rsid w:val="00016ECB"/>
    <w:rsid w:val="00017733"/>
    <w:rsid w:val="00017CB3"/>
    <w:rsid w:val="00017D10"/>
    <w:rsid w:val="00017EF4"/>
    <w:rsid w:val="00020677"/>
    <w:rsid w:val="000207DD"/>
    <w:rsid w:val="00020E4A"/>
    <w:rsid w:val="00020F27"/>
    <w:rsid w:val="000217D7"/>
    <w:rsid w:val="000219B7"/>
    <w:rsid w:val="0002200C"/>
    <w:rsid w:val="0002516F"/>
    <w:rsid w:val="00025383"/>
    <w:rsid w:val="000259A7"/>
    <w:rsid w:val="000269C5"/>
    <w:rsid w:val="000269F6"/>
    <w:rsid w:val="00026CDA"/>
    <w:rsid w:val="00026D84"/>
    <w:rsid w:val="00027720"/>
    <w:rsid w:val="000277F8"/>
    <w:rsid w:val="00027CF5"/>
    <w:rsid w:val="00030001"/>
    <w:rsid w:val="0003061F"/>
    <w:rsid w:val="00030872"/>
    <w:rsid w:val="00030C9B"/>
    <w:rsid w:val="00031099"/>
    <w:rsid w:val="00031267"/>
    <w:rsid w:val="00031939"/>
    <w:rsid w:val="00031FE9"/>
    <w:rsid w:val="0003201D"/>
    <w:rsid w:val="000323E9"/>
    <w:rsid w:val="000327AB"/>
    <w:rsid w:val="00032C4E"/>
    <w:rsid w:val="00032D25"/>
    <w:rsid w:val="00033EE0"/>
    <w:rsid w:val="0003456F"/>
    <w:rsid w:val="00034C64"/>
    <w:rsid w:val="00034EC5"/>
    <w:rsid w:val="00035147"/>
    <w:rsid w:val="0003561C"/>
    <w:rsid w:val="00035E7E"/>
    <w:rsid w:val="0003635F"/>
    <w:rsid w:val="00036930"/>
    <w:rsid w:val="00037C87"/>
    <w:rsid w:val="000403E7"/>
    <w:rsid w:val="0004090E"/>
    <w:rsid w:val="00040972"/>
    <w:rsid w:val="00040BD9"/>
    <w:rsid w:val="00040C1E"/>
    <w:rsid w:val="00040DC6"/>
    <w:rsid w:val="00040E97"/>
    <w:rsid w:val="00041096"/>
    <w:rsid w:val="0004150F"/>
    <w:rsid w:val="00041593"/>
    <w:rsid w:val="00041A5A"/>
    <w:rsid w:val="00042376"/>
    <w:rsid w:val="00042A1A"/>
    <w:rsid w:val="00043438"/>
    <w:rsid w:val="000437F2"/>
    <w:rsid w:val="0004418F"/>
    <w:rsid w:val="000445D8"/>
    <w:rsid w:val="0004489F"/>
    <w:rsid w:val="000456EF"/>
    <w:rsid w:val="000458E4"/>
    <w:rsid w:val="00045ACE"/>
    <w:rsid w:val="00045C24"/>
    <w:rsid w:val="0004656A"/>
    <w:rsid w:val="00046EAB"/>
    <w:rsid w:val="00047565"/>
    <w:rsid w:val="00047606"/>
    <w:rsid w:val="00047DF4"/>
    <w:rsid w:val="00047F33"/>
    <w:rsid w:val="0005042B"/>
    <w:rsid w:val="00050A02"/>
    <w:rsid w:val="00050A79"/>
    <w:rsid w:val="00050C32"/>
    <w:rsid w:val="00051416"/>
    <w:rsid w:val="000515C8"/>
    <w:rsid w:val="0005219D"/>
    <w:rsid w:val="000521ED"/>
    <w:rsid w:val="00052A2E"/>
    <w:rsid w:val="00052B13"/>
    <w:rsid w:val="00052C5A"/>
    <w:rsid w:val="00052E27"/>
    <w:rsid w:val="00052F7F"/>
    <w:rsid w:val="0005314C"/>
    <w:rsid w:val="000537F2"/>
    <w:rsid w:val="00054716"/>
    <w:rsid w:val="00054E44"/>
    <w:rsid w:val="00054EF1"/>
    <w:rsid w:val="00054EFA"/>
    <w:rsid w:val="0005554B"/>
    <w:rsid w:val="0005563F"/>
    <w:rsid w:val="0005568F"/>
    <w:rsid w:val="00055777"/>
    <w:rsid w:val="000559FD"/>
    <w:rsid w:val="00056159"/>
    <w:rsid w:val="0005663B"/>
    <w:rsid w:val="00056BAE"/>
    <w:rsid w:val="000570B6"/>
    <w:rsid w:val="0005745D"/>
    <w:rsid w:val="00057535"/>
    <w:rsid w:val="00057C1E"/>
    <w:rsid w:val="00060E35"/>
    <w:rsid w:val="00060E47"/>
    <w:rsid w:val="0006153D"/>
    <w:rsid w:val="000616B6"/>
    <w:rsid w:val="000616CC"/>
    <w:rsid w:val="00061B1F"/>
    <w:rsid w:val="00061D52"/>
    <w:rsid w:val="00063095"/>
    <w:rsid w:val="00063E7E"/>
    <w:rsid w:val="0006435C"/>
    <w:rsid w:val="000644FD"/>
    <w:rsid w:val="00064642"/>
    <w:rsid w:val="000649B2"/>
    <w:rsid w:val="00064D24"/>
    <w:rsid w:val="00065B6F"/>
    <w:rsid w:val="0006611A"/>
    <w:rsid w:val="00066203"/>
    <w:rsid w:val="000664DB"/>
    <w:rsid w:val="00066E8B"/>
    <w:rsid w:val="00066EBC"/>
    <w:rsid w:val="00067735"/>
    <w:rsid w:val="000678B9"/>
    <w:rsid w:val="0007081B"/>
    <w:rsid w:val="0007095C"/>
    <w:rsid w:val="000710E4"/>
    <w:rsid w:val="0007127D"/>
    <w:rsid w:val="0007130D"/>
    <w:rsid w:val="00071AE5"/>
    <w:rsid w:val="0007203C"/>
    <w:rsid w:val="00072EA8"/>
    <w:rsid w:val="00072F6E"/>
    <w:rsid w:val="00072FBE"/>
    <w:rsid w:val="00073A86"/>
    <w:rsid w:val="00073B3A"/>
    <w:rsid w:val="00073E9C"/>
    <w:rsid w:val="00074783"/>
    <w:rsid w:val="00074DC1"/>
    <w:rsid w:val="00074E0E"/>
    <w:rsid w:val="00075054"/>
    <w:rsid w:val="000757C8"/>
    <w:rsid w:val="00076A20"/>
    <w:rsid w:val="000774B1"/>
    <w:rsid w:val="000801E0"/>
    <w:rsid w:val="00080807"/>
    <w:rsid w:val="000810D3"/>
    <w:rsid w:val="000815F5"/>
    <w:rsid w:val="00081E94"/>
    <w:rsid w:val="00081FA2"/>
    <w:rsid w:val="00082910"/>
    <w:rsid w:val="00082A29"/>
    <w:rsid w:val="00082DCD"/>
    <w:rsid w:val="00082EE1"/>
    <w:rsid w:val="0008331D"/>
    <w:rsid w:val="00083438"/>
    <w:rsid w:val="000838B9"/>
    <w:rsid w:val="00083904"/>
    <w:rsid w:val="00083C18"/>
    <w:rsid w:val="00084882"/>
    <w:rsid w:val="00085241"/>
    <w:rsid w:val="000854F9"/>
    <w:rsid w:val="0008572B"/>
    <w:rsid w:val="0008597D"/>
    <w:rsid w:val="00085FB5"/>
    <w:rsid w:val="000860AC"/>
    <w:rsid w:val="00086302"/>
    <w:rsid w:val="00087A5C"/>
    <w:rsid w:val="00087C96"/>
    <w:rsid w:val="00087FA5"/>
    <w:rsid w:val="00090896"/>
    <w:rsid w:val="0009163E"/>
    <w:rsid w:val="0009264F"/>
    <w:rsid w:val="00092688"/>
    <w:rsid w:val="0009268E"/>
    <w:rsid w:val="0009280E"/>
    <w:rsid w:val="00092899"/>
    <w:rsid w:val="0009417B"/>
    <w:rsid w:val="000947FC"/>
    <w:rsid w:val="00095E09"/>
    <w:rsid w:val="00095F31"/>
    <w:rsid w:val="0009618F"/>
    <w:rsid w:val="0009631D"/>
    <w:rsid w:val="0009665D"/>
    <w:rsid w:val="000967CA"/>
    <w:rsid w:val="000968D4"/>
    <w:rsid w:val="000979FF"/>
    <w:rsid w:val="00097B0D"/>
    <w:rsid w:val="00097C16"/>
    <w:rsid w:val="000A0AA6"/>
    <w:rsid w:val="000A132D"/>
    <w:rsid w:val="000A178E"/>
    <w:rsid w:val="000A1793"/>
    <w:rsid w:val="000A1FDB"/>
    <w:rsid w:val="000A353B"/>
    <w:rsid w:val="000A36DE"/>
    <w:rsid w:val="000A3AA2"/>
    <w:rsid w:val="000A4490"/>
    <w:rsid w:val="000A457B"/>
    <w:rsid w:val="000A4902"/>
    <w:rsid w:val="000A4C02"/>
    <w:rsid w:val="000A4DFA"/>
    <w:rsid w:val="000A5354"/>
    <w:rsid w:val="000A557E"/>
    <w:rsid w:val="000A5774"/>
    <w:rsid w:val="000A654D"/>
    <w:rsid w:val="000A6AF6"/>
    <w:rsid w:val="000A6B3A"/>
    <w:rsid w:val="000A748B"/>
    <w:rsid w:val="000A79E8"/>
    <w:rsid w:val="000A7B10"/>
    <w:rsid w:val="000A7CF7"/>
    <w:rsid w:val="000B03C8"/>
    <w:rsid w:val="000B058F"/>
    <w:rsid w:val="000B08DC"/>
    <w:rsid w:val="000B0973"/>
    <w:rsid w:val="000B0BBF"/>
    <w:rsid w:val="000B0C24"/>
    <w:rsid w:val="000B13C5"/>
    <w:rsid w:val="000B17F6"/>
    <w:rsid w:val="000B1C58"/>
    <w:rsid w:val="000B1FB5"/>
    <w:rsid w:val="000B2685"/>
    <w:rsid w:val="000B2697"/>
    <w:rsid w:val="000B31C4"/>
    <w:rsid w:val="000B3916"/>
    <w:rsid w:val="000B39C0"/>
    <w:rsid w:val="000B3A95"/>
    <w:rsid w:val="000B3D6F"/>
    <w:rsid w:val="000B3EFA"/>
    <w:rsid w:val="000B4B51"/>
    <w:rsid w:val="000B55FA"/>
    <w:rsid w:val="000B693F"/>
    <w:rsid w:val="000B721E"/>
    <w:rsid w:val="000C06A4"/>
    <w:rsid w:val="000C09AC"/>
    <w:rsid w:val="000C0A63"/>
    <w:rsid w:val="000C19CD"/>
    <w:rsid w:val="000C1BF3"/>
    <w:rsid w:val="000C343E"/>
    <w:rsid w:val="000C345D"/>
    <w:rsid w:val="000C3602"/>
    <w:rsid w:val="000C437E"/>
    <w:rsid w:val="000C43F2"/>
    <w:rsid w:val="000C4BD7"/>
    <w:rsid w:val="000C69ED"/>
    <w:rsid w:val="000C77A8"/>
    <w:rsid w:val="000C781E"/>
    <w:rsid w:val="000C785D"/>
    <w:rsid w:val="000C78B1"/>
    <w:rsid w:val="000C7A57"/>
    <w:rsid w:val="000D0425"/>
    <w:rsid w:val="000D04D6"/>
    <w:rsid w:val="000D096B"/>
    <w:rsid w:val="000D1BFF"/>
    <w:rsid w:val="000D1F15"/>
    <w:rsid w:val="000D22FE"/>
    <w:rsid w:val="000D319E"/>
    <w:rsid w:val="000D343E"/>
    <w:rsid w:val="000D43B4"/>
    <w:rsid w:val="000D45B5"/>
    <w:rsid w:val="000D4673"/>
    <w:rsid w:val="000D47DC"/>
    <w:rsid w:val="000D4925"/>
    <w:rsid w:val="000D57A5"/>
    <w:rsid w:val="000D644E"/>
    <w:rsid w:val="000D676E"/>
    <w:rsid w:val="000D6B68"/>
    <w:rsid w:val="000D7232"/>
    <w:rsid w:val="000D7556"/>
    <w:rsid w:val="000D7899"/>
    <w:rsid w:val="000E020B"/>
    <w:rsid w:val="000E06F3"/>
    <w:rsid w:val="000E074C"/>
    <w:rsid w:val="000E12CC"/>
    <w:rsid w:val="000E1425"/>
    <w:rsid w:val="000E1851"/>
    <w:rsid w:val="000E2AB5"/>
    <w:rsid w:val="000E2BDF"/>
    <w:rsid w:val="000E3713"/>
    <w:rsid w:val="000E39FD"/>
    <w:rsid w:val="000E4424"/>
    <w:rsid w:val="000E5677"/>
    <w:rsid w:val="000E5A8A"/>
    <w:rsid w:val="000E5F16"/>
    <w:rsid w:val="000E654B"/>
    <w:rsid w:val="000E75AA"/>
    <w:rsid w:val="000E75C1"/>
    <w:rsid w:val="000E7C94"/>
    <w:rsid w:val="000F0102"/>
    <w:rsid w:val="000F0403"/>
    <w:rsid w:val="000F0723"/>
    <w:rsid w:val="000F075C"/>
    <w:rsid w:val="000F08D4"/>
    <w:rsid w:val="000F0981"/>
    <w:rsid w:val="000F1480"/>
    <w:rsid w:val="000F1570"/>
    <w:rsid w:val="000F1BD4"/>
    <w:rsid w:val="000F268B"/>
    <w:rsid w:val="000F275D"/>
    <w:rsid w:val="000F2E6F"/>
    <w:rsid w:val="000F2FF0"/>
    <w:rsid w:val="000F4086"/>
    <w:rsid w:val="000F4452"/>
    <w:rsid w:val="000F4545"/>
    <w:rsid w:val="000F4C5C"/>
    <w:rsid w:val="000F55C3"/>
    <w:rsid w:val="000F56F7"/>
    <w:rsid w:val="000F6229"/>
    <w:rsid w:val="000F63ED"/>
    <w:rsid w:val="000F6DA1"/>
    <w:rsid w:val="000F701B"/>
    <w:rsid w:val="000F7118"/>
    <w:rsid w:val="001002DC"/>
    <w:rsid w:val="001008C5"/>
    <w:rsid w:val="00100BB1"/>
    <w:rsid w:val="00100D87"/>
    <w:rsid w:val="00100EF1"/>
    <w:rsid w:val="00101910"/>
    <w:rsid w:val="00101B46"/>
    <w:rsid w:val="00101B8A"/>
    <w:rsid w:val="00101ECD"/>
    <w:rsid w:val="00102D67"/>
    <w:rsid w:val="00102FC8"/>
    <w:rsid w:val="0010333F"/>
    <w:rsid w:val="00103BFF"/>
    <w:rsid w:val="001051E3"/>
    <w:rsid w:val="0010535E"/>
    <w:rsid w:val="001056A0"/>
    <w:rsid w:val="001056C0"/>
    <w:rsid w:val="00105F03"/>
    <w:rsid w:val="0010679D"/>
    <w:rsid w:val="00106FAA"/>
    <w:rsid w:val="0010729A"/>
    <w:rsid w:val="00107BDF"/>
    <w:rsid w:val="00107D5C"/>
    <w:rsid w:val="00107EC0"/>
    <w:rsid w:val="00107EE7"/>
    <w:rsid w:val="0011074D"/>
    <w:rsid w:val="001107D6"/>
    <w:rsid w:val="001109B9"/>
    <w:rsid w:val="00110A9F"/>
    <w:rsid w:val="0011152C"/>
    <w:rsid w:val="001115B9"/>
    <w:rsid w:val="00111A0B"/>
    <w:rsid w:val="00111A38"/>
    <w:rsid w:val="00111B25"/>
    <w:rsid w:val="00111CE8"/>
    <w:rsid w:val="00112DCB"/>
    <w:rsid w:val="00112DD3"/>
    <w:rsid w:val="001130CD"/>
    <w:rsid w:val="0011329C"/>
    <w:rsid w:val="00113485"/>
    <w:rsid w:val="001135AC"/>
    <w:rsid w:val="0011365C"/>
    <w:rsid w:val="00113BB8"/>
    <w:rsid w:val="00113C87"/>
    <w:rsid w:val="00114205"/>
    <w:rsid w:val="0011421F"/>
    <w:rsid w:val="00114499"/>
    <w:rsid w:val="001144D3"/>
    <w:rsid w:val="0011458A"/>
    <w:rsid w:val="001145F0"/>
    <w:rsid w:val="00115279"/>
    <w:rsid w:val="0011546D"/>
    <w:rsid w:val="001155F7"/>
    <w:rsid w:val="00115F9E"/>
    <w:rsid w:val="00116191"/>
    <w:rsid w:val="001163A2"/>
    <w:rsid w:val="001164A4"/>
    <w:rsid w:val="0011692A"/>
    <w:rsid w:val="00116DD2"/>
    <w:rsid w:val="00116F30"/>
    <w:rsid w:val="0011721D"/>
    <w:rsid w:val="00117459"/>
    <w:rsid w:val="0011749A"/>
    <w:rsid w:val="00117B55"/>
    <w:rsid w:val="00120548"/>
    <w:rsid w:val="001209E6"/>
    <w:rsid w:val="00120C78"/>
    <w:rsid w:val="00122731"/>
    <w:rsid w:val="001228DC"/>
    <w:rsid w:val="00122CBD"/>
    <w:rsid w:val="00123582"/>
    <w:rsid w:val="001250EC"/>
    <w:rsid w:val="00125260"/>
    <w:rsid w:val="00125899"/>
    <w:rsid w:val="0012600A"/>
    <w:rsid w:val="00126BD1"/>
    <w:rsid w:val="00126F7D"/>
    <w:rsid w:val="001270A3"/>
    <w:rsid w:val="00127A68"/>
    <w:rsid w:val="00127ECE"/>
    <w:rsid w:val="00130176"/>
    <w:rsid w:val="001301DF"/>
    <w:rsid w:val="001306A3"/>
    <w:rsid w:val="00130D40"/>
    <w:rsid w:val="00130EF2"/>
    <w:rsid w:val="001310F8"/>
    <w:rsid w:val="001318E9"/>
    <w:rsid w:val="00132678"/>
    <w:rsid w:val="00133619"/>
    <w:rsid w:val="00133833"/>
    <w:rsid w:val="001339E0"/>
    <w:rsid w:val="00134108"/>
    <w:rsid w:val="0013436A"/>
    <w:rsid w:val="001347AA"/>
    <w:rsid w:val="001347F8"/>
    <w:rsid w:val="00134A8C"/>
    <w:rsid w:val="00134B3A"/>
    <w:rsid w:val="00134C17"/>
    <w:rsid w:val="0013546D"/>
    <w:rsid w:val="0013556F"/>
    <w:rsid w:val="00135FE3"/>
    <w:rsid w:val="00136958"/>
    <w:rsid w:val="00137BB9"/>
    <w:rsid w:val="00137E39"/>
    <w:rsid w:val="0014004B"/>
    <w:rsid w:val="00140947"/>
    <w:rsid w:val="00140B13"/>
    <w:rsid w:val="00140BFE"/>
    <w:rsid w:val="00140F14"/>
    <w:rsid w:val="0014103B"/>
    <w:rsid w:val="001416D2"/>
    <w:rsid w:val="00141969"/>
    <w:rsid w:val="00141B68"/>
    <w:rsid w:val="0014333F"/>
    <w:rsid w:val="00143D52"/>
    <w:rsid w:val="001442D5"/>
    <w:rsid w:val="00144CC6"/>
    <w:rsid w:val="00144D71"/>
    <w:rsid w:val="00145851"/>
    <w:rsid w:val="001459A4"/>
    <w:rsid w:val="001466DA"/>
    <w:rsid w:val="00146A56"/>
    <w:rsid w:val="00146B32"/>
    <w:rsid w:val="00146EAB"/>
    <w:rsid w:val="00147487"/>
    <w:rsid w:val="001477AB"/>
    <w:rsid w:val="00147A5E"/>
    <w:rsid w:val="00147B27"/>
    <w:rsid w:val="001502A7"/>
    <w:rsid w:val="001506A9"/>
    <w:rsid w:val="00150A38"/>
    <w:rsid w:val="00151059"/>
    <w:rsid w:val="001512DC"/>
    <w:rsid w:val="001526FA"/>
    <w:rsid w:val="001527EA"/>
    <w:rsid w:val="00152F2C"/>
    <w:rsid w:val="00153298"/>
    <w:rsid w:val="001537C8"/>
    <w:rsid w:val="00153F08"/>
    <w:rsid w:val="0015492B"/>
    <w:rsid w:val="00154DE1"/>
    <w:rsid w:val="00155B40"/>
    <w:rsid w:val="00156056"/>
    <w:rsid w:val="00156E77"/>
    <w:rsid w:val="00157033"/>
    <w:rsid w:val="001570D1"/>
    <w:rsid w:val="0015729E"/>
    <w:rsid w:val="00157435"/>
    <w:rsid w:val="001578CF"/>
    <w:rsid w:val="00157C4B"/>
    <w:rsid w:val="001613AB"/>
    <w:rsid w:val="00162222"/>
    <w:rsid w:val="00162FE4"/>
    <w:rsid w:val="001631CB"/>
    <w:rsid w:val="0016335C"/>
    <w:rsid w:val="0016354D"/>
    <w:rsid w:val="001636CC"/>
    <w:rsid w:val="00163914"/>
    <w:rsid w:val="00163C5F"/>
    <w:rsid w:val="00163EEA"/>
    <w:rsid w:val="00164178"/>
    <w:rsid w:val="00164204"/>
    <w:rsid w:val="00164246"/>
    <w:rsid w:val="0016474C"/>
    <w:rsid w:val="0016517D"/>
    <w:rsid w:val="00165D0D"/>
    <w:rsid w:val="001669E8"/>
    <w:rsid w:val="00166BD6"/>
    <w:rsid w:val="00166DD7"/>
    <w:rsid w:val="00167842"/>
    <w:rsid w:val="00167A07"/>
    <w:rsid w:val="00167B40"/>
    <w:rsid w:val="00167BEC"/>
    <w:rsid w:val="00167DD6"/>
    <w:rsid w:val="001700DC"/>
    <w:rsid w:val="0017046A"/>
    <w:rsid w:val="001704A3"/>
    <w:rsid w:val="00170858"/>
    <w:rsid w:val="0017138E"/>
    <w:rsid w:val="00171552"/>
    <w:rsid w:val="0017197E"/>
    <w:rsid w:val="00171E80"/>
    <w:rsid w:val="0017294A"/>
    <w:rsid w:val="001729EE"/>
    <w:rsid w:val="00172A27"/>
    <w:rsid w:val="00172B03"/>
    <w:rsid w:val="00172DD3"/>
    <w:rsid w:val="001731EA"/>
    <w:rsid w:val="00173383"/>
    <w:rsid w:val="00173663"/>
    <w:rsid w:val="001737A9"/>
    <w:rsid w:val="00173C39"/>
    <w:rsid w:val="00173D0B"/>
    <w:rsid w:val="00173F6B"/>
    <w:rsid w:val="00174370"/>
    <w:rsid w:val="00174412"/>
    <w:rsid w:val="00174448"/>
    <w:rsid w:val="0017485C"/>
    <w:rsid w:val="00174987"/>
    <w:rsid w:val="00174CB5"/>
    <w:rsid w:val="00174F74"/>
    <w:rsid w:val="0017504D"/>
    <w:rsid w:val="0017563A"/>
    <w:rsid w:val="00175FD6"/>
    <w:rsid w:val="001762F5"/>
    <w:rsid w:val="001765CB"/>
    <w:rsid w:val="001769A2"/>
    <w:rsid w:val="00177422"/>
    <w:rsid w:val="00177550"/>
    <w:rsid w:val="00177589"/>
    <w:rsid w:val="001776F1"/>
    <w:rsid w:val="00177FFE"/>
    <w:rsid w:val="001809B2"/>
    <w:rsid w:val="00181BE4"/>
    <w:rsid w:val="00181D65"/>
    <w:rsid w:val="00181FFA"/>
    <w:rsid w:val="0018215C"/>
    <w:rsid w:val="001822D7"/>
    <w:rsid w:val="001823A0"/>
    <w:rsid w:val="0018290B"/>
    <w:rsid w:val="00182A42"/>
    <w:rsid w:val="00182E00"/>
    <w:rsid w:val="00183561"/>
    <w:rsid w:val="00183646"/>
    <w:rsid w:val="00183A11"/>
    <w:rsid w:val="001843DD"/>
    <w:rsid w:val="001845F2"/>
    <w:rsid w:val="0018472B"/>
    <w:rsid w:val="00184F10"/>
    <w:rsid w:val="00184FF3"/>
    <w:rsid w:val="001854C0"/>
    <w:rsid w:val="00185546"/>
    <w:rsid w:val="00185664"/>
    <w:rsid w:val="001865E5"/>
    <w:rsid w:val="00186744"/>
    <w:rsid w:val="001867A6"/>
    <w:rsid w:val="001870A9"/>
    <w:rsid w:val="001879A9"/>
    <w:rsid w:val="0019008B"/>
    <w:rsid w:val="001907F5"/>
    <w:rsid w:val="00190DDF"/>
    <w:rsid w:val="0019146B"/>
    <w:rsid w:val="001914AC"/>
    <w:rsid w:val="00191FDD"/>
    <w:rsid w:val="0019209A"/>
    <w:rsid w:val="0019255D"/>
    <w:rsid w:val="0019385F"/>
    <w:rsid w:val="00193D9C"/>
    <w:rsid w:val="00194163"/>
    <w:rsid w:val="00194398"/>
    <w:rsid w:val="00194C00"/>
    <w:rsid w:val="00194F46"/>
    <w:rsid w:val="00195348"/>
    <w:rsid w:val="0019571F"/>
    <w:rsid w:val="0019685F"/>
    <w:rsid w:val="00197D50"/>
    <w:rsid w:val="001A045A"/>
    <w:rsid w:val="001A0B02"/>
    <w:rsid w:val="001A0DF2"/>
    <w:rsid w:val="001A1192"/>
    <w:rsid w:val="001A18CE"/>
    <w:rsid w:val="001A197E"/>
    <w:rsid w:val="001A201A"/>
    <w:rsid w:val="001A222D"/>
    <w:rsid w:val="001A2C7C"/>
    <w:rsid w:val="001A3FBF"/>
    <w:rsid w:val="001A4157"/>
    <w:rsid w:val="001A490C"/>
    <w:rsid w:val="001A4EC9"/>
    <w:rsid w:val="001A5198"/>
    <w:rsid w:val="001A617D"/>
    <w:rsid w:val="001A6A62"/>
    <w:rsid w:val="001A78DA"/>
    <w:rsid w:val="001A7D2A"/>
    <w:rsid w:val="001A7F19"/>
    <w:rsid w:val="001B060A"/>
    <w:rsid w:val="001B14D1"/>
    <w:rsid w:val="001B1B53"/>
    <w:rsid w:val="001B1FEC"/>
    <w:rsid w:val="001B2F99"/>
    <w:rsid w:val="001B323F"/>
    <w:rsid w:val="001B3635"/>
    <w:rsid w:val="001B3688"/>
    <w:rsid w:val="001B3B9B"/>
    <w:rsid w:val="001B3CB5"/>
    <w:rsid w:val="001B4BBB"/>
    <w:rsid w:val="001B4ED5"/>
    <w:rsid w:val="001B574C"/>
    <w:rsid w:val="001B5981"/>
    <w:rsid w:val="001B5DC7"/>
    <w:rsid w:val="001B64AE"/>
    <w:rsid w:val="001B6BF2"/>
    <w:rsid w:val="001B6E6E"/>
    <w:rsid w:val="001B6F55"/>
    <w:rsid w:val="001B7077"/>
    <w:rsid w:val="001B7C15"/>
    <w:rsid w:val="001B7C65"/>
    <w:rsid w:val="001C00B7"/>
    <w:rsid w:val="001C05B3"/>
    <w:rsid w:val="001C0AF9"/>
    <w:rsid w:val="001C1258"/>
    <w:rsid w:val="001C155A"/>
    <w:rsid w:val="001C189B"/>
    <w:rsid w:val="001C1944"/>
    <w:rsid w:val="001C1F68"/>
    <w:rsid w:val="001C2235"/>
    <w:rsid w:val="001C273A"/>
    <w:rsid w:val="001C2852"/>
    <w:rsid w:val="001C2F0B"/>
    <w:rsid w:val="001C3833"/>
    <w:rsid w:val="001C3879"/>
    <w:rsid w:val="001C4719"/>
    <w:rsid w:val="001C48C0"/>
    <w:rsid w:val="001C53BE"/>
    <w:rsid w:val="001C5525"/>
    <w:rsid w:val="001C58A8"/>
    <w:rsid w:val="001C6449"/>
    <w:rsid w:val="001C6D30"/>
    <w:rsid w:val="001C7042"/>
    <w:rsid w:val="001C705F"/>
    <w:rsid w:val="001C789E"/>
    <w:rsid w:val="001C7EEE"/>
    <w:rsid w:val="001D0138"/>
    <w:rsid w:val="001D04DA"/>
    <w:rsid w:val="001D0785"/>
    <w:rsid w:val="001D0DFA"/>
    <w:rsid w:val="001D13E9"/>
    <w:rsid w:val="001D1533"/>
    <w:rsid w:val="001D2923"/>
    <w:rsid w:val="001D2A44"/>
    <w:rsid w:val="001D2C9D"/>
    <w:rsid w:val="001D2EB4"/>
    <w:rsid w:val="001D2F2A"/>
    <w:rsid w:val="001D3437"/>
    <w:rsid w:val="001D3865"/>
    <w:rsid w:val="001D3FC6"/>
    <w:rsid w:val="001D4D03"/>
    <w:rsid w:val="001D585B"/>
    <w:rsid w:val="001D5F83"/>
    <w:rsid w:val="001D6726"/>
    <w:rsid w:val="001D7176"/>
    <w:rsid w:val="001D77F3"/>
    <w:rsid w:val="001D7E3C"/>
    <w:rsid w:val="001D7E96"/>
    <w:rsid w:val="001E017F"/>
    <w:rsid w:val="001E03E3"/>
    <w:rsid w:val="001E1618"/>
    <w:rsid w:val="001E18BA"/>
    <w:rsid w:val="001E1BCA"/>
    <w:rsid w:val="001E2592"/>
    <w:rsid w:val="001E2F22"/>
    <w:rsid w:val="001E36B2"/>
    <w:rsid w:val="001E3D58"/>
    <w:rsid w:val="001E4445"/>
    <w:rsid w:val="001E4826"/>
    <w:rsid w:val="001E48DE"/>
    <w:rsid w:val="001E4C09"/>
    <w:rsid w:val="001E52E0"/>
    <w:rsid w:val="001E53BB"/>
    <w:rsid w:val="001E555D"/>
    <w:rsid w:val="001E5CD1"/>
    <w:rsid w:val="001E61DC"/>
    <w:rsid w:val="001E698E"/>
    <w:rsid w:val="001E6DB8"/>
    <w:rsid w:val="001F1852"/>
    <w:rsid w:val="001F2B78"/>
    <w:rsid w:val="001F3347"/>
    <w:rsid w:val="001F403A"/>
    <w:rsid w:val="001F41D7"/>
    <w:rsid w:val="001F4440"/>
    <w:rsid w:val="001F53B5"/>
    <w:rsid w:val="001F55A6"/>
    <w:rsid w:val="001F61BC"/>
    <w:rsid w:val="001F625D"/>
    <w:rsid w:val="001F69E4"/>
    <w:rsid w:val="001F7069"/>
    <w:rsid w:val="001F7460"/>
    <w:rsid w:val="001F7B1E"/>
    <w:rsid w:val="00201475"/>
    <w:rsid w:val="00201897"/>
    <w:rsid w:val="002019CD"/>
    <w:rsid w:val="00202165"/>
    <w:rsid w:val="00202304"/>
    <w:rsid w:val="002028AF"/>
    <w:rsid w:val="00202AF3"/>
    <w:rsid w:val="002035E4"/>
    <w:rsid w:val="002041E0"/>
    <w:rsid w:val="00204594"/>
    <w:rsid w:val="0020495A"/>
    <w:rsid w:val="00204A91"/>
    <w:rsid w:val="00205099"/>
    <w:rsid w:val="00205519"/>
    <w:rsid w:val="00206632"/>
    <w:rsid w:val="0020687F"/>
    <w:rsid w:val="0020690F"/>
    <w:rsid w:val="00206A65"/>
    <w:rsid w:val="00206DFB"/>
    <w:rsid w:val="002071EF"/>
    <w:rsid w:val="0020770F"/>
    <w:rsid w:val="00207C89"/>
    <w:rsid w:val="00210013"/>
    <w:rsid w:val="00210948"/>
    <w:rsid w:val="00210B25"/>
    <w:rsid w:val="00210CA5"/>
    <w:rsid w:val="00211567"/>
    <w:rsid w:val="0021193C"/>
    <w:rsid w:val="002124EA"/>
    <w:rsid w:val="002128D0"/>
    <w:rsid w:val="0021290A"/>
    <w:rsid w:val="00212AE1"/>
    <w:rsid w:val="00212D31"/>
    <w:rsid w:val="002130C7"/>
    <w:rsid w:val="002133C9"/>
    <w:rsid w:val="002137EA"/>
    <w:rsid w:val="002144EF"/>
    <w:rsid w:val="002147F5"/>
    <w:rsid w:val="00215E72"/>
    <w:rsid w:val="00216456"/>
    <w:rsid w:val="002175E7"/>
    <w:rsid w:val="002218A8"/>
    <w:rsid w:val="00221B97"/>
    <w:rsid w:val="00221F40"/>
    <w:rsid w:val="00222544"/>
    <w:rsid w:val="002227A4"/>
    <w:rsid w:val="00222B6C"/>
    <w:rsid w:val="00222FB7"/>
    <w:rsid w:val="0022306D"/>
    <w:rsid w:val="002234ED"/>
    <w:rsid w:val="00223535"/>
    <w:rsid w:val="00223866"/>
    <w:rsid w:val="00223A0F"/>
    <w:rsid w:val="00223A43"/>
    <w:rsid w:val="00223F74"/>
    <w:rsid w:val="0022467A"/>
    <w:rsid w:val="00224D18"/>
    <w:rsid w:val="00224EC6"/>
    <w:rsid w:val="002259F0"/>
    <w:rsid w:val="00226066"/>
    <w:rsid w:val="00226556"/>
    <w:rsid w:val="00226574"/>
    <w:rsid w:val="00226CC8"/>
    <w:rsid w:val="00226ED4"/>
    <w:rsid w:val="002278EC"/>
    <w:rsid w:val="002302ED"/>
    <w:rsid w:val="00230440"/>
    <w:rsid w:val="002304FE"/>
    <w:rsid w:val="00230676"/>
    <w:rsid w:val="00230730"/>
    <w:rsid w:val="00230F76"/>
    <w:rsid w:val="00231142"/>
    <w:rsid w:val="00231174"/>
    <w:rsid w:val="002313C9"/>
    <w:rsid w:val="00231D52"/>
    <w:rsid w:val="00232589"/>
    <w:rsid w:val="00232A8E"/>
    <w:rsid w:val="002331A0"/>
    <w:rsid w:val="00233843"/>
    <w:rsid w:val="00233852"/>
    <w:rsid w:val="00233B6A"/>
    <w:rsid w:val="00234099"/>
    <w:rsid w:val="0023485F"/>
    <w:rsid w:val="00234B37"/>
    <w:rsid w:val="00234BAA"/>
    <w:rsid w:val="00234D29"/>
    <w:rsid w:val="00234E7D"/>
    <w:rsid w:val="002350CC"/>
    <w:rsid w:val="002357C7"/>
    <w:rsid w:val="00235B17"/>
    <w:rsid w:val="00235BD7"/>
    <w:rsid w:val="00235E15"/>
    <w:rsid w:val="002363B7"/>
    <w:rsid w:val="002367C4"/>
    <w:rsid w:val="00236D2D"/>
    <w:rsid w:val="00236E48"/>
    <w:rsid w:val="002374CD"/>
    <w:rsid w:val="002376F2"/>
    <w:rsid w:val="002402F7"/>
    <w:rsid w:val="002412BE"/>
    <w:rsid w:val="00241500"/>
    <w:rsid w:val="002416A0"/>
    <w:rsid w:val="00241BCF"/>
    <w:rsid w:val="0024301E"/>
    <w:rsid w:val="002439D2"/>
    <w:rsid w:val="002448A4"/>
    <w:rsid w:val="00244AF4"/>
    <w:rsid w:val="002453AE"/>
    <w:rsid w:val="002456DC"/>
    <w:rsid w:val="00245A25"/>
    <w:rsid w:val="00245CCC"/>
    <w:rsid w:val="00245D4F"/>
    <w:rsid w:val="0024642E"/>
    <w:rsid w:val="00246895"/>
    <w:rsid w:val="00246D21"/>
    <w:rsid w:val="002472E9"/>
    <w:rsid w:val="002474E0"/>
    <w:rsid w:val="00247D1D"/>
    <w:rsid w:val="00250728"/>
    <w:rsid w:val="00250734"/>
    <w:rsid w:val="00251389"/>
    <w:rsid w:val="0025145C"/>
    <w:rsid w:val="0025171E"/>
    <w:rsid w:val="00251BD3"/>
    <w:rsid w:val="00251D32"/>
    <w:rsid w:val="00252254"/>
    <w:rsid w:val="002526E6"/>
    <w:rsid w:val="00252B98"/>
    <w:rsid w:val="00252DAB"/>
    <w:rsid w:val="00252E73"/>
    <w:rsid w:val="00252F3D"/>
    <w:rsid w:val="002535D4"/>
    <w:rsid w:val="002536C3"/>
    <w:rsid w:val="00253713"/>
    <w:rsid w:val="00253A62"/>
    <w:rsid w:val="00253E0C"/>
    <w:rsid w:val="00254610"/>
    <w:rsid w:val="002549D2"/>
    <w:rsid w:val="00255056"/>
    <w:rsid w:val="002551DB"/>
    <w:rsid w:val="00255371"/>
    <w:rsid w:val="00255980"/>
    <w:rsid w:val="00255BCB"/>
    <w:rsid w:val="00255CAE"/>
    <w:rsid w:val="0025679E"/>
    <w:rsid w:val="00256A3A"/>
    <w:rsid w:val="00257926"/>
    <w:rsid w:val="0025794D"/>
    <w:rsid w:val="002605EC"/>
    <w:rsid w:val="00260755"/>
    <w:rsid w:val="00260B92"/>
    <w:rsid w:val="00260C68"/>
    <w:rsid w:val="00261153"/>
    <w:rsid w:val="0026194C"/>
    <w:rsid w:val="00261EAE"/>
    <w:rsid w:val="00261EB4"/>
    <w:rsid w:val="002620AB"/>
    <w:rsid w:val="002628EC"/>
    <w:rsid w:val="0026304F"/>
    <w:rsid w:val="00263B9D"/>
    <w:rsid w:val="002645D2"/>
    <w:rsid w:val="002647EB"/>
    <w:rsid w:val="002648B0"/>
    <w:rsid w:val="00264A59"/>
    <w:rsid w:val="00264F99"/>
    <w:rsid w:val="00265197"/>
    <w:rsid w:val="00265216"/>
    <w:rsid w:val="002654AD"/>
    <w:rsid w:val="00265693"/>
    <w:rsid w:val="00265883"/>
    <w:rsid w:val="002663C8"/>
    <w:rsid w:val="00266702"/>
    <w:rsid w:val="00266A15"/>
    <w:rsid w:val="00267554"/>
    <w:rsid w:val="002702DC"/>
    <w:rsid w:val="00270C17"/>
    <w:rsid w:val="00270C57"/>
    <w:rsid w:val="00270D48"/>
    <w:rsid w:val="00271E82"/>
    <w:rsid w:val="002724AE"/>
    <w:rsid w:val="002726C9"/>
    <w:rsid w:val="002727B3"/>
    <w:rsid w:val="00272F2D"/>
    <w:rsid w:val="00272F4B"/>
    <w:rsid w:val="0027370A"/>
    <w:rsid w:val="00273776"/>
    <w:rsid w:val="00273E02"/>
    <w:rsid w:val="00273FD4"/>
    <w:rsid w:val="002740C8"/>
    <w:rsid w:val="00274271"/>
    <w:rsid w:val="00275271"/>
    <w:rsid w:val="00275339"/>
    <w:rsid w:val="0027535E"/>
    <w:rsid w:val="00275AA6"/>
    <w:rsid w:val="00275AC1"/>
    <w:rsid w:val="00276206"/>
    <w:rsid w:val="0027625C"/>
    <w:rsid w:val="00276C6E"/>
    <w:rsid w:val="00276D29"/>
    <w:rsid w:val="0027712F"/>
    <w:rsid w:val="00277157"/>
    <w:rsid w:val="002771D6"/>
    <w:rsid w:val="00277280"/>
    <w:rsid w:val="002807D5"/>
    <w:rsid w:val="00280E38"/>
    <w:rsid w:val="0028106D"/>
    <w:rsid w:val="00281B8A"/>
    <w:rsid w:val="00281EDB"/>
    <w:rsid w:val="00282757"/>
    <w:rsid w:val="00282CCD"/>
    <w:rsid w:val="00283306"/>
    <w:rsid w:val="0028352F"/>
    <w:rsid w:val="00283720"/>
    <w:rsid w:val="002839A6"/>
    <w:rsid w:val="002839DE"/>
    <w:rsid w:val="00283B08"/>
    <w:rsid w:val="00283B61"/>
    <w:rsid w:val="00283E79"/>
    <w:rsid w:val="0028459D"/>
    <w:rsid w:val="002846C8"/>
    <w:rsid w:val="0028498A"/>
    <w:rsid w:val="00284A48"/>
    <w:rsid w:val="00285EB6"/>
    <w:rsid w:val="002862B9"/>
    <w:rsid w:val="0028653A"/>
    <w:rsid w:val="00286C91"/>
    <w:rsid w:val="002870BA"/>
    <w:rsid w:val="00287E63"/>
    <w:rsid w:val="00290675"/>
    <w:rsid w:val="0029084B"/>
    <w:rsid w:val="00290D45"/>
    <w:rsid w:val="00290E38"/>
    <w:rsid w:val="002914CE"/>
    <w:rsid w:val="002917D1"/>
    <w:rsid w:val="002918CB"/>
    <w:rsid w:val="00291D6B"/>
    <w:rsid w:val="00292011"/>
    <w:rsid w:val="00292B03"/>
    <w:rsid w:val="00292C1E"/>
    <w:rsid w:val="00292DCD"/>
    <w:rsid w:val="00293303"/>
    <w:rsid w:val="002934AD"/>
    <w:rsid w:val="00294184"/>
    <w:rsid w:val="00294AA7"/>
    <w:rsid w:val="002953E8"/>
    <w:rsid w:val="00295584"/>
    <w:rsid w:val="00295955"/>
    <w:rsid w:val="00296881"/>
    <w:rsid w:val="00297735"/>
    <w:rsid w:val="00297A46"/>
    <w:rsid w:val="00297DC1"/>
    <w:rsid w:val="002A0AFF"/>
    <w:rsid w:val="002A103C"/>
    <w:rsid w:val="002A10D9"/>
    <w:rsid w:val="002A15C0"/>
    <w:rsid w:val="002A168C"/>
    <w:rsid w:val="002A172C"/>
    <w:rsid w:val="002A18EE"/>
    <w:rsid w:val="002A23D0"/>
    <w:rsid w:val="002A2440"/>
    <w:rsid w:val="002A26C1"/>
    <w:rsid w:val="002A2C48"/>
    <w:rsid w:val="002A3595"/>
    <w:rsid w:val="002A375D"/>
    <w:rsid w:val="002A3840"/>
    <w:rsid w:val="002A3949"/>
    <w:rsid w:val="002A3CBA"/>
    <w:rsid w:val="002A3EED"/>
    <w:rsid w:val="002A4A39"/>
    <w:rsid w:val="002A4F9F"/>
    <w:rsid w:val="002A5457"/>
    <w:rsid w:val="002A5467"/>
    <w:rsid w:val="002A5A17"/>
    <w:rsid w:val="002A5C92"/>
    <w:rsid w:val="002A6425"/>
    <w:rsid w:val="002A77D6"/>
    <w:rsid w:val="002A7888"/>
    <w:rsid w:val="002A799A"/>
    <w:rsid w:val="002B00DE"/>
    <w:rsid w:val="002B04F1"/>
    <w:rsid w:val="002B119D"/>
    <w:rsid w:val="002B1599"/>
    <w:rsid w:val="002B18D6"/>
    <w:rsid w:val="002B1E8B"/>
    <w:rsid w:val="002B1F41"/>
    <w:rsid w:val="002B212E"/>
    <w:rsid w:val="002B26F5"/>
    <w:rsid w:val="002B2ECD"/>
    <w:rsid w:val="002B35FF"/>
    <w:rsid w:val="002B401B"/>
    <w:rsid w:val="002B4834"/>
    <w:rsid w:val="002B483A"/>
    <w:rsid w:val="002B49E2"/>
    <w:rsid w:val="002B577A"/>
    <w:rsid w:val="002B58FC"/>
    <w:rsid w:val="002B59FC"/>
    <w:rsid w:val="002B6654"/>
    <w:rsid w:val="002B6D8A"/>
    <w:rsid w:val="002B7A9B"/>
    <w:rsid w:val="002B7B00"/>
    <w:rsid w:val="002B7C44"/>
    <w:rsid w:val="002C0ECD"/>
    <w:rsid w:val="002C1388"/>
    <w:rsid w:val="002C1418"/>
    <w:rsid w:val="002C161B"/>
    <w:rsid w:val="002C1929"/>
    <w:rsid w:val="002C1BF7"/>
    <w:rsid w:val="002C1E54"/>
    <w:rsid w:val="002C210C"/>
    <w:rsid w:val="002C28A4"/>
    <w:rsid w:val="002C2972"/>
    <w:rsid w:val="002C2BA0"/>
    <w:rsid w:val="002C2CBE"/>
    <w:rsid w:val="002C2F82"/>
    <w:rsid w:val="002C3190"/>
    <w:rsid w:val="002C31EB"/>
    <w:rsid w:val="002C3240"/>
    <w:rsid w:val="002C3C6A"/>
    <w:rsid w:val="002C3FE9"/>
    <w:rsid w:val="002C440E"/>
    <w:rsid w:val="002C45D1"/>
    <w:rsid w:val="002C46E1"/>
    <w:rsid w:val="002C4792"/>
    <w:rsid w:val="002C4D41"/>
    <w:rsid w:val="002C51BB"/>
    <w:rsid w:val="002C54D2"/>
    <w:rsid w:val="002C5AA5"/>
    <w:rsid w:val="002C5B8B"/>
    <w:rsid w:val="002C5BB7"/>
    <w:rsid w:val="002C5F69"/>
    <w:rsid w:val="002C671C"/>
    <w:rsid w:val="002C68D4"/>
    <w:rsid w:val="002C68E7"/>
    <w:rsid w:val="002C7FCB"/>
    <w:rsid w:val="002D0DE8"/>
    <w:rsid w:val="002D0FBB"/>
    <w:rsid w:val="002D1A38"/>
    <w:rsid w:val="002D1CF3"/>
    <w:rsid w:val="002D206D"/>
    <w:rsid w:val="002D35FA"/>
    <w:rsid w:val="002D3767"/>
    <w:rsid w:val="002D42DB"/>
    <w:rsid w:val="002D4356"/>
    <w:rsid w:val="002D477C"/>
    <w:rsid w:val="002D4A2D"/>
    <w:rsid w:val="002D625D"/>
    <w:rsid w:val="002D6E5A"/>
    <w:rsid w:val="002D7070"/>
    <w:rsid w:val="002D7826"/>
    <w:rsid w:val="002D7A32"/>
    <w:rsid w:val="002D7E42"/>
    <w:rsid w:val="002D7F15"/>
    <w:rsid w:val="002E01E7"/>
    <w:rsid w:val="002E09F3"/>
    <w:rsid w:val="002E0BB7"/>
    <w:rsid w:val="002E0C67"/>
    <w:rsid w:val="002E0D2A"/>
    <w:rsid w:val="002E1372"/>
    <w:rsid w:val="002E1597"/>
    <w:rsid w:val="002E1779"/>
    <w:rsid w:val="002E1A51"/>
    <w:rsid w:val="002E1B47"/>
    <w:rsid w:val="002E1F3A"/>
    <w:rsid w:val="002E2130"/>
    <w:rsid w:val="002E2376"/>
    <w:rsid w:val="002E298A"/>
    <w:rsid w:val="002E2BC0"/>
    <w:rsid w:val="002E30B2"/>
    <w:rsid w:val="002E3819"/>
    <w:rsid w:val="002E3B8E"/>
    <w:rsid w:val="002E3DC3"/>
    <w:rsid w:val="002E409D"/>
    <w:rsid w:val="002E45BF"/>
    <w:rsid w:val="002E4B4C"/>
    <w:rsid w:val="002E4C34"/>
    <w:rsid w:val="002E4C43"/>
    <w:rsid w:val="002E589E"/>
    <w:rsid w:val="002E628B"/>
    <w:rsid w:val="002E6338"/>
    <w:rsid w:val="002E6869"/>
    <w:rsid w:val="002E6BA2"/>
    <w:rsid w:val="002E7D8C"/>
    <w:rsid w:val="002E7EB2"/>
    <w:rsid w:val="002F008B"/>
    <w:rsid w:val="002F02A4"/>
    <w:rsid w:val="002F02ED"/>
    <w:rsid w:val="002F0EA4"/>
    <w:rsid w:val="002F1288"/>
    <w:rsid w:val="002F17EE"/>
    <w:rsid w:val="002F25FC"/>
    <w:rsid w:val="002F272B"/>
    <w:rsid w:val="002F274D"/>
    <w:rsid w:val="002F2AF8"/>
    <w:rsid w:val="002F3085"/>
    <w:rsid w:val="002F32FD"/>
    <w:rsid w:val="002F36E9"/>
    <w:rsid w:val="002F3B17"/>
    <w:rsid w:val="002F3B6F"/>
    <w:rsid w:val="002F3BEE"/>
    <w:rsid w:val="002F3BEF"/>
    <w:rsid w:val="002F3C70"/>
    <w:rsid w:val="002F41AE"/>
    <w:rsid w:val="002F49F0"/>
    <w:rsid w:val="002F4AAD"/>
    <w:rsid w:val="002F5429"/>
    <w:rsid w:val="002F635A"/>
    <w:rsid w:val="002F63A9"/>
    <w:rsid w:val="002F64F0"/>
    <w:rsid w:val="002F6803"/>
    <w:rsid w:val="002F7C6D"/>
    <w:rsid w:val="00300131"/>
    <w:rsid w:val="00300A27"/>
    <w:rsid w:val="00300F5C"/>
    <w:rsid w:val="003016EC"/>
    <w:rsid w:val="003017D2"/>
    <w:rsid w:val="00301914"/>
    <w:rsid w:val="00301FA1"/>
    <w:rsid w:val="003027E4"/>
    <w:rsid w:val="0030332C"/>
    <w:rsid w:val="00303767"/>
    <w:rsid w:val="00304577"/>
    <w:rsid w:val="00304601"/>
    <w:rsid w:val="00304EB2"/>
    <w:rsid w:val="0030539E"/>
    <w:rsid w:val="00306024"/>
    <w:rsid w:val="003066A0"/>
    <w:rsid w:val="00306861"/>
    <w:rsid w:val="0030687E"/>
    <w:rsid w:val="003073D8"/>
    <w:rsid w:val="00307541"/>
    <w:rsid w:val="00307C1E"/>
    <w:rsid w:val="00307DE7"/>
    <w:rsid w:val="00311208"/>
    <w:rsid w:val="00311276"/>
    <w:rsid w:val="003114CE"/>
    <w:rsid w:val="003115B3"/>
    <w:rsid w:val="00312296"/>
    <w:rsid w:val="003128EE"/>
    <w:rsid w:val="00313166"/>
    <w:rsid w:val="0031340E"/>
    <w:rsid w:val="003145A2"/>
    <w:rsid w:val="00314829"/>
    <w:rsid w:val="00316360"/>
    <w:rsid w:val="00316464"/>
    <w:rsid w:val="0031687E"/>
    <w:rsid w:val="00316A30"/>
    <w:rsid w:val="00316DC4"/>
    <w:rsid w:val="00317024"/>
    <w:rsid w:val="003204A0"/>
    <w:rsid w:val="0032073A"/>
    <w:rsid w:val="00320A6B"/>
    <w:rsid w:val="00320BB3"/>
    <w:rsid w:val="00320C55"/>
    <w:rsid w:val="00320D94"/>
    <w:rsid w:val="00321142"/>
    <w:rsid w:val="0032157E"/>
    <w:rsid w:val="00321602"/>
    <w:rsid w:val="00321D8E"/>
    <w:rsid w:val="00321E74"/>
    <w:rsid w:val="00322C7C"/>
    <w:rsid w:val="003231DF"/>
    <w:rsid w:val="003234FA"/>
    <w:rsid w:val="003239B7"/>
    <w:rsid w:val="003245A1"/>
    <w:rsid w:val="00324EC7"/>
    <w:rsid w:val="003255BD"/>
    <w:rsid w:val="00325C7B"/>
    <w:rsid w:val="00325E19"/>
    <w:rsid w:val="00326581"/>
    <w:rsid w:val="00326B60"/>
    <w:rsid w:val="00326FC1"/>
    <w:rsid w:val="003273E3"/>
    <w:rsid w:val="003274ED"/>
    <w:rsid w:val="00327653"/>
    <w:rsid w:val="00327985"/>
    <w:rsid w:val="00330050"/>
    <w:rsid w:val="00330C54"/>
    <w:rsid w:val="003312F9"/>
    <w:rsid w:val="00331641"/>
    <w:rsid w:val="00333343"/>
    <w:rsid w:val="00333B92"/>
    <w:rsid w:val="00333F70"/>
    <w:rsid w:val="003340F8"/>
    <w:rsid w:val="0033428B"/>
    <w:rsid w:val="00334996"/>
    <w:rsid w:val="00334AA2"/>
    <w:rsid w:val="00334EDD"/>
    <w:rsid w:val="00334F21"/>
    <w:rsid w:val="00336783"/>
    <w:rsid w:val="00336969"/>
    <w:rsid w:val="00336C52"/>
    <w:rsid w:val="00336CD9"/>
    <w:rsid w:val="003370DC"/>
    <w:rsid w:val="0033735A"/>
    <w:rsid w:val="00337B8B"/>
    <w:rsid w:val="00340758"/>
    <w:rsid w:val="00340EAA"/>
    <w:rsid w:val="003411D7"/>
    <w:rsid w:val="003415C3"/>
    <w:rsid w:val="00341B3E"/>
    <w:rsid w:val="00341B42"/>
    <w:rsid w:val="0034249F"/>
    <w:rsid w:val="00342977"/>
    <w:rsid w:val="00342DB1"/>
    <w:rsid w:val="00342F87"/>
    <w:rsid w:val="00343302"/>
    <w:rsid w:val="0034379A"/>
    <w:rsid w:val="003439E3"/>
    <w:rsid w:val="00343BBB"/>
    <w:rsid w:val="003443C7"/>
    <w:rsid w:val="0034475F"/>
    <w:rsid w:val="00344BE8"/>
    <w:rsid w:val="00345154"/>
    <w:rsid w:val="003451B8"/>
    <w:rsid w:val="00345328"/>
    <w:rsid w:val="0034560E"/>
    <w:rsid w:val="00345ACE"/>
    <w:rsid w:val="00345D25"/>
    <w:rsid w:val="00345E69"/>
    <w:rsid w:val="00346475"/>
    <w:rsid w:val="003469A9"/>
    <w:rsid w:val="00346B80"/>
    <w:rsid w:val="00346BA9"/>
    <w:rsid w:val="00347631"/>
    <w:rsid w:val="00347648"/>
    <w:rsid w:val="003501D0"/>
    <w:rsid w:val="0035045D"/>
    <w:rsid w:val="00350523"/>
    <w:rsid w:val="00350A2C"/>
    <w:rsid w:val="00350E57"/>
    <w:rsid w:val="00351139"/>
    <w:rsid w:val="003514C1"/>
    <w:rsid w:val="00351881"/>
    <w:rsid w:val="00351A93"/>
    <w:rsid w:val="00351D57"/>
    <w:rsid w:val="003524D5"/>
    <w:rsid w:val="00352975"/>
    <w:rsid w:val="003529B0"/>
    <w:rsid w:val="003529F1"/>
    <w:rsid w:val="0035371E"/>
    <w:rsid w:val="0035390F"/>
    <w:rsid w:val="00353E8A"/>
    <w:rsid w:val="003540DE"/>
    <w:rsid w:val="00355329"/>
    <w:rsid w:val="003553B6"/>
    <w:rsid w:val="0035541A"/>
    <w:rsid w:val="003555B2"/>
    <w:rsid w:val="003557EB"/>
    <w:rsid w:val="00356868"/>
    <w:rsid w:val="003568AF"/>
    <w:rsid w:val="00357DB5"/>
    <w:rsid w:val="003606AA"/>
    <w:rsid w:val="003606C9"/>
    <w:rsid w:val="00360BC9"/>
    <w:rsid w:val="00361975"/>
    <w:rsid w:val="003620B7"/>
    <w:rsid w:val="0036232E"/>
    <w:rsid w:val="0036247D"/>
    <w:rsid w:val="003629F9"/>
    <w:rsid w:val="00362AA9"/>
    <w:rsid w:val="00362B6C"/>
    <w:rsid w:val="0036389D"/>
    <w:rsid w:val="003638E1"/>
    <w:rsid w:val="00364636"/>
    <w:rsid w:val="0036485B"/>
    <w:rsid w:val="003648D6"/>
    <w:rsid w:val="0036493E"/>
    <w:rsid w:val="00364A56"/>
    <w:rsid w:val="00364D82"/>
    <w:rsid w:val="00366A89"/>
    <w:rsid w:val="00366E93"/>
    <w:rsid w:val="0036755E"/>
    <w:rsid w:val="00367821"/>
    <w:rsid w:val="0036790C"/>
    <w:rsid w:val="003716DE"/>
    <w:rsid w:val="00371753"/>
    <w:rsid w:val="003721D1"/>
    <w:rsid w:val="00372E45"/>
    <w:rsid w:val="00372EC6"/>
    <w:rsid w:val="003733BB"/>
    <w:rsid w:val="0037390E"/>
    <w:rsid w:val="00373B0D"/>
    <w:rsid w:val="003740AB"/>
    <w:rsid w:val="00374344"/>
    <w:rsid w:val="00375267"/>
    <w:rsid w:val="00375D61"/>
    <w:rsid w:val="003762F5"/>
    <w:rsid w:val="003763D8"/>
    <w:rsid w:val="00376667"/>
    <w:rsid w:val="00376724"/>
    <w:rsid w:val="00376988"/>
    <w:rsid w:val="00376FF9"/>
    <w:rsid w:val="0037757D"/>
    <w:rsid w:val="00377943"/>
    <w:rsid w:val="00377DF1"/>
    <w:rsid w:val="00377E75"/>
    <w:rsid w:val="003804C8"/>
    <w:rsid w:val="003806AF"/>
    <w:rsid w:val="00381A72"/>
    <w:rsid w:val="0038269F"/>
    <w:rsid w:val="003826E0"/>
    <w:rsid w:val="00382A63"/>
    <w:rsid w:val="00382BBF"/>
    <w:rsid w:val="00382D18"/>
    <w:rsid w:val="003831D6"/>
    <w:rsid w:val="00383601"/>
    <w:rsid w:val="00383CA7"/>
    <w:rsid w:val="00384A09"/>
    <w:rsid w:val="00385FE2"/>
    <w:rsid w:val="003862EF"/>
    <w:rsid w:val="00386342"/>
    <w:rsid w:val="00386D0E"/>
    <w:rsid w:val="00386D82"/>
    <w:rsid w:val="00387350"/>
    <w:rsid w:val="003877BE"/>
    <w:rsid w:val="00387C76"/>
    <w:rsid w:val="00390367"/>
    <w:rsid w:val="00390C42"/>
    <w:rsid w:val="003910D8"/>
    <w:rsid w:val="00391D4D"/>
    <w:rsid w:val="00393599"/>
    <w:rsid w:val="0039389E"/>
    <w:rsid w:val="003947C7"/>
    <w:rsid w:val="0039482C"/>
    <w:rsid w:val="00394FC8"/>
    <w:rsid w:val="003955DB"/>
    <w:rsid w:val="0039680B"/>
    <w:rsid w:val="00396EBD"/>
    <w:rsid w:val="0039705E"/>
    <w:rsid w:val="0039713F"/>
    <w:rsid w:val="00397299"/>
    <w:rsid w:val="003976E3"/>
    <w:rsid w:val="0039773A"/>
    <w:rsid w:val="00397994"/>
    <w:rsid w:val="00397B32"/>
    <w:rsid w:val="003A00F4"/>
    <w:rsid w:val="003A0B90"/>
    <w:rsid w:val="003A0DE2"/>
    <w:rsid w:val="003A0F61"/>
    <w:rsid w:val="003A12BD"/>
    <w:rsid w:val="003A1948"/>
    <w:rsid w:val="003A19DC"/>
    <w:rsid w:val="003A1B75"/>
    <w:rsid w:val="003A2471"/>
    <w:rsid w:val="003A2B40"/>
    <w:rsid w:val="003A311C"/>
    <w:rsid w:val="003A333B"/>
    <w:rsid w:val="003A38F6"/>
    <w:rsid w:val="003A3927"/>
    <w:rsid w:val="003A4799"/>
    <w:rsid w:val="003A4BEB"/>
    <w:rsid w:val="003A5038"/>
    <w:rsid w:val="003A57D5"/>
    <w:rsid w:val="003A6629"/>
    <w:rsid w:val="003A686D"/>
    <w:rsid w:val="003A69A4"/>
    <w:rsid w:val="003A6A3C"/>
    <w:rsid w:val="003A6D53"/>
    <w:rsid w:val="003A715E"/>
    <w:rsid w:val="003A71BC"/>
    <w:rsid w:val="003A746D"/>
    <w:rsid w:val="003A76C2"/>
    <w:rsid w:val="003A7B30"/>
    <w:rsid w:val="003A7DAA"/>
    <w:rsid w:val="003A7F14"/>
    <w:rsid w:val="003B01BD"/>
    <w:rsid w:val="003B08F9"/>
    <w:rsid w:val="003B0D87"/>
    <w:rsid w:val="003B1078"/>
    <w:rsid w:val="003B152A"/>
    <w:rsid w:val="003B169B"/>
    <w:rsid w:val="003B17CD"/>
    <w:rsid w:val="003B1AD6"/>
    <w:rsid w:val="003B2517"/>
    <w:rsid w:val="003B2534"/>
    <w:rsid w:val="003B2A06"/>
    <w:rsid w:val="003B3854"/>
    <w:rsid w:val="003B38F8"/>
    <w:rsid w:val="003B3B74"/>
    <w:rsid w:val="003B3EC7"/>
    <w:rsid w:val="003B455D"/>
    <w:rsid w:val="003B4E49"/>
    <w:rsid w:val="003B50A6"/>
    <w:rsid w:val="003B545B"/>
    <w:rsid w:val="003B56CE"/>
    <w:rsid w:val="003B6577"/>
    <w:rsid w:val="003B6D73"/>
    <w:rsid w:val="003B6F00"/>
    <w:rsid w:val="003B7424"/>
    <w:rsid w:val="003B7488"/>
    <w:rsid w:val="003B7700"/>
    <w:rsid w:val="003B78EC"/>
    <w:rsid w:val="003B7F72"/>
    <w:rsid w:val="003C002F"/>
    <w:rsid w:val="003C0413"/>
    <w:rsid w:val="003C0B49"/>
    <w:rsid w:val="003C0BBA"/>
    <w:rsid w:val="003C0CD6"/>
    <w:rsid w:val="003C0DEE"/>
    <w:rsid w:val="003C16F0"/>
    <w:rsid w:val="003C1D83"/>
    <w:rsid w:val="003C245F"/>
    <w:rsid w:val="003C2598"/>
    <w:rsid w:val="003C36E3"/>
    <w:rsid w:val="003C3C37"/>
    <w:rsid w:val="003C3C8E"/>
    <w:rsid w:val="003C4275"/>
    <w:rsid w:val="003C44E9"/>
    <w:rsid w:val="003C4867"/>
    <w:rsid w:val="003C58A4"/>
    <w:rsid w:val="003C5E1A"/>
    <w:rsid w:val="003C6453"/>
    <w:rsid w:val="003C652E"/>
    <w:rsid w:val="003C67EE"/>
    <w:rsid w:val="003C6FCD"/>
    <w:rsid w:val="003C763F"/>
    <w:rsid w:val="003C7F26"/>
    <w:rsid w:val="003D0549"/>
    <w:rsid w:val="003D091D"/>
    <w:rsid w:val="003D1573"/>
    <w:rsid w:val="003D19FB"/>
    <w:rsid w:val="003D22A9"/>
    <w:rsid w:val="003D2767"/>
    <w:rsid w:val="003D2E3D"/>
    <w:rsid w:val="003D326F"/>
    <w:rsid w:val="003D3BBD"/>
    <w:rsid w:val="003D3C4C"/>
    <w:rsid w:val="003D3EE9"/>
    <w:rsid w:val="003D40D5"/>
    <w:rsid w:val="003D4BC8"/>
    <w:rsid w:val="003D5251"/>
    <w:rsid w:val="003D55FF"/>
    <w:rsid w:val="003D5A82"/>
    <w:rsid w:val="003D5D8F"/>
    <w:rsid w:val="003D5F2A"/>
    <w:rsid w:val="003D620D"/>
    <w:rsid w:val="003D647D"/>
    <w:rsid w:val="003D6C7F"/>
    <w:rsid w:val="003D6D47"/>
    <w:rsid w:val="003D70BB"/>
    <w:rsid w:val="003D739F"/>
    <w:rsid w:val="003D7609"/>
    <w:rsid w:val="003D79EF"/>
    <w:rsid w:val="003D79F1"/>
    <w:rsid w:val="003E00AA"/>
    <w:rsid w:val="003E0618"/>
    <w:rsid w:val="003E06AB"/>
    <w:rsid w:val="003E0882"/>
    <w:rsid w:val="003E0C3E"/>
    <w:rsid w:val="003E1059"/>
    <w:rsid w:val="003E1074"/>
    <w:rsid w:val="003E1645"/>
    <w:rsid w:val="003E308B"/>
    <w:rsid w:val="003E3937"/>
    <w:rsid w:val="003E464F"/>
    <w:rsid w:val="003E4931"/>
    <w:rsid w:val="003E494A"/>
    <w:rsid w:val="003E51CF"/>
    <w:rsid w:val="003E59C4"/>
    <w:rsid w:val="003E59E9"/>
    <w:rsid w:val="003E70B7"/>
    <w:rsid w:val="003E70DF"/>
    <w:rsid w:val="003E7681"/>
    <w:rsid w:val="003E7987"/>
    <w:rsid w:val="003F0653"/>
    <w:rsid w:val="003F0809"/>
    <w:rsid w:val="003F12E2"/>
    <w:rsid w:val="003F159F"/>
    <w:rsid w:val="003F1795"/>
    <w:rsid w:val="003F18A1"/>
    <w:rsid w:val="003F1BCE"/>
    <w:rsid w:val="003F1D85"/>
    <w:rsid w:val="003F25A7"/>
    <w:rsid w:val="003F289B"/>
    <w:rsid w:val="003F2BCC"/>
    <w:rsid w:val="003F3BA6"/>
    <w:rsid w:val="003F3E0E"/>
    <w:rsid w:val="003F3F44"/>
    <w:rsid w:val="003F4605"/>
    <w:rsid w:val="003F493D"/>
    <w:rsid w:val="003F4DAB"/>
    <w:rsid w:val="003F4FF1"/>
    <w:rsid w:val="003F575F"/>
    <w:rsid w:val="003F5A70"/>
    <w:rsid w:val="003F611C"/>
    <w:rsid w:val="003F6565"/>
    <w:rsid w:val="003F6D5B"/>
    <w:rsid w:val="003F6E63"/>
    <w:rsid w:val="003F708E"/>
    <w:rsid w:val="003F7412"/>
    <w:rsid w:val="003F755C"/>
    <w:rsid w:val="003F7993"/>
    <w:rsid w:val="003F79D8"/>
    <w:rsid w:val="003F7B12"/>
    <w:rsid w:val="003F7F75"/>
    <w:rsid w:val="00400622"/>
    <w:rsid w:val="0040082E"/>
    <w:rsid w:val="00400890"/>
    <w:rsid w:val="00400A39"/>
    <w:rsid w:val="004012E0"/>
    <w:rsid w:val="004013C4"/>
    <w:rsid w:val="00401643"/>
    <w:rsid w:val="00401C07"/>
    <w:rsid w:val="00402BE7"/>
    <w:rsid w:val="00402C4F"/>
    <w:rsid w:val="00402E31"/>
    <w:rsid w:val="00403118"/>
    <w:rsid w:val="00403732"/>
    <w:rsid w:val="00403750"/>
    <w:rsid w:val="00403948"/>
    <w:rsid w:val="0040406F"/>
    <w:rsid w:val="004043FC"/>
    <w:rsid w:val="004047AE"/>
    <w:rsid w:val="00404F46"/>
    <w:rsid w:val="00405ADC"/>
    <w:rsid w:val="00405FCD"/>
    <w:rsid w:val="004067B1"/>
    <w:rsid w:val="00406F01"/>
    <w:rsid w:val="0040750C"/>
    <w:rsid w:val="00407C97"/>
    <w:rsid w:val="0041040D"/>
    <w:rsid w:val="0041062A"/>
    <w:rsid w:val="00411376"/>
    <w:rsid w:val="00411616"/>
    <w:rsid w:val="00411B36"/>
    <w:rsid w:val="00411D6A"/>
    <w:rsid w:val="004121D7"/>
    <w:rsid w:val="00412324"/>
    <w:rsid w:val="004124AD"/>
    <w:rsid w:val="0041254E"/>
    <w:rsid w:val="004127E4"/>
    <w:rsid w:val="004127F1"/>
    <w:rsid w:val="00412F3E"/>
    <w:rsid w:val="00413639"/>
    <w:rsid w:val="00413709"/>
    <w:rsid w:val="00414A2D"/>
    <w:rsid w:val="00414B4C"/>
    <w:rsid w:val="00414C26"/>
    <w:rsid w:val="00415087"/>
    <w:rsid w:val="004154DD"/>
    <w:rsid w:val="004155F8"/>
    <w:rsid w:val="00415906"/>
    <w:rsid w:val="00415E73"/>
    <w:rsid w:val="00416D50"/>
    <w:rsid w:val="00416DE1"/>
    <w:rsid w:val="004172D3"/>
    <w:rsid w:val="00417654"/>
    <w:rsid w:val="00417772"/>
    <w:rsid w:val="00417824"/>
    <w:rsid w:val="00417A2B"/>
    <w:rsid w:val="0042076F"/>
    <w:rsid w:val="00420E6A"/>
    <w:rsid w:val="004210F6"/>
    <w:rsid w:val="00421BED"/>
    <w:rsid w:val="00423D4B"/>
    <w:rsid w:val="00424D44"/>
    <w:rsid w:val="004251EC"/>
    <w:rsid w:val="00425466"/>
    <w:rsid w:val="004263BC"/>
    <w:rsid w:val="0042663C"/>
    <w:rsid w:val="00426D65"/>
    <w:rsid w:val="0042712C"/>
    <w:rsid w:val="0042794C"/>
    <w:rsid w:val="0043048C"/>
    <w:rsid w:val="00430592"/>
    <w:rsid w:val="004308BB"/>
    <w:rsid w:val="00431015"/>
    <w:rsid w:val="00431814"/>
    <w:rsid w:val="00431AA7"/>
    <w:rsid w:val="004325D3"/>
    <w:rsid w:val="00432647"/>
    <w:rsid w:val="00432DA0"/>
    <w:rsid w:val="00433934"/>
    <w:rsid w:val="00433AEF"/>
    <w:rsid w:val="00433C38"/>
    <w:rsid w:val="00433CA9"/>
    <w:rsid w:val="00433D1A"/>
    <w:rsid w:val="00433FAA"/>
    <w:rsid w:val="00434103"/>
    <w:rsid w:val="00434725"/>
    <w:rsid w:val="0043521D"/>
    <w:rsid w:val="004356FE"/>
    <w:rsid w:val="00436AF7"/>
    <w:rsid w:val="00437681"/>
    <w:rsid w:val="00440029"/>
    <w:rsid w:val="004403B4"/>
    <w:rsid w:val="00440B4C"/>
    <w:rsid w:val="00441548"/>
    <w:rsid w:val="00441A09"/>
    <w:rsid w:val="00442024"/>
    <w:rsid w:val="00442103"/>
    <w:rsid w:val="0044254C"/>
    <w:rsid w:val="00442E79"/>
    <w:rsid w:val="00442F0D"/>
    <w:rsid w:val="00442FD6"/>
    <w:rsid w:val="00443312"/>
    <w:rsid w:val="0044335C"/>
    <w:rsid w:val="004437FD"/>
    <w:rsid w:val="00443CDF"/>
    <w:rsid w:val="00443F6A"/>
    <w:rsid w:val="00444BAF"/>
    <w:rsid w:val="00445032"/>
    <w:rsid w:val="0044567B"/>
    <w:rsid w:val="00445897"/>
    <w:rsid w:val="00447360"/>
    <w:rsid w:val="00447D86"/>
    <w:rsid w:val="0045007A"/>
    <w:rsid w:val="004508B6"/>
    <w:rsid w:val="00450922"/>
    <w:rsid w:val="00450A17"/>
    <w:rsid w:val="00451013"/>
    <w:rsid w:val="00451448"/>
    <w:rsid w:val="00452196"/>
    <w:rsid w:val="004521E7"/>
    <w:rsid w:val="0045239B"/>
    <w:rsid w:val="0045243B"/>
    <w:rsid w:val="00452B56"/>
    <w:rsid w:val="0045367E"/>
    <w:rsid w:val="004543E3"/>
    <w:rsid w:val="00454A92"/>
    <w:rsid w:val="00454FA2"/>
    <w:rsid w:val="0045539C"/>
    <w:rsid w:val="004559A3"/>
    <w:rsid w:val="00455D3A"/>
    <w:rsid w:val="0045673D"/>
    <w:rsid w:val="004567F9"/>
    <w:rsid w:val="00456867"/>
    <w:rsid w:val="004568EA"/>
    <w:rsid w:val="00457100"/>
    <w:rsid w:val="00457384"/>
    <w:rsid w:val="00457B49"/>
    <w:rsid w:val="00457F43"/>
    <w:rsid w:val="00460F24"/>
    <w:rsid w:val="00461130"/>
    <w:rsid w:val="00461C9E"/>
    <w:rsid w:val="00463504"/>
    <w:rsid w:val="004637D7"/>
    <w:rsid w:val="00463ED4"/>
    <w:rsid w:val="0046416D"/>
    <w:rsid w:val="00464A2E"/>
    <w:rsid w:val="00465599"/>
    <w:rsid w:val="004655D3"/>
    <w:rsid w:val="00465E97"/>
    <w:rsid w:val="00466321"/>
    <w:rsid w:val="0046634F"/>
    <w:rsid w:val="0046637F"/>
    <w:rsid w:val="00466A03"/>
    <w:rsid w:val="004672AF"/>
    <w:rsid w:val="004676E6"/>
    <w:rsid w:val="004678C0"/>
    <w:rsid w:val="00467C6C"/>
    <w:rsid w:val="004702DC"/>
    <w:rsid w:val="0047161C"/>
    <w:rsid w:val="00472373"/>
    <w:rsid w:val="004724FA"/>
    <w:rsid w:val="004727B0"/>
    <w:rsid w:val="00472EB4"/>
    <w:rsid w:val="0047330E"/>
    <w:rsid w:val="00474A99"/>
    <w:rsid w:val="00474EB9"/>
    <w:rsid w:val="00475F55"/>
    <w:rsid w:val="00475FD2"/>
    <w:rsid w:val="0047621D"/>
    <w:rsid w:val="004764FB"/>
    <w:rsid w:val="0047670C"/>
    <w:rsid w:val="004767EA"/>
    <w:rsid w:val="00476E06"/>
    <w:rsid w:val="004774A1"/>
    <w:rsid w:val="004776BD"/>
    <w:rsid w:val="00477CC4"/>
    <w:rsid w:val="00480247"/>
    <w:rsid w:val="00480739"/>
    <w:rsid w:val="0048081D"/>
    <w:rsid w:val="0048117E"/>
    <w:rsid w:val="004822FA"/>
    <w:rsid w:val="004824CB"/>
    <w:rsid w:val="00482C77"/>
    <w:rsid w:val="004835B4"/>
    <w:rsid w:val="0048386E"/>
    <w:rsid w:val="00483B51"/>
    <w:rsid w:val="00483EF3"/>
    <w:rsid w:val="004843C9"/>
    <w:rsid w:val="004855B9"/>
    <w:rsid w:val="004855D3"/>
    <w:rsid w:val="004855F6"/>
    <w:rsid w:val="004858F4"/>
    <w:rsid w:val="00485A0E"/>
    <w:rsid w:val="00485A82"/>
    <w:rsid w:val="00486F0C"/>
    <w:rsid w:val="00487031"/>
    <w:rsid w:val="0048740A"/>
    <w:rsid w:val="004874D7"/>
    <w:rsid w:val="0048754B"/>
    <w:rsid w:val="00487868"/>
    <w:rsid w:val="00490142"/>
    <w:rsid w:val="00490684"/>
    <w:rsid w:val="0049135C"/>
    <w:rsid w:val="00491737"/>
    <w:rsid w:val="004918A8"/>
    <w:rsid w:val="00491CEE"/>
    <w:rsid w:val="00492784"/>
    <w:rsid w:val="0049286D"/>
    <w:rsid w:val="00493373"/>
    <w:rsid w:val="0049366E"/>
    <w:rsid w:val="00493AA2"/>
    <w:rsid w:val="00493B30"/>
    <w:rsid w:val="00493B53"/>
    <w:rsid w:val="00493FF0"/>
    <w:rsid w:val="004942BC"/>
    <w:rsid w:val="00494383"/>
    <w:rsid w:val="004943FF"/>
    <w:rsid w:val="0049442B"/>
    <w:rsid w:val="004945BD"/>
    <w:rsid w:val="00494670"/>
    <w:rsid w:val="00494C7C"/>
    <w:rsid w:val="004951A8"/>
    <w:rsid w:val="004957F7"/>
    <w:rsid w:val="00496806"/>
    <w:rsid w:val="00496A23"/>
    <w:rsid w:val="00497679"/>
    <w:rsid w:val="004A0A00"/>
    <w:rsid w:val="004A0DCA"/>
    <w:rsid w:val="004A0EB4"/>
    <w:rsid w:val="004A1C56"/>
    <w:rsid w:val="004A2258"/>
    <w:rsid w:val="004A24CE"/>
    <w:rsid w:val="004A275B"/>
    <w:rsid w:val="004A2D5F"/>
    <w:rsid w:val="004A3823"/>
    <w:rsid w:val="004A39D2"/>
    <w:rsid w:val="004A3D19"/>
    <w:rsid w:val="004A403A"/>
    <w:rsid w:val="004A4716"/>
    <w:rsid w:val="004A4721"/>
    <w:rsid w:val="004A47EE"/>
    <w:rsid w:val="004A4FC6"/>
    <w:rsid w:val="004A518A"/>
    <w:rsid w:val="004A52BC"/>
    <w:rsid w:val="004A5487"/>
    <w:rsid w:val="004A59BB"/>
    <w:rsid w:val="004A64CE"/>
    <w:rsid w:val="004A6AE4"/>
    <w:rsid w:val="004A6FB5"/>
    <w:rsid w:val="004B00DD"/>
    <w:rsid w:val="004B0327"/>
    <w:rsid w:val="004B03B0"/>
    <w:rsid w:val="004B04B4"/>
    <w:rsid w:val="004B0ECC"/>
    <w:rsid w:val="004B10DA"/>
    <w:rsid w:val="004B11A9"/>
    <w:rsid w:val="004B15DA"/>
    <w:rsid w:val="004B15F3"/>
    <w:rsid w:val="004B18FE"/>
    <w:rsid w:val="004B203E"/>
    <w:rsid w:val="004B20F6"/>
    <w:rsid w:val="004B2398"/>
    <w:rsid w:val="004B3DF6"/>
    <w:rsid w:val="004B4325"/>
    <w:rsid w:val="004B43A3"/>
    <w:rsid w:val="004B454F"/>
    <w:rsid w:val="004B4C49"/>
    <w:rsid w:val="004B4F3E"/>
    <w:rsid w:val="004B4FD1"/>
    <w:rsid w:val="004B5623"/>
    <w:rsid w:val="004B58A5"/>
    <w:rsid w:val="004B5BD0"/>
    <w:rsid w:val="004B5D4F"/>
    <w:rsid w:val="004B6109"/>
    <w:rsid w:val="004B6348"/>
    <w:rsid w:val="004B63D9"/>
    <w:rsid w:val="004B6472"/>
    <w:rsid w:val="004B6AB1"/>
    <w:rsid w:val="004B72CF"/>
    <w:rsid w:val="004B757D"/>
    <w:rsid w:val="004C019C"/>
    <w:rsid w:val="004C0290"/>
    <w:rsid w:val="004C0843"/>
    <w:rsid w:val="004C0882"/>
    <w:rsid w:val="004C0A59"/>
    <w:rsid w:val="004C0BB1"/>
    <w:rsid w:val="004C0D5B"/>
    <w:rsid w:val="004C1432"/>
    <w:rsid w:val="004C1B53"/>
    <w:rsid w:val="004C1EC3"/>
    <w:rsid w:val="004C20A4"/>
    <w:rsid w:val="004C2343"/>
    <w:rsid w:val="004C3867"/>
    <w:rsid w:val="004C3A13"/>
    <w:rsid w:val="004C3B7C"/>
    <w:rsid w:val="004C4398"/>
    <w:rsid w:val="004C4C66"/>
    <w:rsid w:val="004C55BE"/>
    <w:rsid w:val="004C581B"/>
    <w:rsid w:val="004C5C48"/>
    <w:rsid w:val="004C60A6"/>
    <w:rsid w:val="004C644B"/>
    <w:rsid w:val="004C6535"/>
    <w:rsid w:val="004C67C1"/>
    <w:rsid w:val="004C687A"/>
    <w:rsid w:val="004C6C35"/>
    <w:rsid w:val="004C6CA7"/>
    <w:rsid w:val="004C6D58"/>
    <w:rsid w:val="004C6D77"/>
    <w:rsid w:val="004C6F5A"/>
    <w:rsid w:val="004C7718"/>
    <w:rsid w:val="004D04A2"/>
    <w:rsid w:val="004D065B"/>
    <w:rsid w:val="004D16AF"/>
    <w:rsid w:val="004D186A"/>
    <w:rsid w:val="004D1969"/>
    <w:rsid w:val="004D199D"/>
    <w:rsid w:val="004D2C1C"/>
    <w:rsid w:val="004D2EC0"/>
    <w:rsid w:val="004D30D1"/>
    <w:rsid w:val="004D35C7"/>
    <w:rsid w:val="004D3A5D"/>
    <w:rsid w:val="004D3EE0"/>
    <w:rsid w:val="004D406C"/>
    <w:rsid w:val="004D40CE"/>
    <w:rsid w:val="004D43A0"/>
    <w:rsid w:val="004D4916"/>
    <w:rsid w:val="004D4B60"/>
    <w:rsid w:val="004D50E7"/>
    <w:rsid w:val="004D5A9B"/>
    <w:rsid w:val="004D5CF6"/>
    <w:rsid w:val="004D647A"/>
    <w:rsid w:val="004D7025"/>
    <w:rsid w:val="004D7979"/>
    <w:rsid w:val="004D7CA7"/>
    <w:rsid w:val="004E067B"/>
    <w:rsid w:val="004E08E4"/>
    <w:rsid w:val="004E0D28"/>
    <w:rsid w:val="004E149F"/>
    <w:rsid w:val="004E1A24"/>
    <w:rsid w:val="004E1E3C"/>
    <w:rsid w:val="004E2058"/>
    <w:rsid w:val="004E2649"/>
    <w:rsid w:val="004E28FB"/>
    <w:rsid w:val="004E3F83"/>
    <w:rsid w:val="004E474A"/>
    <w:rsid w:val="004E475E"/>
    <w:rsid w:val="004E4C86"/>
    <w:rsid w:val="004E5B30"/>
    <w:rsid w:val="004E5F57"/>
    <w:rsid w:val="004E611F"/>
    <w:rsid w:val="004E62BA"/>
    <w:rsid w:val="004E6666"/>
    <w:rsid w:val="004E66D5"/>
    <w:rsid w:val="004E6942"/>
    <w:rsid w:val="004E6C1C"/>
    <w:rsid w:val="004E734B"/>
    <w:rsid w:val="004F0531"/>
    <w:rsid w:val="004F0779"/>
    <w:rsid w:val="004F1230"/>
    <w:rsid w:val="004F173F"/>
    <w:rsid w:val="004F177C"/>
    <w:rsid w:val="004F1F77"/>
    <w:rsid w:val="004F2387"/>
    <w:rsid w:val="004F2DCE"/>
    <w:rsid w:val="004F2E77"/>
    <w:rsid w:val="004F3015"/>
    <w:rsid w:val="004F35AA"/>
    <w:rsid w:val="004F3D30"/>
    <w:rsid w:val="004F3D82"/>
    <w:rsid w:val="004F3E7B"/>
    <w:rsid w:val="004F442C"/>
    <w:rsid w:val="004F4A54"/>
    <w:rsid w:val="004F4D2E"/>
    <w:rsid w:val="004F5476"/>
    <w:rsid w:val="004F5EBE"/>
    <w:rsid w:val="004F6EF6"/>
    <w:rsid w:val="004F75E1"/>
    <w:rsid w:val="004F7671"/>
    <w:rsid w:val="004F7CC2"/>
    <w:rsid w:val="00500815"/>
    <w:rsid w:val="00500E8C"/>
    <w:rsid w:val="00500E8D"/>
    <w:rsid w:val="00500F89"/>
    <w:rsid w:val="00501C26"/>
    <w:rsid w:val="005020C6"/>
    <w:rsid w:val="005028AA"/>
    <w:rsid w:val="00502DF1"/>
    <w:rsid w:val="005038B6"/>
    <w:rsid w:val="005039CB"/>
    <w:rsid w:val="00504A54"/>
    <w:rsid w:val="0050558F"/>
    <w:rsid w:val="005055E2"/>
    <w:rsid w:val="005057E0"/>
    <w:rsid w:val="0050615E"/>
    <w:rsid w:val="00506286"/>
    <w:rsid w:val="00506771"/>
    <w:rsid w:val="00506787"/>
    <w:rsid w:val="00506A6F"/>
    <w:rsid w:val="00506BE3"/>
    <w:rsid w:val="00506E00"/>
    <w:rsid w:val="005070D4"/>
    <w:rsid w:val="005073B9"/>
    <w:rsid w:val="00507735"/>
    <w:rsid w:val="00507D04"/>
    <w:rsid w:val="00510758"/>
    <w:rsid w:val="00510813"/>
    <w:rsid w:val="00510DEC"/>
    <w:rsid w:val="0051112B"/>
    <w:rsid w:val="00511438"/>
    <w:rsid w:val="005114EF"/>
    <w:rsid w:val="0051157A"/>
    <w:rsid w:val="0051196E"/>
    <w:rsid w:val="00511DE0"/>
    <w:rsid w:val="005125FB"/>
    <w:rsid w:val="00512637"/>
    <w:rsid w:val="00512B4F"/>
    <w:rsid w:val="00513937"/>
    <w:rsid w:val="00514967"/>
    <w:rsid w:val="00514A8B"/>
    <w:rsid w:val="00514D65"/>
    <w:rsid w:val="005151C5"/>
    <w:rsid w:val="0051527F"/>
    <w:rsid w:val="005155C3"/>
    <w:rsid w:val="00515679"/>
    <w:rsid w:val="0051567B"/>
    <w:rsid w:val="00515BA4"/>
    <w:rsid w:val="00515C5E"/>
    <w:rsid w:val="00515D8B"/>
    <w:rsid w:val="00515DBC"/>
    <w:rsid w:val="00516B73"/>
    <w:rsid w:val="00516E71"/>
    <w:rsid w:val="005176F2"/>
    <w:rsid w:val="00517B43"/>
    <w:rsid w:val="00517BB6"/>
    <w:rsid w:val="00517C0D"/>
    <w:rsid w:val="00517F02"/>
    <w:rsid w:val="0052032A"/>
    <w:rsid w:val="00520A00"/>
    <w:rsid w:val="005210A9"/>
    <w:rsid w:val="00521C28"/>
    <w:rsid w:val="00521C96"/>
    <w:rsid w:val="0052245A"/>
    <w:rsid w:val="005232B1"/>
    <w:rsid w:val="005234B8"/>
    <w:rsid w:val="00523AFA"/>
    <w:rsid w:val="005240C0"/>
    <w:rsid w:val="005243EE"/>
    <w:rsid w:val="00524547"/>
    <w:rsid w:val="0052457E"/>
    <w:rsid w:val="00524FB7"/>
    <w:rsid w:val="005252C1"/>
    <w:rsid w:val="00525400"/>
    <w:rsid w:val="005258A2"/>
    <w:rsid w:val="00526458"/>
    <w:rsid w:val="00526944"/>
    <w:rsid w:val="00526DAE"/>
    <w:rsid w:val="00527144"/>
    <w:rsid w:val="0052716D"/>
    <w:rsid w:val="005276F7"/>
    <w:rsid w:val="00527A06"/>
    <w:rsid w:val="00527C73"/>
    <w:rsid w:val="00527E54"/>
    <w:rsid w:val="00530149"/>
    <w:rsid w:val="00530C98"/>
    <w:rsid w:val="00530F7C"/>
    <w:rsid w:val="00531865"/>
    <w:rsid w:val="00531F3A"/>
    <w:rsid w:val="00532574"/>
    <w:rsid w:val="00532D9A"/>
    <w:rsid w:val="005330A5"/>
    <w:rsid w:val="0053322C"/>
    <w:rsid w:val="005334A1"/>
    <w:rsid w:val="00533728"/>
    <w:rsid w:val="0053374A"/>
    <w:rsid w:val="00533866"/>
    <w:rsid w:val="00533B7B"/>
    <w:rsid w:val="00533C9C"/>
    <w:rsid w:val="00533FE1"/>
    <w:rsid w:val="0053422F"/>
    <w:rsid w:val="00534567"/>
    <w:rsid w:val="0053497C"/>
    <w:rsid w:val="00534CC4"/>
    <w:rsid w:val="00534F43"/>
    <w:rsid w:val="00535205"/>
    <w:rsid w:val="005357C5"/>
    <w:rsid w:val="00535A84"/>
    <w:rsid w:val="00535D35"/>
    <w:rsid w:val="00536079"/>
    <w:rsid w:val="00536889"/>
    <w:rsid w:val="00537744"/>
    <w:rsid w:val="00537837"/>
    <w:rsid w:val="00537BF3"/>
    <w:rsid w:val="0054049F"/>
    <w:rsid w:val="00540730"/>
    <w:rsid w:val="005407B6"/>
    <w:rsid w:val="0054084B"/>
    <w:rsid w:val="005418A3"/>
    <w:rsid w:val="00541A23"/>
    <w:rsid w:val="00541BB5"/>
    <w:rsid w:val="005429BB"/>
    <w:rsid w:val="00542E07"/>
    <w:rsid w:val="005432D2"/>
    <w:rsid w:val="0054331A"/>
    <w:rsid w:val="00543559"/>
    <w:rsid w:val="00543656"/>
    <w:rsid w:val="0054370F"/>
    <w:rsid w:val="005438A7"/>
    <w:rsid w:val="00544C35"/>
    <w:rsid w:val="00545263"/>
    <w:rsid w:val="0054562B"/>
    <w:rsid w:val="00545FA1"/>
    <w:rsid w:val="00547090"/>
    <w:rsid w:val="005472E8"/>
    <w:rsid w:val="00547499"/>
    <w:rsid w:val="00550492"/>
    <w:rsid w:val="00550A42"/>
    <w:rsid w:val="00550EBA"/>
    <w:rsid w:val="005518BB"/>
    <w:rsid w:val="00551BC6"/>
    <w:rsid w:val="005524EC"/>
    <w:rsid w:val="0055250B"/>
    <w:rsid w:val="00552A0D"/>
    <w:rsid w:val="0055311D"/>
    <w:rsid w:val="0055410F"/>
    <w:rsid w:val="00554853"/>
    <w:rsid w:val="00554980"/>
    <w:rsid w:val="00554A7B"/>
    <w:rsid w:val="00554DEF"/>
    <w:rsid w:val="005553BB"/>
    <w:rsid w:val="0055572C"/>
    <w:rsid w:val="00555D05"/>
    <w:rsid w:val="0055600E"/>
    <w:rsid w:val="0055622C"/>
    <w:rsid w:val="0055641B"/>
    <w:rsid w:val="0055651D"/>
    <w:rsid w:val="005569AF"/>
    <w:rsid w:val="005569D5"/>
    <w:rsid w:val="00556B0F"/>
    <w:rsid w:val="00556C53"/>
    <w:rsid w:val="00556EE1"/>
    <w:rsid w:val="00557204"/>
    <w:rsid w:val="00557677"/>
    <w:rsid w:val="00557959"/>
    <w:rsid w:val="005600C7"/>
    <w:rsid w:val="0056064F"/>
    <w:rsid w:val="005606E0"/>
    <w:rsid w:val="00561600"/>
    <w:rsid w:val="00561B49"/>
    <w:rsid w:val="00561B84"/>
    <w:rsid w:val="00561BCA"/>
    <w:rsid w:val="00562088"/>
    <w:rsid w:val="00562648"/>
    <w:rsid w:val="0056343F"/>
    <w:rsid w:val="00563C37"/>
    <w:rsid w:val="005640F8"/>
    <w:rsid w:val="00564735"/>
    <w:rsid w:val="00564BDD"/>
    <w:rsid w:val="00564C84"/>
    <w:rsid w:val="00564D17"/>
    <w:rsid w:val="00564F20"/>
    <w:rsid w:val="00565554"/>
    <w:rsid w:val="00565F09"/>
    <w:rsid w:val="005661FD"/>
    <w:rsid w:val="00566B10"/>
    <w:rsid w:val="0056709F"/>
    <w:rsid w:val="00567E0B"/>
    <w:rsid w:val="00567EE2"/>
    <w:rsid w:val="005709E8"/>
    <w:rsid w:val="00570FB9"/>
    <w:rsid w:val="00571538"/>
    <w:rsid w:val="00571562"/>
    <w:rsid w:val="00571850"/>
    <w:rsid w:val="00571AD9"/>
    <w:rsid w:val="00571D98"/>
    <w:rsid w:val="005720AE"/>
    <w:rsid w:val="00572D8A"/>
    <w:rsid w:val="0057330F"/>
    <w:rsid w:val="005737EB"/>
    <w:rsid w:val="00574498"/>
    <w:rsid w:val="0057468C"/>
    <w:rsid w:val="00574B04"/>
    <w:rsid w:val="005753B2"/>
    <w:rsid w:val="005758CE"/>
    <w:rsid w:val="00575C08"/>
    <w:rsid w:val="005760CD"/>
    <w:rsid w:val="00576169"/>
    <w:rsid w:val="00576539"/>
    <w:rsid w:val="005767B6"/>
    <w:rsid w:val="00576A8D"/>
    <w:rsid w:val="00576CA2"/>
    <w:rsid w:val="00577158"/>
    <w:rsid w:val="005773B7"/>
    <w:rsid w:val="00577795"/>
    <w:rsid w:val="005779D8"/>
    <w:rsid w:val="00577EAE"/>
    <w:rsid w:val="0058030D"/>
    <w:rsid w:val="005803DA"/>
    <w:rsid w:val="00580BA8"/>
    <w:rsid w:val="005811C9"/>
    <w:rsid w:val="005818DC"/>
    <w:rsid w:val="005819A4"/>
    <w:rsid w:val="00581F3E"/>
    <w:rsid w:val="00582045"/>
    <w:rsid w:val="005824C8"/>
    <w:rsid w:val="00582EFD"/>
    <w:rsid w:val="00582F11"/>
    <w:rsid w:val="00583A32"/>
    <w:rsid w:val="0058411A"/>
    <w:rsid w:val="005852D5"/>
    <w:rsid w:val="005853AC"/>
    <w:rsid w:val="005854C9"/>
    <w:rsid w:val="00585B17"/>
    <w:rsid w:val="00585C3A"/>
    <w:rsid w:val="005860A6"/>
    <w:rsid w:val="00587018"/>
    <w:rsid w:val="00587315"/>
    <w:rsid w:val="005874F6"/>
    <w:rsid w:val="00587922"/>
    <w:rsid w:val="00590AE3"/>
    <w:rsid w:val="00590BB6"/>
    <w:rsid w:val="00590CF7"/>
    <w:rsid w:val="00591254"/>
    <w:rsid w:val="005918F1"/>
    <w:rsid w:val="00591CC5"/>
    <w:rsid w:val="005920BC"/>
    <w:rsid w:val="00592A68"/>
    <w:rsid w:val="0059322D"/>
    <w:rsid w:val="00593333"/>
    <w:rsid w:val="0059385A"/>
    <w:rsid w:val="00594108"/>
    <w:rsid w:val="00594B03"/>
    <w:rsid w:val="005953A9"/>
    <w:rsid w:val="0059547C"/>
    <w:rsid w:val="00595BC5"/>
    <w:rsid w:val="00595F34"/>
    <w:rsid w:val="0059608C"/>
    <w:rsid w:val="005961EF"/>
    <w:rsid w:val="00596442"/>
    <w:rsid w:val="00596A7F"/>
    <w:rsid w:val="00596AC3"/>
    <w:rsid w:val="00596B8D"/>
    <w:rsid w:val="00597362"/>
    <w:rsid w:val="005976F5"/>
    <w:rsid w:val="00597966"/>
    <w:rsid w:val="005A06B7"/>
    <w:rsid w:val="005A0B6C"/>
    <w:rsid w:val="005A1190"/>
    <w:rsid w:val="005A12BC"/>
    <w:rsid w:val="005A1331"/>
    <w:rsid w:val="005A1759"/>
    <w:rsid w:val="005A19B9"/>
    <w:rsid w:val="005A26CE"/>
    <w:rsid w:val="005A2706"/>
    <w:rsid w:val="005A27CD"/>
    <w:rsid w:val="005A284C"/>
    <w:rsid w:val="005A2B0A"/>
    <w:rsid w:val="005A3222"/>
    <w:rsid w:val="005A33E1"/>
    <w:rsid w:val="005A43E1"/>
    <w:rsid w:val="005A4F3D"/>
    <w:rsid w:val="005A698A"/>
    <w:rsid w:val="005A6C4B"/>
    <w:rsid w:val="005A7818"/>
    <w:rsid w:val="005A78EE"/>
    <w:rsid w:val="005A7DD7"/>
    <w:rsid w:val="005B04A6"/>
    <w:rsid w:val="005B0BA6"/>
    <w:rsid w:val="005B0D0B"/>
    <w:rsid w:val="005B0DCB"/>
    <w:rsid w:val="005B16BC"/>
    <w:rsid w:val="005B1B1A"/>
    <w:rsid w:val="005B2120"/>
    <w:rsid w:val="005B22F4"/>
    <w:rsid w:val="005B2399"/>
    <w:rsid w:val="005B2449"/>
    <w:rsid w:val="005B2C54"/>
    <w:rsid w:val="005B2D5D"/>
    <w:rsid w:val="005B3061"/>
    <w:rsid w:val="005B3737"/>
    <w:rsid w:val="005B3792"/>
    <w:rsid w:val="005B4EE8"/>
    <w:rsid w:val="005B583D"/>
    <w:rsid w:val="005B5F8E"/>
    <w:rsid w:val="005B6D7D"/>
    <w:rsid w:val="005B6F8D"/>
    <w:rsid w:val="005B7185"/>
    <w:rsid w:val="005B7A5F"/>
    <w:rsid w:val="005B7B2F"/>
    <w:rsid w:val="005B7B42"/>
    <w:rsid w:val="005B7CB3"/>
    <w:rsid w:val="005B7CE6"/>
    <w:rsid w:val="005C028B"/>
    <w:rsid w:val="005C06C3"/>
    <w:rsid w:val="005C0BAC"/>
    <w:rsid w:val="005C0FDB"/>
    <w:rsid w:val="005C10B7"/>
    <w:rsid w:val="005C11DD"/>
    <w:rsid w:val="005C12A7"/>
    <w:rsid w:val="005C1753"/>
    <w:rsid w:val="005C1BC9"/>
    <w:rsid w:val="005C2024"/>
    <w:rsid w:val="005C20D1"/>
    <w:rsid w:val="005C2499"/>
    <w:rsid w:val="005C2BB7"/>
    <w:rsid w:val="005C2F1F"/>
    <w:rsid w:val="005C32D0"/>
    <w:rsid w:val="005C3744"/>
    <w:rsid w:val="005C3D2D"/>
    <w:rsid w:val="005C40DC"/>
    <w:rsid w:val="005C4541"/>
    <w:rsid w:val="005C4CEB"/>
    <w:rsid w:val="005C5039"/>
    <w:rsid w:val="005C6151"/>
    <w:rsid w:val="005C7BA4"/>
    <w:rsid w:val="005D031E"/>
    <w:rsid w:val="005D0369"/>
    <w:rsid w:val="005D05E4"/>
    <w:rsid w:val="005D0E08"/>
    <w:rsid w:val="005D180F"/>
    <w:rsid w:val="005D1867"/>
    <w:rsid w:val="005D1DD8"/>
    <w:rsid w:val="005D3146"/>
    <w:rsid w:val="005D346F"/>
    <w:rsid w:val="005D3FA7"/>
    <w:rsid w:val="005D400F"/>
    <w:rsid w:val="005D4048"/>
    <w:rsid w:val="005D47F1"/>
    <w:rsid w:val="005D48B3"/>
    <w:rsid w:val="005D4BE8"/>
    <w:rsid w:val="005D515E"/>
    <w:rsid w:val="005D51F0"/>
    <w:rsid w:val="005D52DC"/>
    <w:rsid w:val="005D53FE"/>
    <w:rsid w:val="005D54F3"/>
    <w:rsid w:val="005D5D55"/>
    <w:rsid w:val="005D6380"/>
    <w:rsid w:val="005D6C1D"/>
    <w:rsid w:val="005D73F8"/>
    <w:rsid w:val="005D7A0F"/>
    <w:rsid w:val="005D7C70"/>
    <w:rsid w:val="005D7F96"/>
    <w:rsid w:val="005E02ED"/>
    <w:rsid w:val="005E0438"/>
    <w:rsid w:val="005E0674"/>
    <w:rsid w:val="005E0695"/>
    <w:rsid w:val="005E082F"/>
    <w:rsid w:val="005E1366"/>
    <w:rsid w:val="005E1680"/>
    <w:rsid w:val="005E1684"/>
    <w:rsid w:val="005E1791"/>
    <w:rsid w:val="005E1C75"/>
    <w:rsid w:val="005E2A31"/>
    <w:rsid w:val="005E2CE6"/>
    <w:rsid w:val="005E2F1F"/>
    <w:rsid w:val="005E362B"/>
    <w:rsid w:val="005E37B8"/>
    <w:rsid w:val="005E3C21"/>
    <w:rsid w:val="005E3E10"/>
    <w:rsid w:val="005E4239"/>
    <w:rsid w:val="005E538B"/>
    <w:rsid w:val="005E6324"/>
    <w:rsid w:val="005E664A"/>
    <w:rsid w:val="005E7DC1"/>
    <w:rsid w:val="005E7E8F"/>
    <w:rsid w:val="005F0F25"/>
    <w:rsid w:val="005F174A"/>
    <w:rsid w:val="005F1CC8"/>
    <w:rsid w:val="005F2016"/>
    <w:rsid w:val="005F228B"/>
    <w:rsid w:val="005F29CD"/>
    <w:rsid w:val="005F348E"/>
    <w:rsid w:val="005F367A"/>
    <w:rsid w:val="005F3BA3"/>
    <w:rsid w:val="005F3C52"/>
    <w:rsid w:val="005F4518"/>
    <w:rsid w:val="005F4DFB"/>
    <w:rsid w:val="005F53CB"/>
    <w:rsid w:val="005F5B98"/>
    <w:rsid w:val="005F667C"/>
    <w:rsid w:val="005F6804"/>
    <w:rsid w:val="005F6CC0"/>
    <w:rsid w:val="005F704A"/>
    <w:rsid w:val="005F7CD8"/>
    <w:rsid w:val="006000ED"/>
    <w:rsid w:val="0060028F"/>
    <w:rsid w:val="00600388"/>
    <w:rsid w:val="006006D4"/>
    <w:rsid w:val="00600EA0"/>
    <w:rsid w:val="00600F09"/>
    <w:rsid w:val="0060115C"/>
    <w:rsid w:val="0060181F"/>
    <w:rsid w:val="006021F2"/>
    <w:rsid w:val="0060239E"/>
    <w:rsid w:val="006029E9"/>
    <w:rsid w:val="00603434"/>
    <w:rsid w:val="00603E5B"/>
    <w:rsid w:val="00603F71"/>
    <w:rsid w:val="00603FF3"/>
    <w:rsid w:val="00604339"/>
    <w:rsid w:val="0060453C"/>
    <w:rsid w:val="006045AF"/>
    <w:rsid w:val="00604715"/>
    <w:rsid w:val="00604785"/>
    <w:rsid w:val="00604BC8"/>
    <w:rsid w:val="0060507B"/>
    <w:rsid w:val="006056AD"/>
    <w:rsid w:val="006058AB"/>
    <w:rsid w:val="00605E0E"/>
    <w:rsid w:val="006061AC"/>
    <w:rsid w:val="006061D3"/>
    <w:rsid w:val="006062F2"/>
    <w:rsid w:val="0060659C"/>
    <w:rsid w:val="00607D0D"/>
    <w:rsid w:val="00607EB0"/>
    <w:rsid w:val="00607FB7"/>
    <w:rsid w:val="00610018"/>
    <w:rsid w:val="0061004E"/>
    <w:rsid w:val="00610F14"/>
    <w:rsid w:val="006110F5"/>
    <w:rsid w:val="006111B4"/>
    <w:rsid w:val="00611BB9"/>
    <w:rsid w:val="00612052"/>
    <w:rsid w:val="00612686"/>
    <w:rsid w:val="00613069"/>
    <w:rsid w:val="00613303"/>
    <w:rsid w:val="0061331D"/>
    <w:rsid w:val="00613368"/>
    <w:rsid w:val="006136D0"/>
    <w:rsid w:val="00613C86"/>
    <w:rsid w:val="00613E85"/>
    <w:rsid w:val="006143CE"/>
    <w:rsid w:val="0061491E"/>
    <w:rsid w:val="00615039"/>
    <w:rsid w:val="00615B4C"/>
    <w:rsid w:val="00615B5D"/>
    <w:rsid w:val="00615DA2"/>
    <w:rsid w:val="006162EF"/>
    <w:rsid w:val="00616718"/>
    <w:rsid w:val="00616A3E"/>
    <w:rsid w:val="00616BF8"/>
    <w:rsid w:val="00616E3E"/>
    <w:rsid w:val="006170DA"/>
    <w:rsid w:val="00617D4B"/>
    <w:rsid w:val="0062000C"/>
    <w:rsid w:val="006207FB"/>
    <w:rsid w:val="00620E7D"/>
    <w:rsid w:val="00621058"/>
    <w:rsid w:val="0062115E"/>
    <w:rsid w:val="0062146F"/>
    <w:rsid w:val="006216BE"/>
    <w:rsid w:val="0062173E"/>
    <w:rsid w:val="006219D2"/>
    <w:rsid w:val="006223DE"/>
    <w:rsid w:val="0062293C"/>
    <w:rsid w:val="00622A6B"/>
    <w:rsid w:val="00622B9D"/>
    <w:rsid w:val="00622C32"/>
    <w:rsid w:val="0062341D"/>
    <w:rsid w:val="006245EC"/>
    <w:rsid w:val="006247BF"/>
    <w:rsid w:val="00624C9B"/>
    <w:rsid w:val="0062532A"/>
    <w:rsid w:val="006257C0"/>
    <w:rsid w:val="006259B5"/>
    <w:rsid w:val="0062606A"/>
    <w:rsid w:val="006261B2"/>
    <w:rsid w:val="00627C2F"/>
    <w:rsid w:val="006300E2"/>
    <w:rsid w:val="0063013F"/>
    <w:rsid w:val="006304E8"/>
    <w:rsid w:val="00630CD8"/>
    <w:rsid w:val="00632752"/>
    <w:rsid w:val="00632BDC"/>
    <w:rsid w:val="00633427"/>
    <w:rsid w:val="00633C0B"/>
    <w:rsid w:val="00633E02"/>
    <w:rsid w:val="006343AF"/>
    <w:rsid w:val="00634B41"/>
    <w:rsid w:val="00634BC0"/>
    <w:rsid w:val="00634C68"/>
    <w:rsid w:val="00635CDA"/>
    <w:rsid w:val="00636248"/>
    <w:rsid w:val="0063634A"/>
    <w:rsid w:val="00637A3C"/>
    <w:rsid w:val="006402FD"/>
    <w:rsid w:val="00640547"/>
    <w:rsid w:val="00640816"/>
    <w:rsid w:val="006408B3"/>
    <w:rsid w:val="006412ED"/>
    <w:rsid w:val="006414BF"/>
    <w:rsid w:val="00641A00"/>
    <w:rsid w:val="00641EE1"/>
    <w:rsid w:val="006424CF"/>
    <w:rsid w:val="0064250D"/>
    <w:rsid w:val="0064265A"/>
    <w:rsid w:val="00642E2B"/>
    <w:rsid w:val="00642F5C"/>
    <w:rsid w:val="00643327"/>
    <w:rsid w:val="00643AEE"/>
    <w:rsid w:val="00644752"/>
    <w:rsid w:val="00644E4C"/>
    <w:rsid w:val="00644FED"/>
    <w:rsid w:val="006456AC"/>
    <w:rsid w:val="006460E9"/>
    <w:rsid w:val="0064621D"/>
    <w:rsid w:val="00646E6F"/>
    <w:rsid w:val="00647144"/>
    <w:rsid w:val="00647AD5"/>
    <w:rsid w:val="00650322"/>
    <w:rsid w:val="00650638"/>
    <w:rsid w:val="0065184C"/>
    <w:rsid w:val="0065279A"/>
    <w:rsid w:val="0065283E"/>
    <w:rsid w:val="00652941"/>
    <w:rsid w:val="00652A27"/>
    <w:rsid w:val="00652B20"/>
    <w:rsid w:val="00652F56"/>
    <w:rsid w:val="006535EB"/>
    <w:rsid w:val="0065382E"/>
    <w:rsid w:val="00653BB1"/>
    <w:rsid w:val="00653FB3"/>
    <w:rsid w:val="00654271"/>
    <w:rsid w:val="00654877"/>
    <w:rsid w:val="00654FBB"/>
    <w:rsid w:val="00655071"/>
    <w:rsid w:val="006553FC"/>
    <w:rsid w:val="00655B55"/>
    <w:rsid w:val="00655C1F"/>
    <w:rsid w:val="0065618E"/>
    <w:rsid w:val="006566EB"/>
    <w:rsid w:val="00657633"/>
    <w:rsid w:val="0065779A"/>
    <w:rsid w:val="00660665"/>
    <w:rsid w:val="00661D28"/>
    <w:rsid w:val="00661DAD"/>
    <w:rsid w:val="00662154"/>
    <w:rsid w:val="00662358"/>
    <w:rsid w:val="006627C9"/>
    <w:rsid w:val="00662E6E"/>
    <w:rsid w:val="00663016"/>
    <w:rsid w:val="006641B0"/>
    <w:rsid w:val="0066422E"/>
    <w:rsid w:val="0066459E"/>
    <w:rsid w:val="0066494A"/>
    <w:rsid w:val="006650D4"/>
    <w:rsid w:val="006653EC"/>
    <w:rsid w:val="00666228"/>
    <w:rsid w:val="00666766"/>
    <w:rsid w:val="00666A43"/>
    <w:rsid w:val="006673E8"/>
    <w:rsid w:val="006679D2"/>
    <w:rsid w:val="00667E42"/>
    <w:rsid w:val="00670180"/>
    <w:rsid w:val="0067065D"/>
    <w:rsid w:val="00671D8E"/>
    <w:rsid w:val="00671FC0"/>
    <w:rsid w:val="0067214B"/>
    <w:rsid w:val="006724E2"/>
    <w:rsid w:val="00672627"/>
    <w:rsid w:val="006728F5"/>
    <w:rsid w:val="0067295D"/>
    <w:rsid w:val="006732D3"/>
    <w:rsid w:val="0067370F"/>
    <w:rsid w:val="00673F4C"/>
    <w:rsid w:val="00674079"/>
    <w:rsid w:val="0067445F"/>
    <w:rsid w:val="00674605"/>
    <w:rsid w:val="006746B3"/>
    <w:rsid w:val="00674748"/>
    <w:rsid w:val="006748B8"/>
    <w:rsid w:val="006761AE"/>
    <w:rsid w:val="006762FD"/>
    <w:rsid w:val="00676427"/>
    <w:rsid w:val="00676628"/>
    <w:rsid w:val="006767C5"/>
    <w:rsid w:val="006778FD"/>
    <w:rsid w:val="00677E21"/>
    <w:rsid w:val="00680235"/>
    <w:rsid w:val="006806E7"/>
    <w:rsid w:val="00680949"/>
    <w:rsid w:val="00680D02"/>
    <w:rsid w:val="00680DA3"/>
    <w:rsid w:val="006810E4"/>
    <w:rsid w:val="0068142F"/>
    <w:rsid w:val="0068150A"/>
    <w:rsid w:val="0068167F"/>
    <w:rsid w:val="006816E2"/>
    <w:rsid w:val="00681839"/>
    <w:rsid w:val="006820ED"/>
    <w:rsid w:val="006826C8"/>
    <w:rsid w:val="00683055"/>
    <w:rsid w:val="0068481D"/>
    <w:rsid w:val="006852A5"/>
    <w:rsid w:val="0068535B"/>
    <w:rsid w:val="006854DD"/>
    <w:rsid w:val="0068608B"/>
    <w:rsid w:val="0068736E"/>
    <w:rsid w:val="00687F86"/>
    <w:rsid w:val="0069096F"/>
    <w:rsid w:val="0069162E"/>
    <w:rsid w:val="00691746"/>
    <w:rsid w:val="006917E8"/>
    <w:rsid w:val="0069234B"/>
    <w:rsid w:val="0069290A"/>
    <w:rsid w:val="00692C98"/>
    <w:rsid w:val="00693247"/>
    <w:rsid w:val="00693750"/>
    <w:rsid w:val="00693AEF"/>
    <w:rsid w:val="00693B16"/>
    <w:rsid w:val="00694545"/>
    <w:rsid w:val="006947B1"/>
    <w:rsid w:val="0069483F"/>
    <w:rsid w:val="006948C9"/>
    <w:rsid w:val="00694A4C"/>
    <w:rsid w:val="00695D26"/>
    <w:rsid w:val="00695E6D"/>
    <w:rsid w:val="00696C0B"/>
    <w:rsid w:val="00696D4B"/>
    <w:rsid w:val="00696E08"/>
    <w:rsid w:val="00697032"/>
    <w:rsid w:val="006975AC"/>
    <w:rsid w:val="00697661"/>
    <w:rsid w:val="0069774A"/>
    <w:rsid w:val="00697A54"/>
    <w:rsid w:val="006A083A"/>
    <w:rsid w:val="006A0983"/>
    <w:rsid w:val="006A09EB"/>
    <w:rsid w:val="006A0BAD"/>
    <w:rsid w:val="006A0C2A"/>
    <w:rsid w:val="006A0D97"/>
    <w:rsid w:val="006A10C1"/>
    <w:rsid w:val="006A15FB"/>
    <w:rsid w:val="006A1E52"/>
    <w:rsid w:val="006A2774"/>
    <w:rsid w:val="006A2C01"/>
    <w:rsid w:val="006A40EF"/>
    <w:rsid w:val="006A52C1"/>
    <w:rsid w:val="006A52D8"/>
    <w:rsid w:val="006A53BA"/>
    <w:rsid w:val="006A56B1"/>
    <w:rsid w:val="006A5AA3"/>
    <w:rsid w:val="006A5BB5"/>
    <w:rsid w:val="006A5DEE"/>
    <w:rsid w:val="006A6391"/>
    <w:rsid w:val="006A64E0"/>
    <w:rsid w:val="006A720A"/>
    <w:rsid w:val="006A72BF"/>
    <w:rsid w:val="006A7422"/>
    <w:rsid w:val="006A74DA"/>
    <w:rsid w:val="006A75BA"/>
    <w:rsid w:val="006B07C5"/>
    <w:rsid w:val="006B0832"/>
    <w:rsid w:val="006B16F0"/>
    <w:rsid w:val="006B199A"/>
    <w:rsid w:val="006B1B70"/>
    <w:rsid w:val="006B211E"/>
    <w:rsid w:val="006B2198"/>
    <w:rsid w:val="006B2290"/>
    <w:rsid w:val="006B22DF"/>
    <w:rsid w:val="006B2BDA"/>
    <w:rsid w:val="006B332A"/>
    <w:rsid w:val="006B33BD"/>
    <w:rsid w:val="006B3553"/>
    <w:rsid w:val="006B3A4D"/>
    <w:rsid w:val="006B46CA"/>
    <w:rsid w:val="006B4B0B"/>
    <w:rsid w:val="006B4D02"/>
    <w:rsid w:val="006B4E80"/>
    <w:rsid w:val="006B51F1"/>
    <w:rsid w:val="006B54FA"/>
    <w:rsid w:val="006B5820"/>
    <w:rsid w:val="006B5AA1"/>
    <w:rsid w:val="006B5FFA"/>
    <w:rsid w:val="006B666E"/>
    <w:rsid w:val="006B6844"/>
    <w:rsid w:val="006B721E"/>
    <w:rsid w:val="006B74BB"/>
    <w:rsid w:val="006B7795"/>
    <w:rsid w:val="006B7F32"/>
    <w:rsid w:val="006C080B"/>
    <w:rsid w:val="006C10BF"/>
    <w:rsid w:val="006C163D"/>
    <w:rsid w:val="006C2076"/>
    <w:rsid w:val="006C2737"/>
    <w:rsid w:val="006C274F"/>
    <w:rsid w:val="006C34A1"/>
    <w:rsid w:val="006C3967"/>
    <w:rsid w:val="006C3B0A"/>
    <w:rsid w:val="006C3EC3"/>
    <w:rsid w:val="006C3F75"/>
    <w:rsid w:val="006C4169"/>
    <w:rsid w:val="006C45A9"/>
    <w:rsid w:val="006C4943"/>
    <w:rsid w:val="006C5475"/>
    <w:rsid w:val="006C5E8D"/>
    <w:rsid w:val="006C664F"/>
    <w:rsid w:val="006C67CF"/>
    <w:rsid w:val="006C6CF2"/>
    <w:rsid w:val="006C7D8F"/>
    <w:rsid w:val="006D0515"/>
    <w:rsid w:val="006D0CFF"/>
    <w:rsid w:val="006D170E"/>
    <w:rsid w:val="006D2063"/>
    <w:rsid w:val="006D22F6"/>
    <w:rsid w:val="006D2530"/>
    <w:rsid w:val="006D2631"/>
    <w:rsid w:val="006D28FA"/>
    <w:rsid w:val="006D3D6C"/>
    <w:rsid w:val="006D42C7"/>
    <w:rsid w:val="006D4456"/>
    <w:rsid w:val="006D4942"/>
    <w:rsid w:val="006D4E03"/>
    <w:rsid w:val="006D4E3D"/>
    <w:rsid w:val="006D55B1"/>
    <w:rsid w:val="006D55F5"/>
    <w:rsid w:val="006D5B3D"/>
    <w:rsid w:val="006D5DA7"/>
    <w:rsid w:val="006D5E7A"/>
    <w:rsid w:val="006D63C9"/>
    <w:rsid w:val="006D6BA2"/>
    <w:rsid w:val="006D741C"/>
    <w:rsid w:val="006D74CB"/>
    <w:rsid w:val="006D764E"/>
    <w:rsid w:val="006D7E15"/>
    <w:rsid w:val="006E05F1"/>
    <w:rsid w:val="006E06AF"/>
    <w:rsid w:val="006E0B3C"/>
    <w:rsid w:val="006E1B16"/>
    <w:rsid w:val="006E21F4"/>
    <w:rsid w:val="006E248A"/>
    <w:rsid w:val="006E259A"/>
    <w:rsid w:val="006E25EF"/>
    <w:rsid w:val="006E29CB"/>
    <w:rsid w:val="006E34DF"/>
    <w:rsid w:val="006E3AF1"/>
    <w:rsid w:val="006E3D3F"/>
    <w:rsid w:val="006E4023"/>
    <w:rsid w:val="006E404D"/>
    <w:rsid w:val="006E44CF"/>
    <w:rsid w:val="006E4D86"/>
    <w:rsid w:val="006E5065"/>
    <w:rsid w:val="006E506B"/>
    <w:rsid w:val="006E56F4"/>
    <w:rsid w:val="006E5AF5"/>
    <w:rsid w:val="006E664F"/>
    <w:rsid w:val="006E68C7"/>
    <w:rsid w:val="006E791C"/>
    <w:rsid w:val="006E7DED"/>
    <w:rsid w:val="006F019A"/>
    <w:rsid w:val="006F0315"/>
    <w:rsid w:val="006F0EFB"/>
    <w:rsid w:val="006F11CE"/>
    <w:rsid w:val="006F12C3"/>
    <w:rsid w:val="006F1789"/>
    <w:rsid w:val="006F17B2"/>
    <w:rsid w:val="006F1E13"/>
    <w:rsid w:val="006F1E7F"/>
    <w:rsid w:val="006F29A2"/>
    <w:rsid w:val="006F2B3C"/>
    <w:rsid w:val="006F2C78"/>
    <w:rsid w:val="006F3938"/>
    <w:rsid w:val="006F44E9"/>
    <w:rsid w:val="006F4F6A"/>
    <w:rsid w:val="006F4FF7"/>
    <w:rsid w:val="006F5709"/>
    <w:rsid w:val="006F5A2B"/>
    <w:rsid w:val="006F5EE6"/>
    <w:rsid w:val="006F5F26"/>
    <w:rsid w:val="006F633D"/>
    <w:rsid w:val="006F68C4"/>
    <w:rsid w:val="006F68D9"/>
    <w:rsid w:val="006F6D8A"/>
    <w:rsid w:val="006F750D"/>
    <w:rsid w:val="00700099"/>
    <w:rsid w:val="0070024F"/>
    <w:rsid w:val="00700568"/>
    <w:rsid w:val="00700762"/>
    <w:rsid w:val="0070098A"/>
    <w:rsid w:val="00700ADC"/>
    <w:rsid w:val="00701213"/>
    <w:rsid w:val="007013D8"/>
    <w:rsid w:val="00701ED0"/>
    <w:rsid w:val="00702132"/>
    <w:rsid w:val="00702133"/>
    <w:rsid w:val="00702175"/>
    <w:rsid w:val="0070332B"/>
    <w:rsid w:val="0070358B"/>
    <w:rsid w:val="007035EF"/>
    <w:rsid w:val="007039F8"/>
    <w:rsid w:val="0070469F"/>
    <w:rsid w:val="00704899"/>
    <w:rsid w:val="00704E2B"/>
    <w:rsid w:val="00704E8F"/>
    <w:rsid w:val="00704FEE"/>
    <w:rsid w:val="0070530A"/>
    <w:rsid w:val="00705638"/>
    <w:rsid w:val="00705B6D"/>
    <w:rsid w:val="00705F84"/>
    <w:rsid w:val="007063E1"/>
    <w:rsid w:val="00706917"/>
    <w:rsid w:val="00706C5D"/>
    <w:rsid w:val="007070F8"/>
    <w:rsid w:val="007071A6"/>
    <w:rsid w:val="007074F7"/>
    <w:rsid w:val="00707678"/>
    <w:rsid w:val="00707EB7"/>
    <w:rsid w:val="007107F9"/>
    <w:rsid w:val="00710F57"/>
    <w:rsid w:val="007113E2"/>
    <w:rsid w:val="007117A9"/>
    <w:rsid w:val="007118E6"/>
    <w:rsid w:val="00711C8C"/>
    <w:rsid w:val="0071214E"/>
    <w:rsid w:val="00712AC3"/>
    <w:rsid w:val="007131BB"/>
    <w:rsid w:val="00713F0B"/>
    <w:rsid w:val="007144B7"/>
    <w:rsid w:val="007145F0"/>
    <w:rsid w:val="00714780"/>
    <w:rsid w:val="0071478B"/>
    <w:rsid w:val="00714838"/>
    <w:rsid w:val="00714BF4"/>
    <w:rsid w:val="00715A4E"/>
    <w:rsid w:val="00715B86"/>
    <w:rsid w:val="0071679F"/>
    <w:rsid w:val="007167A6"/>
    <w:rsid w:val="00717B0E"/>
    <w:rsid w:val="00717EE0"/>
    <w:rsid w:val="00720B78"/>
    <w:rsid w:val="00720C96"/>
    <w:rsid w:val="00721102"/>
    <w:rsid w:val="00721180"/>
    <w:rsid w:val="007212C6"/>
    <w:rsid w:val="00721725"/>
    <w:rsid w:val="007225C9"/>
    <w:rsid w:val="007226BF"/>
    <w:rsid w:val="0072389F"/>
    <w:rsid w:val="00723D7A"/>
    <w:rsid w:val="00723F01"/>
    <w:rsid w:val="00724380"/>
    <w:rsid w:val="00724AEE"/>
    <w:rsid w:val="00724E7A"/>
    <w:rsid w:val="00724ED2"/>
    <w:rsid w:val="00725649"/>
    <w:rsid w:val="007262D7"/>
    <w:rsid w:val="00726E83"/>
    <w:rsid w:val="00727010"/>
    <w:rsid w:val="00727170"/>
    <w:rsid w:val="0072748F"/>
    <w:rsid w:val="00730459"/>
    <w:rsid w:val="007306D4"/>
    <w:rsid w:val="007308E8"/>
    <w:rsid w:val="00730CAB"/>
    <w:rsid w:val="007321BD"/>
    <w:rsid w:val="007332A9"/>
    <w:rsid w:val="00733981"/>
    <w:rsid w:val="00733EEC"/>
    <w:rsid w:val="00734022"/>
    <w:rsid w:val="0073448E"/>
    <w:rsid w:val="007346CF"/>
    <w:rsid w:val="00734839"/>
    <w:rsid w:val="00734A46"/>
    <w:rsid w:val="00734CA1"/>
    <w:rsid w:val="0073520B"/>
    <w:rsid w:val="00735657"/>
    <w:rsid w:val="00735B73"/>
    <w:rsid w:val="00735CD7"/>
    <w:rsid w:val="007370DD"/>
    <w:rsid w:val="00737F55"/>
    <w:rsid w:val="0074040D"/>
    <w:rsid w:val="00740AA1"/>
    <w:rsid w:val="007410D0"/>
    <w:rsid w:val="00741656"/>
    <w:rsid w:val="00741D8D"/>
    <w:rsid w:val="0074286B"/>
    <w:rsid w:val="00742CC1"/>
    <w:rsid w:val="00743196"/>
    <w:rsid w:val="007432C0"/>
    <w:rsid w:val="00743CCE"/>
    <w:rsid w:val="00743CF5"/>
    <w:rsid w:val="00743E26"/>
    <w:rsid w:val="007440A9"/>
    <w:rsid w:val="00744249"/>
    <w:rsid w:val="00744425"/>
    <w:rsid w:val="0074445B"/>
    <w:rsid w:val="0074475F"/>
    <w:rsid w:val="0074481E"/>
    <w:rsid w:val="00744D5A"/>
    <w:rsid w:val="00745A0D"/>
    <w:rsid w:val="00745A67"/>
    <w:rsid w:val="00745B0D"/>
    <w:rsid w:val="00745C6E"/>
    <w:rsid w:val="00745C80"/>
    <w:rsid w:val="007460CC"/>
    <w:rsid w:val="007466FA"/>
    <w:rsid w:val="007468A3"/>
    <w:rsid w:val="00747682"/>
    <w:rsid w:val="00747887"/>
    <w:rsid w:val="00747C82"/>
    <w:rsid w:val="00747E69"/>
    <w:rsid w:val="0075000A"/>
    <w:rsid w:val="00750011"/>
    <w:rsid w:val="0075072F"/>
    <w:rsid w:val="007507C4"/>
    <w:rsid w:val="00750901"/>
    <w:rsid w:val="00750E9B"/>
    <w:rsid w:val="007510AB"/>
    <w:rsid w:val="00751101"/>
    <w:rsid w:val="0075137E"/>
    <w:rsid w:val="007514B9"/>
    <w:rsid w:val="00751547"/>
    <w:rsid w:val="007518DA"/>
    <w:rsid w:val="00751C34"/>
    <w:rsid w:val="00752D4D"/>
    <w:rsid w:val="00752D9A"/>
    <w:rsid w:val="007532CF"/>
    <w:rsid w:val="0075350B"/>
    <w:rsid w:val="00754034"/>
    <w:rsid w:val="00754BF1"/>
    <w:rsid w:val="00755447"/>
    <w:rsid w:val="007557D1"/>
    <w:rsid w:val="00755A30"/>
    <w:rsid w:val="00755E1C"/>
    <w:rsid w:val="007561B4"/>
    <w:rsid w:val="00756556"/>
    <w:rsid w:val="00756BC2"/>
    <w:rsid w:val="00756CF7"/>
    <w:rsid w:val="00757D65"/>
    <w:rsid w:val="00757E3B"/>
    <w:rsid w:val="00760723"/>
    <w:rsid w:val="0076132B"/>
    <w:rsid w:val="007623AE"/>
    <w:rsid w:val="007629F5"/>
    <w:rsid w:val="00762BE9"/>
    <w:rsid w:val="00763E5E"/>
    <w:rsid w:val="0076423C"/>
    <w:rsid w:val="0076425D"/>
    <w:rsid w:val="00764388"/>
    <w:rsid w:val="00764869"/>
    <w:rsid w:val="00764D35"/>
    <w:rsid w:val="007669B9"/>
    <w:rsid w:val="00766DC2"/>
    <w:rsid w:val="00766FA3"/>
    <w:rsid w:val="00767395"/>
    <w:rsid w:val="00767988"/>
    <w:rsid w:val="00767D68"/>
    <w:rsid w:val="00767F11"/>
    <w:rsid w:val="00770917"/>
    <w:rsid w:val="00770B19"/>
    <w:rsid w:val="00770C23"/>
    <w:rsid w:val="0077106C"/>
    <w:rsid w:val="00771359"/>
    <w:rsid w:val="007716FB"/>
    <w:rsid w:val="0077189E"/>
    <w:rsid w:val="00773054"/>
    <w:rsid w:val="00773A1E"/>
    <w:rsid w:val="00774079"/>
    <w:rsid w:val="00774FA0"/>
    <w:rsid w:val="00775383"/>
    <w:rsid w:val="00776620"/>
    <w:rsid w:val="007767E0"/>
    <w:rsid w:val="00776E81"/>
    <w:rsid w:val="00777420"/>
    <w:rsid w:val="00777677"/>
    <w:rsid w:val="0077778B"/>
    <w:rsid w:val="00777B6D"/>
    <w:rsid w:val="007811B1"/>
    <w:rsid w:val="007812C6"/>
    <w:rsid w:val="00781860"/>
    <w:rsid w:val="00781996"/>
    <w:rsid w:val="00781D63"/>
    <w:rsid w:val="00781F48"/>
    <w:rsid w:val="00782747"/>
    <w:rsid w:val="0078299D"/>
    <w:rsid w:val="00782ACC"/>
    <w:rsid w:val="007831D7"/>
    <w:rsid w:val="00783413"/>
    <w:rsid w:val="0078381F"/>
    <w:rsid w:val="00783AFC"/>
    <w:rsid w:val="00783B62"/>
    <w:rsid w:val="0078424C"/>
    <w:rsid w:val="00784855"/>
    <w:rsid w:val="00784DDC"/>
    <w:rsid w:val="00784F39"/>
    <w:rsid w:val="0078545C"/>
    <w:rsid w:val="00785592"/>
    <w:rsid w:val="0078573F"/>
    <w:rsid w:val="00786833"/>
    <w:rsid w:val="00786C2B"/>
    <w:rsid w:val="007874CC"/>
    <w:rsid w:val="00787636"/>
    <w:rsid w:val="00787871"/>
    <w:rsid w:val="007878F6"/>
    <w:rsid w:val="00787B8D"/>
    <w:rsid w:val="00787C6F"/>
    <w:rsid w:val="007906C4"/>
    <w:rsid w:val="00790A47"/>
    <w:rsid w:val="0079133F"/>
    <w:rsid w:val="007914E2"/>
    <w:rsid w:val="007923C2"/>
    <w:rsid w:val="00792BFD"/>
    <w:rsid w:val="007940EA"/>
    <w:rsid w:val="00794FEC"/>
    <w:rsid w:val="0079564A"/>
    <w:rsid w:val="00795936"/>
    <w:rsid w:val="00795ABB"/>
    <w:rsid w:val="00796413"/>
    <w:rsid w:val="00796720"/>
    <w:rsid w:val="007967E8"/>
    <w:rsid w:val="007A00EC"/>
    <w:rsid w:val="007A02D4"/>
    <w:rsid w:val="007A07A2"/>
    <w:rsid w:val="007A09C3"/>
    <w:rsid w:val="007A0D0A"/>
    <w:rsid w:val="007A0F3D"/>
    <w:rsid w:val="007A1BA6"/>
    <w:rsid w:val="007A1D88"/>
    <w:rsid w:val="007A28A8"/>
    <w:rsid w:val="007A2DE0"/>
    <w:rsid w:val="007A3469"/>
    <w:rsid w:val="007A3655"/>
    <w:rsid w:val="007A3784"/>
    <w:rsid w:val="007A3F3D"/>
    <w:rsid w:val="007A4174"/>
    <w:rsid w:val="007A48C2"/>
    <w:rsid w:val="007A6041"/>
    <w:rsid w:val="007A63F2"/>
    <w:rsid w:val="007A68D3"/>
    <w:rsid w:val="007A6E62"/>
    <w:rsid w:val="007A7494"/>
    <w:rsid w:val="007A7602"/>
    <w:rsid w:val="007B021E"/>
    <w:rsid w:val="007B08E0"/>
    <w:rsid w:val="007B3333"/>
    <w:rsid w:val="007B3C3A"/>
    <w:rsid w:val="007B4545"/>
    <w:rsid w:val="007B4613"/>
    <w:rsid w:val="007B48C2"/>
    <w:rsid w:val="007B499F"/>
    <w:rsid w:val="007B4B63"/>
    <w:rsid w:val="007B4F86"/>
    <w:rsid w:val="007B5439"/>
    <w:rsid w:val="007B5D81"/>
    <w:rsid w:val="007B674B"/>
    <w:rsid w:val="007B68DE"/>
    <w:rsid w:val="007B6C85"/>
    <w:rsid w:val="007B6EFC"/>
    <w:rsid w:val="007B70C3"/>
    <w:rsid w:val="007B7178"/>
    <w:rsid w:val="007B7896"/>
    <w:rsid w:val="007B7A98"/>
    <w:rsid w:val="007B7B60"/>
    <w:rsid w:val="007C094A"/>
    <w:rsid w:val="007C0F5A"/>
    <w:rsid w:val="007C111F"/>
    <w:rsid w:val="007C1556"/>
    <w:rsid w:val="007C1857"/>
    <w:rsid w:val="007C2067"/>
    <w:rsid w:val="007C24D0"/>
    <w:rsid w:val="007C29CF"/>
    <w:rsid w:val="007C2AE6"/>
    <w:rsid w:val="007C2F38"/>
    <w:rsid w:val="007C3CC6"/>
    <w:rsid w:val="007C3F6F"/>
    <w:rsid w:val="007C4190"/>
    <w:rsid w:val="007C514F"/>
    <w:rsid w:val="007C54F8"/>
    <w:rsid w:val="007C58DC"/>
    <w:rsid w:val="007C6408"/>
    <w:rsid w:val="007C6D38"/>
    <w:rsid w:val="007C6F6E"/>
    <w:rsid w:val="007C75B5"/>
    <w:rsid w:val="007C7786"/>
    <w:rsid w:val="007C79B5"/>
    <w:rsid w:val="007C7B78"/>
    <w:rsid w:val="007C7F05"/>
    <w:rsid w:val="007D06F8"/>
    <w:rsid w:val="007D0705"/>
    <w:rsid w:val="007D07A0"/>
    <w:rsid w:val="007D0E52"/>
    <w:rsid w:val="007D0F95"/>
    <w:rsid w:val="007D10D9"/>
    <w:rsid w:val="007D178F"/>
    <w:rsid w:val="007D1C09"/>
    <w:rsid w:val="007D1DA9"/>
    <w:rsid w:val="007D2456"/>
    <w:rsid w:val="007D29B7"/>
    <w:rsid w:val="007D2CF7"/>
    <w:rsid w:val="007D2D19"/>
    <w:rsid w:val="007D31F2"/>
    <w:rsid w:val="007D3CED"/>
    <w:rsid w:val="007D406F"/>
    <w:rsid w:val="007D459D"/>
    <w:rsid w:val="007D466A"/>
    <w:rsid w:val="007D5139"/>
    <w:rsid w:val="007D528D"/>
    <w:rsid w:val="007D54D9"/>
    <w:rsid w:val="007D57B3"/>
    <w:rsid w:val="007D62EB"/>
    <w:rsid w:val="007D6468"/>
    <w:rsid w:val="007D6AF7"/>
    <w:rsid w:val="007D6C6E"/>
    <w:rsid w:val="007D6DB8"/>
    <w:rsid w:val="007D6EED"/>
    <w:rsid w:val="007D6FDB"/>
    <w:rsid w:val="007D726B"/>
    <w:rsid w:val="007D7818"/>
    <w:rsid w:val="007D7ECB"/>
    <w:rsid w:val="007E0597"/>
    <w:rsid w:val="007E0B65"/>
    <w:rsid w:val="007E0E81"/>
    <w:rsid w:val="007E13C0"/>
    <w:rsid w:val="007E1604"/>
    <w:rsid w:val="007E16DE"/>
    <w:rsid w:val="007E1895"/>
    <w:rsid w:val="007E1C71"/>
    <w:rsid w:val="007E25A1"/>
    <w:rsid w:val="007E2863"/>
    <w:rsid w:val="007E329A"/>
    <w:rsid w:val="007E395D"/>
    <w:rsid w:val="007E39D7"/>
    <w:rsid w:val="007E4214"/>
    <w:rsid w:val="007E4BD2"/>
    <w:rsid w:val="007E4D8B"/>
    <w:rsid w:val="007E5466"/>
    <w:rsid w:val="007E5606"/>
    <w:rsid w:val="007E59DB"/>
    <w:rsid w:val="007E5CDB"/>
    <w:rsid w:val="007E67F4"/>
    <w:rsid w:val="007E68A1"/>
    <w:rsid w:val="007E7145"/>
    <w:rsid w:val="007E7C2F"/>
    <w:rsid w:val="007F0439"/>
    <w:rsid w:val="007F0DDC"/>
    <w:rsid w:val="007F15C7"/>
    <w:rsid w:val="007F1720"/>
    <w:rsid w:val="007F243E"/>
    <w:rsid w:val="007F2595"/>
    <w:rsid w:val="007F2B35"/>
    <w:rsid w:val="007F2C70"/>
    <w:rsid w:val="007F2CA1"/>
    <w:rsid w:val="007F3543"/>
    <w:rsid w:val="007F38DA"/>
    <w:rsid w:val="007F3916"/>
    <w:rsid w:val="007F4285"/>
    <w:rsid w:val="007F42A9"/>
    <w:rsid w:val="007F4DAD"/>
    <w:rsid w:val="007F51FB"/>
    <w:rsid w:val="007F5526"/>
    <w:rsid w:val="007F58FE"/>
    <w:rsid w:val="007F5994"/>
    <w:rsid w:val="007F5BC4"/>
    <w:rsid w:val="007F606F"/>
    <w:rsid w:val="007F61BB"/>
    <w:rsid w:val="007F64AB"/>
    <w:rsid w:val="007F65E8"/>
    <w:rsid w:val="007F67D0"/>
    <w:rsid w:val="007F696B"/>
    <w:rsid w:val="007F712C"/>
    <w:rsid w:val="007F735E"/>
    <w:rsid w:val="007F7F51"/>
    <w:rsid w:val="00800974"/>
    <w:rsid w:val="00800D99"/>
    <w:rsid w:val="00800F24"/>
    <w:rsid w:val="00801000"/>
    <w:rsid w:val="00801179"/>
    <w:rsid w:val="0080126F"/>
    <w:rsid w:val="008013F4"/>
    <w:rsid w:val="008019FC"/>
    <w:rsid w:val="00801BBF"/>
    <w:rsid w:val="00802479"/>
    <w:rsid w:val="00802592"/>
    <w:rsid w:val="00802758"/>
    <w:rsid w:val="008028B1"/>
    <w:rsid w:val="00802D8F"/>
    <w:rsid w:val="008036E1"/>
    <w:rsid w:val="008037A4"/>
    <w:rsid w:val="00803F92"/>
    <w:rsid w:val="0080471F"/>
    <w:rsid w:val="00804786"/>
    <w:rsid w:val="00804AB7"/>
    <w:rsid w:val="00804F4E"/>
    <w:rsid w:val="00805372"/>
    <w:rsid w:val="00805559"/>
    <w:rsid w:val="00805664"/>
    <w:rsid w:val="00805B7B"/>
    <w:rsid w:val="00805E09"/>
    <w:rsid w:val="008063CC"/>
    <w:rsid w:val="008069BE"/>
    <w:rsid w:val="00806AA8"/>
    <w:rsid w:val="00807297"/>
    <w:rsid w:val="0080746F"/>
    <w:rsid w:val="00810024"/>
    <w:rsid w:val="0081064C"/>
    <w:rsid w:val="008109B1"/>
    <w:rsid w:val="008111EE"/>
    <w:rsid w:val="00811CD1"/>
    <w:rsid w:val="00812363"/>
    <w:rsid w:val="008124AD"/>
    <w:rsid w:val="008126D4"/>
    <w:rsid w:val="0081276F"/>
    <w:rsid w:val="0081293E"/>
    <w:rsid w:val="00812E08"/>
    <w:rsid w:val="008131A4"/>
    <w:rsid w:val="00813A39"/>
    <w:rsid w:val="00813FC7"/>
    <w:rsid w:val="00814539"/>
    <w:rsid w:val="00814FFB"/>
    <w:rsid w:val="00815494"/>
    <w:rsid w:val="00815878"/>
    <w:rsid w:val="00815DAA"/>
    <w:rsid w:val="00815F7E"/>
    <w:rsid w:val="0081612C"/>
    <w:rsid w:val="0081631C"/>
    <w:rsid w:val="008166A0"/>
    <w:rsid w:val="00816DC4"/>
    <w:rsid w:val="008171DB"/>
    <w:rsid w:val="0081730A"/>
    <w:rsid w:val="00817829"/>
    <w:rsid w:val="00817E6D"/>
    <w:rsid w:val="00820568"/>
    <w:rsid w:val="008205EE"/>
    <w:rsid w:val="008207C0"/>
    <w:rsid w:val="00821D0E"/>
    <w:rsid w:val="00821DEE"/>
    <w:rsid w:val="008220E6"/>
    <w:rsid w:val="00822C59"/>
    <w:rsid w:val="00822CDE"/>
    <w:rsid w:val="00823007"/>
    <w:rsid w:val="00823279"/>
    <w:rsid w:val="0082329F"/>
    <w:rsid w:val="00823306"/>
    <w:rsid w:val="00824376"/>
    <w:rsid w:val="00824440"/>
    <w:rsid w:val="0082470C"/>
    <w:rsid w:val="00824A1D"/>
    <w:rsid w:val="00824E7A"/>
    <w:rsid w:val="00825878"/>
    <w:rsid w:val="00825B72"/>
    <w:rsid w:val="008278EA"/>
    <w:rsid w:val="00827961"/>
    <w:rsid w:val="008279BC"/>
    <w:rsid w:val="0083022E"/>
    <w:rsid w:val="008310B1"/>
    <w:rsid w:val="00831A80"/>
    <w:rsid w:val="00831AB3"/>
    <w:rsid w:val="00831F56"/>
    <w:rsid w:val="0083212C"/>
    <w:rsid w:val="00832A6C"/>
    <w:rsid w:val="00832B65"/>
    <w:rsid w:val="00832EE9"/>
    <w:rsid w:val="008332C8"/>
    <w:rsid w:val="008333CD"/>
    <w:rsid w:val="00833513"/>
    <w:rsid w:val="00833743"/>
    <w:rsid w:val="008337BE"/>
    <w:rsid w:val="008340A4"/>
    <w:rsid w:val="008344A1"/>
    <w:rsid w:val="00834573"/>
    <w:rsid w:val="0083457E"/>
    <w:rsid w:val="00834E5E"/>
    <w:rsid w:val="0083505E"/>
    <w:rsid w:val="00835701"/>
    <w:rsid w:val="00835A0A"/>
    <w:rsid w:val="00836799"/>
    <w:rsid w:val="00837028"/>
    <w:rsid w:val="00837131"/>
    <w:rsid w:val="00837E0D"/>
    <w:rsid w:val="008400EF"/>
    <w:rsid w:val="00840F21"/>
    <w:rsid w:val="008416A1"/>
    <w:rsid w:val="00841A65"/>
    <w:rsid w:val="00841CB8"/>
    <w:rsid w:val="00841F5B"/>
    <w:rsid w:val="00842865"/>
    <w:rsid w:val="00842C1F"/>
    <w:rsid w:val="008436F2"/>
    <w:rsid w:val="00843D31"/>
    <w:rsid w:val="00843F1B"/>
    <w:rsid w:val="00844719"/>
    <w:rsid w:val="00844821"/>
    <w:rsid w:val="00844C9B"/>
    <w:rsid w:val="00844CC8"/>
    <w:rsid w:val="00844D2B"/>
    <w:rsid w:val="00844DD7"/>
    <w:rsid w:val="00844E47"/>
    <w:rsid w:val="00845CDE"/>
    <w:rsid w:val="00845F57"/>
    <w:rsid w:val="00846A0E"/>
    <w:rsid w:val="00846A15"/>
    <w:rsid w:val="00846C90"/>
    <w:rsid w:val="00846D88"/>
    <w:rsid w:val="0084709F"/>
    <w:rsid w:val="008473A5"/>
    <w:rsid w:val="00847903"/>
    <w:rsid w:val="00847941"/>
    <w:rsid w:val="00847CC7"/>
    <w:rsid w:val="0085030E"/>
    <w:rsid w:val="00850DFA"/>
    <w:rsid w:val="00850EB1"/>
    <w:rsid w:val="00851275"/>
    <w:rsid w:val="0085137B"/>
    <w:rsid w:val="00852198"/>
    <w:rsid w:val="008521E0"/>
    <w:rsid w:val="00852495"/>
    <w:rsid w:val="008525B0"/>
    <w:rsid w:val="00852BCD"/>
    <w:rsid w:val="00852E01"/>
    <w:rsid w:val="00852F49"/>
    <w:rsid w:val="00853101"/>
    <w:rsid w:val="0085356B"/>
    <w:rsid w:val="0085366E"/>
    <w:rsid w:val="00853692"/>
    <w:rsid w:val="00853881"/>
    <w:rsid w:val="0085459C"/>
    <w:rsid w:val="008546A8"/>
    <w:rsid w:val="00854AAC"/>
    <w:rsid w:val="0085506F"/>
    <w:rsid w:val="00855799"/>
    <w:rsid w:val="008557A7"/>
    <w:rsid w:val="008558EB"/>
    <w:rsid w:val="008559FC"/>
    <w:rsid w:val="00855B04"/>
    <w:rsid w:val="00855C9F"/>
    <w:rsid w:val="00856C4E"/>
    <w:rsid w:val="00856E3E"/>
    <w:rsid w:val="00857C16"/>
    <w:rsid w:val="00857F0E"/>
    <w:rsid w:val="00860722"/>
    <w:rsid w:val="008610BC"/>
    <w:rsid w:val="008611BC"/>
    <w:rsid w:val="008622EA"/>
    <w:rsid w:val="008625FC"/>
    <w:rsid w:val="00862648"/>
    <w:rsid w:val="0086274E"/>
    <w:rsid w:val="008639C7"/>
    <w:rsid w:val="00863D49"/>
    <w:rsid w:val="00864461"/>
    <w:rsid w:val="00864666"/>
    <w:rsid w:val="00864C33"/>
    <w:rsid w:val="008653B2"/>
    <w:rsid w:val="00865F7C"/>
    <w:rsid w:val="00866128"/>
    <w:rsid w:val="008666EC"/>
    <w:rsid w:val="00866801"/>
    <w:rsid w:val="008675A0"/>
    <w:rsid w:val="00867CBC"/>
    <w:rsid w:val="00867F3E"/>
    <w:rsid w:val="00867F9E"/>
    <w:rsid w:val="00870947"/>
    <w:rsid w:val="00870B2A"/>
    <w:rsid w:val="00870D64"/>
    <w:rsid w:val="0087110C"/>
    <w:rsid w:val="0087120F"/>
    <w:rsid w:val="0087154F"/>
    <w:rsid w:val="008715AE"/>
    <w:rsid w:val="0087197A"/>
    <w:rsid w:val="00872003"/>
    <w:rsid w:val="0087294D"/>
    <w:rsid w:val="008736BC"/>
    <w:rsid w:val="008752E9"/>
    <w:rsid w:val="008755EC"/>
    <w:rsid w:val="008757EB"/>
    <w:rsid w:val="0087588C"/>
    <w:rsid w:val="00875A30"/>
    <w:rsid w:val="00875B77"/>
    <w:rsid w:val="00875BC3"/>
    <w:rsid w:val="008762EF"/>
    <w:rsid w:val="00876345"/>
    <w:rsid w:val="00876AD9"/>
    <w:rsid w:val="00876C30"/>
    <w:rsid w:val="00877017"/>
    <w:rsid w:val="00877186"/>
    <w:rsid w:val="008773C0"/>
    <w:rsid w:val="00877478"/>
    <w:rsid w:val="00880364"/>
    <w:rsid w:val="008804C6"/>
    <w:rsid w:val="00880B09"/>
    <w:rsid w:val="0088143C"/>
    <w:rsid w:val="00881BEF"/>
    <w:rsid w:val="00882DF7"/>
    <w:rsid w:val="0088322A"/>
    <w:rsid w:val="008840F9"/>
    <w:rsid w:val="00884176"/>
    <w:rsid w:val="008845B4"/>
    <w:rsid w:val="00884682"/>
    <w:rsid w:val="008846C1"/>
    <w:rsid w:val="008849C9"/>
    <w:rsid w:val="008849DD"/>
    <w:rsid w:val="00884A48"/>
    <w:rsid w:val="00884B68"/>
    <w:rsid w:val="00884BAC"/>
    <w:rsid w:val="00884CCD"/>
    <w:rsid w:val="00886495"/>
    <w:rsid w:val="00886AF2"/>
    <w:rsid w:val="00886C4C"/>
    <w:rsid w:val="00887021"/>
    <w:rsid w:val="0088711C"/>
    <w:rsid w:val="0088797B"/>
    <w:rsid w:val="00887AD1"/>
    <w:rsid w:val="00887B27"/>
    <w:rsid w:val="008902AA"/>
    <w:rsid w:val="008903C3"/>
    <w:rsid w:val="00890860"/>
    <w:rsid w:val="00890A35"/>
    <w:rsid w:val="00890B26"/>
    <w:rsid w:val="008911AA"/>
    <w:rsid w:val="00891244"/>
    <w:rsid w:val="00891584"/>
    <w:rsid w:val="0089182C"/>
    <w:rsid w:val="00891AA3"/>
    <w:rsid w:val="00891E9D"/>
    <w:rsid w:val="00891F82"/>
    <w:rsid w:val="008920F5"/>
    <w:rsid w:val="008922F7"/>
    <w:rsid w:val="0089234C"/>
    <w:rsid w:val="008926AB"/>
    <w:rsid w:val="00892844"/>
    <w:rsid w:val="00892D35"/>
    <w:rsid w:val="00892ECF"/>
    <w:rsid w:val="00892F06"/>
    <w:rsid w:val="00892FA2"/>
    <w:rsid w:val="008930ED"/>
    <w:rsid w:val="008939D7"/>
    <w:rsid w:val="00893B7F"/>
    <w:rsid w:val="00893F45"/>
    <w:rsid w:val="00894007"/>
    <w:rsid w:val="00894285"/>
    <w:rsid w:val="00894718"/>
    <w:rsid w:val="008953B7"/>
    <w:rsid w:val="00895A55"/>
    <w:rsid w:val="00895C3A"/>
    <w:rsid w:val="008961AA"/>
    <w:rsid w:val="00896828"/>
    <w:rsid w:val="00896E98"/>
    <w:rsid w:val="00897123"/>
    <w:rsid w:val="008972E9"/>
    <w:rsid w:val="00897330"/>
    <w:rsid w:val="00897566"/>
    <w:rsid w:val="008A037E"/>
    <w:rsid w:val="008A0DE4"/>
    <w:rsid w:val="008A0E43"/>
    <w:rsid w:val="008A0EA8"/>
    <w:rsid w:val="008A106A"/>
    <w:rsid w:val="008A1287"/>
    <w:rsid w:val="008A15B7"/>
    <w:rsid w:val="008A1E25"/>
    <w:rsid w:val="008A1FAD"/>
    <w:rsid w:val="008A28EE"/>
    <w:rsid w:val="008A300D"/>
    <w:rsid w:val="008A327F"/>
    <w:rsid w:val="008A40AE"/>
    <w:rsid w:val="008A4200"/>
    <w:rsid w:val="008A4E19"/>
    <w:rsid w:val="008A5A16"/>
    <w:rsid w:val="008A5CF4"/>
    <w:rsid w:val="008A67C5"/>
    <w:rsid w:val="008A7076"/>
    <w:rsid w:val="008B05C6"/>
    <w:rsid w:val="008B0C2C"/>
    <w:rsid w:val="008B0F41"/>
    <w:rsid w:val="008B1003"/>
    <w:rsid w:val="008B16C3"/>
    <w:rsid w:val="008B1980"/>
    <w:rsid w:val="008B22E1"/>
    <w:rsid w:val="008B26CC"/>
    <w:rsid w:val="008B2797"/>
    <w:rsid w:val="008B3421"/>
    <w:rsid w:val="008B3C24"/>
    <w:rsid w:val="008B3C78"/>
    <w:rsid w:val="008B3E69"/>
    <w:rsid w:val="008B44EC"/>
    <w:rsid w:val="008B4AE9"/>
    <w:rsid w:val="008B4FBC"/>
    <w:rsid w:val="008B51E1"/>
    <w:rsid w:val="008B67A9"/>
    <w:rsid w:val="008B6B03"/>
    <w:rsid w:val="008B70E5"/>
    <w:rsid w:val="008B75DC"/>
    <w:rsid w:val="008B7C0C"/>
    <w:rsid w:val="008C2BA5"/>
    <w:rsid w:val="008C2E00"/>
    <w:rsid w:val="008C30AD"/>
    <w:rsid w:val="008C35A9"/>
    <w:rsid w:val="008C3FD9"/>
    <w:rsid w:val="008C43CD"/>
    <w:rsid w:val="008C4C9E"/>
    <w:rsid w:val="008C52C4"/>
    <w:rsid w:val="008C54A2"/>
    <w:rsid w:val="008C5E60"/>
    <w:rsid w:val="008C5EB9"/>
    <w:rsid w:val="008C6C64"/>
    <w:rsid w:val="008C6E6D"/>
    <w:rsid w:val="008C7AE8"/>
    <w:rsid w:val="008C7EA6"/>
    <w:rsid w:val="008D0449"/>
    <w:rsid w:val="008D068E"/>
    <w:rsid w:val="008D0F7A"/>
    <w:rsid w:val="008D114B"/>
    <w:rsid w:val="008D1615"/>
    <w:rsid w:val="008D283D"/>
    <w:rsid w:val="008D2C98"/>
    <w:rsid w:val="008D304D"/>
    <w:rsid w:val="008D3A94"/>
    <w:rsid w:val="008D4A79"/>
    <w:rsid w:val="008D5365"/>
    <w:rsid w:val="008D53A8"/>
    <w:rsid w:val="008D5F96"/>
    <w:rsid w:val="008D63BE"/>
    <w:rsid w:val="008D6481"/>
    <w:rsid w:val="008D65F2"/>
    <w:rsid w:val="008D6D51"/>
    <w:rsid w:val="008D75D0"/>
    <w:rsid w:val="008D7915"/>
    <w:rsid w:val="008D7FDA"/>
    <w:rsid w:val="008E0243"/>
    <w:rsid w:val="008E0CFF"/>
    <w:rsid w:val="008E1CA3"/>
    <w:rsid w:val="008E3354"/>
    <w:rsid w:val="008E3793"/>
    <w:rsid w:val="008E3F21"/>
    <w:rsid w:val="008E3F65"/>
    <w:rsid w:val="008E3FB0"/>
    <w:rsid w:val="008E49CA"/>
    <w:rsid w:val="008E535E"/>
    <w:rsid w:val="008E571B"/>
    <w:rsid w:val="008E5982"/>
    <w:rsid w:val="008E5D6B"/>
    <w:rsid w:val="008E6382"/>
    <w:rsid w:val="008E689B"/>
    <w:rsid w:val="008E6BDF"/>
    <w:rsid w:val="008E73A2"/>
    <w:rsid w:val="008E76F0"/>
    <w:rsid w:val="008E7BE5"/>
    <w:rsid w:val="008E7F6C"/>
    <w:rsid w:val="008F064E"/>
    <w:rsid w:val="008F0857"/>
    <w:rsid w:val="008F099F"/>
    <w:rsid w:val="008F09C8"/>
    <w:rsid w:val="008F0EE6"/>
    <w:rsid w:val="008F12FA"/>
    <w:rsid w:val="008F1348"/>
    <w:rsid w:val="008F15FE"/>
    <w:rsid w:val="008F1689"/>
    <w:rsid w:val="008F2A94"/>
    <w:rsid w:val="008F3869"/>
    <w:rsid w:val="008F38B2"/>
    <w:rsid w:val="008F4D36"/>
    <w:rsid w:val="008F4E07"/>
    <w:rsid w:val="008F5047"/>
    <w:rsid w:val="008F5185"/>
    <w:rsid w:val="008F5187"/>
    <w:rsid w:val="008F5B79"/>
    <w:rsid w:val="008F5CF8"/>
    <w:rsid w:val="008F60CE"/>
    <w:rsid w:val="008F6E47"/>
    <w:rsid w:val="008F709C"/>
    <w:rsid w:val="008F7313"/>
    <w:rsid w:val="008F754C"/>
    <w:rsid w:val="008F7916"/>
    <w:rsid w:val="008F7B57"/>
    <w:rsid w:val="008F7DBA"/>
    <w:rsid w:val="008F7EED"/>
    <w:rsid w:val="00900844"/>
    <w:rsid w:val="009009C9"/>
    <w:rsid w:val="009014D4"/>
    <w:rsid w:val="009017D5"/>
    <w:rsid w:val="009018F7"/>
    <w:rsid w:val="00901BE9"/>
    <w:rsid w:val="00901C84"/>
    <w:rsid w:val="0090216B"/>
    <w:rsid w:val="009021C1"/>
    <w:rsid w:val="00902C00"/>
    <w:rsid w:val="00902D16"/>
    <w:rsid w:val="00902DB3"/>
    <w:rsid w:val="0090312B"/>
    <w:rsid w:val="009032F1"/>
    <w:rsid w:val="00903AB1"/>
    <w:rsid w:val="00903B5B"/>
    <w:rsid w:val="00903DE6"/>
    <w:rsid w:val="0090438C"/>
    <w:rsid w:val="009043FC"/>
    <w:rsid w:val="00904457"/>
    <w:rsid w:val="00904592"/>
    <w:rsid w:val="00904961"/>
    <w:rsid w:val="00904DCD"/>
    <w:rsid w:val="009051ED"/>
    <w:rsid w:val="00905221"/>
    <w:rsid w:val="009053A8"/>
    <w:rsid w:val="0090548D"/>
    <w:rsid w:val="0090574C"/>
    <w:rsid w:val="0090581F"/>
    <w:rsid w:val="009066E6"/>
    <w:rsid w:val="00907090"/>
    <w:rsid w:val="0090775C"/>
    <w:rsid w:val="009078E0"/>
    <w:rsid w:val="009079D3"/>
    <w:rsid w:val="009100DA"/>
    <w:rsid w:val="00910673"/>
    <w:rsid w:val="009109D9"/>
    <w:rsid w:val="00910B8E"/>
    <w:rsid w:val="0091149C"/>
    <w:rsid w:val="009118D4"/>
    <w:rsid w:val="00911E46"/>
    <w:rsid w:val="009120ED"/>
    <w:rsid w:val="00912416"/>
    <w:rsid w:val="009127E9"/>
    <w:rsid w:val="00912C99"/>
    <w:rsid w:val="00913293"/>
    <w:rsid w:val="00913412"/>
    <w:rsid w:val="0091391F"/>
    <w:rsid w:val="009147BA"/>
    <w:rsid w:val="00914F47"/>
    <w:rsid w:val="00915125"/>
    <w:rsid w:val="009155C3"/>
    <w:rsid w:val="00915AFD"/>
    <w:rsid w:val="00915BA2"/>
    <w:rsid w:val="009164A6"/>
    <w:rsid w:val="0091681A"/>
    <w:rsid w:val="0091699C"/>
    <w:rsid w:val="00916DBF"/>
    <w:rsid w:val="00917346"/>
    <w:rsid w:val="0091736D"/>
    <w:rsid w:val="009204E6"/>
    <w:rsid w:val="00920968"/>
    <w:rsid w:val="00920AE9"/>
    <w:rsid w:val="0092145A"/>
    <w:rsid w:val="00921801"/>
    <w:rsid w:val="00921D55"/>
    <w:rsid w:val="0092278A"/>
    <w:rsid w:val="00922870"/>
    <w:rsid w:val="00923492"/>
    <w:rsid w:val="009235FA"/>
    <w:rsid w:val="00925A3F"/>
    <w:rsid w:val="00925CB2"/>
    <w:rsid w:val="00926AE0"/>
    <w:rsid w:val="00926B27"/>
    <w:rsid w:val="009273CA"/>
    <w:rsid w:val="00927442"/>
    <w:rsid w:val="009275EB"/>
    <w:rsid w:val="009303A3"/>
    <w:rsid w:val="00930DE5"/>
    <w:rsid w:val="00931001"/>
    <w:rsid w:val="0093172F"/>
    <w:rsid w:val="00931863"/>
    <w:rsid w:val="009319CF"/>
    <w:rsid w:val="00931A21"/>
    <w:rsid w:val="00931D9F"/>
    <w:rsid w:val="00932DAB"/>
    <w:rsid w:val="0093302E"/>
    <w:rsid w:val="00933524"/>
    <w:rsid w:val="00933B19"/>
    <w:rsid w:val="00934A04"/>
    <w:rsid w:val="009352A4"/>
    <w:rsid w:val="0093577F"/>
    <w:rsid w:val="00935AA0"/>
    <w:rsid w:val="0093636A"/>
    <w:rsid w:val="00936AF1"/>
    <w:rsid w:val="00936ECD"/>
    <w:rsid w:val="009374B9"/>
    <w:rsid w:val="009379BB"/>
    <w:rsid w:val="00940F94"/>
    <w:rsid w:val="009410EB"/>
    <w:rsid w:val="00941937"/>
    <w:rsid w:val="00941DC2"/>
    <w:rsid w:val="00942788"/>
    <w:rsid w:val="0094278D"/>
    <w:rsid w:val="009429AB"/>
    <w:rsid w:val="00942A24"/>
    <w:rsid w:val="00942BCF"/>
    <w:rsid w:val="009434E5"/>
    <w:rsid w:val="00943618"/>
    <w:rsid w:val="00943873"/>
    <w:rsid w:val="00944123"/>
    <w:rsid w:val="00944624"/>
    <w:rsid w:val="00945A92"/>
    <w:rsid w:val="00945B73"/>
    <w:rsid w:val="0094612E"/>
    <w:rsid w:val="009463F4"/>
    <w:rsid w:val="009464D4"/>
    <w:rsid w:val="0094679D"/>
    <w:rsid w:val="00946A4B"/>
    <w:rsid w:val="00946E3E"/>
    <w:rsid w:val="0094722C"/>
    <w:rsid w:val="0094752A"/>
    <w:rsid w:val="009475A8"/>
    <w:rsid w:val="00947758"/>
    <w:rsid w:val="0095002E"/>
    <w:rsid w:val="00950269"/>
    <w:rsid w:val="009502A2"/>
    <w:rsid w:val="00950346"/>
    <w:rsid w:val="009503B7"/>
    <w:rsid w:val="009504BD"/>
    <w:rsid w:val="009504BF"/>
    <w:rsid w:val="00950A30"/>
    <w:rsid w:val="00950C62"/>
    <w:rsid w:val="00950F89"/>
    <w:rsid w:val="009519DD"/>
    <w:rsid w:val="00951AFE"/>
    <w:rsid w:val="00952BC3"/>
    <w:rsid w:val="00952E7B"/>
    <w:rsid w:val="0095308A"/>
    <w:rsid w:val="00953443"/>
    <w:rsid w:val="00953B1F"/>
    <w:rsid w:val="00954357"/>
    <w:rsid w:val="0095451B"/>
    <w:rsid w:val="00954B57"/>
    <w:rsid w:val="009550EA"/>
    <w:rsid w:val="00955AEE"/>
    <w:rsid w:val="00955FD2"/>
    <w:rsid w:val="0095647B"/>
    <w:rsid w:val="00956F14"/>
    <w:rsid w:val="0095734E"/>
    <w:rsid w:val="00957FA0"/>
    <w:rsid w:val="00960264"/>
    <w:rsid w:val="0096044B"/>
    <w:rsid w:val="00960572"/>
    <w:rsid w:val="0096170C"/>
    <w:rsid w:val="00961C02"/>
    <w:rsid w:val="009620FD"/>
    <w:rsid w:val="0096229C"/>
    <w:rsid w:val="0096247A"/>
    <w:rsid w:val="00962AFE"/>
    <w:rsid w:val="00962ED4"/>
    <w:rsid w:val="009631DF"/>
    <w:rsid w:val="00963258"/>
    <w:rsid w:val="00963609"/>
    <w:rsid w:val="00964671"/>
    <w:rsid w:val="00964BFC"/>
    <w:rsid w:val="00964C14"/>
    <w:rsid w:val="00964DE6"/>
    <w:rsid w:val="00964E1C"/>
    <w:rsid w:val="009650A0"/>
    <w:rsid w:val="00965437"/>
    <w:rsid w:val="009655E0"/>
    <w:rsid w:val="009657F2"/>
    <w:rsid w:val="00965F4B"/>
    <w:rsid w:val="009677EC"/>
    <w:rsid w:val="009679FB"/>
    <w:rsid w:val="009700F5"/>
    <w:rsid w:val="00970968"/>
    <w:rsid w:val="00970E21"/>
    <w:rsid w:val="00970F8A"/>
    <w:rsid w:val="00971727"/>
    <w:rsid w:val="00971A80"/>
    <w:rsid w:val="00971A83"/>
    <w:rsid w:val="00971FB5"/>
    <w:rsid w:val="009723D4"/>
    <w:rsid w:val="00972B40"/>
    <w:rsid w:val="00972D2A"/>
    <w:rsid w:val="00972D4D"/>
    <w:rsid w:val="00973381"/>
    <w:rsid w:val="00973F07"/>
    <w:rsid w:val="009745F1"/>
    <w:rsid w:val="0097461E"/>
    <w:rsid w:val="00974B48"/>
    <w:rsid w:val="00974FDD"/>
    <w:rsid w:val="0097522E"/>
    <w:rsid w:val="00975CC5"/>
    <w:rsid w:val="00975D14"/>
    <w:rsid w:val="00975EBA"/>
    <w:rsid w:val="00976328"/>
    <w:rsid w:val="00976603"/>
    <w:rsid w:val="00976B4E"/>
    <w:rsid w:val="0097700F"/>
    <w:rsid w:val="00977882"/>
    <w:rsid w:val="00977CFB"/>
    <w:rsid w:val="00977ED9"/>
    <w:rsid w:val="009802FC"/>
    <w:rsid w:val="00980EA5"/>
    <w:rsid w:val="009814DA"/>
    <w:rsid w:val="0098230C"/>
    <w:rsid w:val="009825C9"/>
    <w:rsid w:val="00982876"/>
    <w:rsid w:val="00982AA1"/>
    <w:rsid w:val="00982BED"/>
    <w:rsid w:val="00982E1B"/>
    <w:rsid w:val="00982F9F"/>
    <w:rsid w:val="0098315B"/>
    <w:rsid w:val="00983438"/>
    <w:rsid w:val="00983D80"/>
    <w:rsid w:val="00984458"/>
    <w:rsid w:val="0098445F"/>
    <w:rsid w:val="0098467C"/>
    <w:rsid w:val="00984D5A"/>
    <w:rsid w:val="00985283"/>
    <w:rsid w:val="009854BA"/>
    <w:rsid w:val="00985920"/>
    <w:rsid w:val="0098601D"/>
    <w:rsid w:val="00986089"/>
    <w:rsid w:val="009862C6"/>
    <w:rsid w:val="00987322"/>
    <w:rsid w:val="00987436"/>
    <w:rsid w:val="009874DE"/>
    <w:rsid w:val="009901DC"/>
    <w:rsid w:val="00990D98"/>
    <w:rsid w:val="00990E57"/>
    <w:rsid w:val="00990E9C"/>
    <w:rsid w:val="009913F6"/>
    <w:rsid w:val="009914C8"/>
    <w:rsid w:val="00991785"/>
    <w:rsid w:val="009917E2"/>
    <w:rsid w:val="00991938"/>
    <w:rsid w:val="00991E49"/>
    <w:rsid w:val="00991E7C"/>
    <w:rsid w:val="009922B4"/>
    <w:rsid w:val="00992C7A"/>
    <w:rsid w:val="00992D5D"/>
    <w:rsid w:val="00992E69"/>
    <w:rsid w:val="00993E85"/>
    <w:rsid w:val="0099516C"/>
    <w:rsid w:val="0099547D"/>
    <w:rsid w:val="00995A61"/>
    <w:rsid w:val="00995BF3"/>
    <w:rsid w:val="00996055"/>
    <w:rsid w:val="00996A3C"/>
    <w:rsid w:val="00996CB2"/>
    <w:rsid w:val="00997FEA"/>
    <w:rsid w:val="009A0271"/>
    <w:rsid w:val="009A0298"/>
    <w:rsid w:val="009A0544"/>
    <w:rsid w:val="009A0F3B"/>
    <w:rsid w:val="009A1B55"/>
    <w:rsid w:val="009A1F16"/>
    <w:rsid w:val="009A2480"/>
    <w:rsid w:val="009A2542"/>
    <w:rsid w:val="009A2BE5"/>
    <w:rsid w:val="009A2D03"/>
    <w:rsid w:val="009A2D5A"/>
    <w:rsid w:val="009A3947"/>
    <w:rsid w:val="009A3D4A"/>
    <w:rsid w:val="009A4396"/>
    <w:rsid w:val="009A44ED"/>
    <w:rsid w:val="009A4F07"/>
    <w:rsid w:val="009A5863"/>
    <w:rsid w:val="009A6202"/>
    <w:rsid w:val="009A62D6"/>
    <w:rsid w:val="009A6327"/>
    <w:rsid w:val="009A6D93"/>
    <w:rsid w:val="009A71E4"/>
    <w:rsid w:val="009A72C7"/>
    <w:rsid w:val="009A72E8"/>
    <w:rsid w:val="009A74F9"/>
    <w:rsid w:val="009B036F"/>
    <w:rsid w:val="009B0788"/>
    <w:rsid w:val="009B0897"/>
    <w:rsid w:val="009B0FA0"/>
    <w:rsid w:val="009B1F79"/>
    <w:rsid w:val="009B2471"/>
    <w:rsid w:val="009B2886"/>
    <w:rsid w:val="009B32DD"/>
    <w:rsid w:val="009B36A1"/>
    <w:rsid w:val="009B39E9"/>
    <w:rsid w:val="009B4A70"/>
    <w:rsid w:val="009B4C19"/>
    <w:rsid w:val="009B4D9A"/>
    <w:rsid w:val="009B4F0C"/>
    <w:rsid w:val="009B56C1"/>
    <w:rsid w:val="009B6C2F"/>
    <w:rsid w:val="009B6F5D"/>
    <w:rsid w:val="009B71F7"/>
    <w:rsid w:val="009C076D"/>
    <w:rsid w:val="009C0821"/>
    <w:rsid w:val="009C0F2A"/>
    <w:rsid w:val="009C16B3"/>
    <w:rsid w:val="009C1BBB"/>
    <w:rsid w:val="009C1C00"/>
    <w:rsid w:val="009C2086"/>
    <w:rsid w:val="009C258C"/>
    <w:rsid w:val="009C2765"/>
    <w:rsid w:val="009C283D"/>
    <w:rsid w:val="009C2A72"/>
    <w:rsid w:val="009C5D25"/>
    <w:rsid w:val="009C5F02"/>
    <w:rsid w:val="009C5F43"/>
    <w:rsid w:val="009C6006"/>
    <w:rsid w:val="009C67BF"/>
    <w:rsid w:val="009C6858"/>
    <w:rsid w:val="009C6933"/>
    <w:rsid w:val="009C7618"/>
    <w:rsid w:val="009C7B5D"/>
    <w:rsid w:val="009D00AB"/>
    <w:rsid w:val="009D035B"/>
    <w:rsid w:val="009D0852"/>
    <w:rsid w:val="009D134B"/>
    <w:rsid w:val="009D152C"/>
    <w:rsid w:val="009D1879"/>
    <w:rsid w:val="009D1D3C"/>
    <w:rsid w:val="009D1FBF"/>
    <w:rsid w:val="009D2DBC"/>
    <w:rsid w:val="009D32F9"/>
    <w:rsid w:val="009D38D0"/>
    <w:rsid w:val="009D3F12"/>
    <w:rsid w:val="009D3FB0"/>
    <w:rsid w:val="009D416E"/>
    <w:rsid w:val="009D42D9"/>
    <w:rsid w:val="009D4887"/>
    <w:rsid w:val="009D4C2A"/>
    <w:rsid w:val="009D5094"/>
    <w:rsid w:val="009D50DC"/>
    <w:rsid w:val="009D5185"/>
    <w:rsid w:val="009D5BD8"/>
    <w:rsid w:val="009D6433"/>
    <w:rsid w:val="009D657B"/>
    <w:rsid w:val="009D6D64"/>
    <w:rsid w:val="009D7198"/>
    <w:rsid w:val="009D7FB6"/>
    <w:rsid w:val="009E00FC"/>
    <w:rsid w:val="009E1837"/>
    <w:rsid w:val="009E1855"/>
    <w:rsid w:val="009E185A"/>
    <w:rsid w:val="009E1E27"/>
    <w:rsid w:val="009E2318"/>
    <w:rsid w:val="009E2A0B"/>
    <w:rsid w:val="009E2A7A"/>
    <w:rsid w:val="009E399C"/>
    <w:rsid w:val="009E39A2"/>
    <w:rsid w:val="009E3B99"/>
    <w:rsid w:val="009E43C1"/>
    <w:rsid w:val="009E4C76"/>
    <w:rsid w:val="009E5A91"/>
    <w:rsid w:val="009E5C8B"/>
    <w:rsid w:val="009E60ED"/>
    <w:rsid w:val="009E686B"/>
    <w:rsid w:val="009E6AC4"/>
    <w:rsid w:val="009E751C"/>
    <w:rsid w:val="009E7A76"/>
    <w:rsid w:val="009E7E95"/>
    <w:rsid w:val="009F0A95"/>
    <w:rsid w:val="009F116F"/>
    <w:rsid w:val="009F136B"/>
    <w:rsid w:val="009F15A0"/>
    <w:rsid w:val="009F299C"/>
    <w:rsid w:val="009F2AA2"/>
    <w:rsid w:val="009F329E"/>
    <w:rsid w:val="009F373A"/>
    <w:rsid w:val="009F3941"/>
    <w:rsid w:val="009F39FA"/>
    <w:rsid w:val="009F4DC4"/>
    <w:rsid w:val="009F4DC7"/>
    <w:rsid w:val="009F4E8B"/>
    <w:rsid w:val="009F599E"/>
    <w:rsid w:val="009F60F8"/>
    <w:rsid w:val="009F6405"/>
    <w:rsid w:val="009F6716"/>
    <w:rsid w:val="009F6A05"/>
    <w:rsid w:val="009F6F25"/>
    <w:rsid w:val="009F7358"/>
    <w:rsid w:val="009F781C"/>
    <w:rsid w:val="009F7ED3"/>
    <w:rsid w:val="009F7F61"/>
    <w:rsid w:val="00A00E6E"/>
    <w:rsid w:val="00A0106E"/>
    <w:rsid w:val="00A01148"/>
    <w:rsid w:val="00A017A6"/>
    <w:rsid w:val="00A01E60"/>
    <w:rsid w:val="00A02057"/>
    <w:rsid w:val="00A02CFC"/>
    <w:rsid w:val="00A030B8"/>
    <w:rsid w:val="00A03607"/>
    <w:rsid w:val="00A0423F"/>
    <w:rsid w:val="00A047FF"/>
    <w:rsid w:val="00A04997"/>
    <w:rsid w:val="00A04FA2"/>
    <w:rsid w:val="00A04FEF"/>
    <w:rsid w:val="00A05383"/>
    <w:rsid w:val="00A05396"/>
    <w:rsid w:val="00A061EE"/>
    <w:rsid w:val="00A06BBA"/>
    <w:rsid w:val="00A076F1"/>
    <w:rsid w:val="00A0799B"/>
    <w:rsid w:val="00A07C09"/>
    <w:rsid w:val="00A10051"/>
    <w:rsid w:val="00A10104"/>
    <w:rsid w:val="00A10271"/>
    <w:rsid w:val="00A1064B"/>
    <w:rsid w:val="00A1083B"/>
    <w:rsid w:val="00A10DB3"/>
    <w:rsid w:val="00A11068"/>
    <w:rsid w:val="00A11395"/>
    <w:rsid w:val="00A1142C"/>
    <w:rsid w:val="00A116B0"/>
    <w:rsid w:val="00A1197E"/>
    <w:rsid w:val="00A121C2"/>
    <w:rsid w:val="00A122CD"/>
    <w:rsid w:val="00A12A32"/>
    <w:rsid w:val="00A12A36"/>
    <w:rsid w:val="00A132AF"/>
    <w:rsid w:val="00A1358E"/>
    <w:rsid w:val="00A13697"/>
    <w:rsid w:val="00A14248"/>
    <w:rsid w:val="00A14352"/>
    <w:rsid w:val="00A14947"/>
    <w:rsid w:val="00A14A49"/>
    <w:rsid w:val="00A150D3"/>
    <w:rsid w:val="00A15140"/>
    <w:rsid w:val="00A15FCE"/>
    <w:rsid w:val="00A16482"/>
    <w:rsid w:val="00A16AC2"/>
    <w:rsid w:val="00A171BE"/>
    <w:rsid w:val="00A17513"/>
    <w:rsid w:val="00A17C3F"/>
    <w:rsid w:val="00A201E5"/>
    <w:rsid w:val="00A204F3"/>
    <w:rsid w:val="00A205C7"/>
    <w:rsid w:val="00A20873"/>
    <w:rsid w:val="00A20925"/>
    <w:rsid w:val="00A20BD7"/>
    <w:rsid w:val="00A2162D"/>
    <w:rsid w:val="00A2185C"/>
    <w:rsid w:val="00A21DB7"/>
    <w:rsid w:val="00A21FAC"/>
    <w:rsid w:val="00A2241A"/>
    <w:rsid w:val="00A22BC4"/>
    <w:rsid w:val="00A22DAA"/>
    <w:rsid w:val="00A22DE8"/>
    <w:rsid w:val="00A230F8"/>
    <w:rsid w:val="00A23967"/>
    <w:rsid w:val="00A23ADE"/>
    <w:rsid w:val="00A23DC5"/>
    <w:rsid w:val="00A245E4"/>
    <w:rsid w:val="00A24765"/>
    <w:rsid w:val="00A2479D"/>
    <w:rsid w:val="00A24EB4"/>
    <w:rsid w:val="00A2548C"/>
    <w:rsid w:val="00A26521"/>
    <w:rsid w:val="00A27004"/>
    <w:rsid w:val="00A2718C"/>
    <w:rsid w:val="00A27321"/>
    <w:rsid w:val="00A275A0"/>
    <w:rsid w:val="00A278B3"/>
    <w:rsid w:val="00A27B13"/>
    <w:rsid w:val="00A27C16"/>
    <w:rsid w:val="00A27C81"/>
    <w:rsid w:val="00A306F1"/>
    <w:rsid w:val="00A30E28"/>
    <w:rsid w:val="00A31791"/>
    <w:rsid w:val="00A31C9A"/>
    <w:rsid w:val="00A31F52"/>
    <w:rsid w:val="00A322B4"/>
    <w:rsid w:val="00A32B2A"/>
    <w:rsid w:val="00A32BC1"/>
    <w:rsid w:val="00A32F27"/>
    <w:rsid w:val="00A3308A"/>
    <w:rsid w:val="00A33437"/>
    <w:rsid w:val="00A34028"/>
    <w:rsid w:val="00A340A5"/>
    <w:rsid w:val="00A3413D"/>
    <w:rsid w:val="00A341E2"/>
    <w:rsid w:val="00A34776"/>
    <w:rsid w:val="00A348A1"/>
    <w:rsid w:val="00A34BC4"/>
    <w:rsid w:val="00A34C17"/>
    <w:rsid w:val="00A3519D"/>
    <w:rsid w:val="00A3523D"/>
    <w:rsid w:val="00A35568"/>
    <w:rsid w:val="00A35800"/>
    <w:rsid w:val="00A362CF"/>
    <w:rsid w:val="00A36686"/>
    <w:rsid w:val="00A366EE"/>
    <w:rsid w:val="00A36911"/>
    <w:rsid w:val="00A36F1C"/>
    <w:rsid w:val="00A37056"/>
    <w:rsid w:val="00A373AB"/>
    <w:rsid w:val="00A37EDF"/>
    <w:rsid w:val="00A4043F"/>
    <w:rsid w:val="00A405B2"/>
    <w:rsid w:val="00A40D10"/>
    <w:rsid w:val="00A40D7F"/>
    <w:rsid w:val="00A41606"/>
    <w:rsid w:val="00A41EFE"/>
    <w:rsid w:val="00A42115"/>
    <w:rsid w:val="00A421A4"/>
    <w:rsid w:val="00A4274F"/>
    <w:rsid w:val="00A4358F"/>
    <w:rsid w:val="00A43B2D"/>
    <w:rsid w:val="00A43BE4"/>
    <w:rsid w:val="00A43C27"/>
    <w:rsid w:val="00A43F91"/>
    <w:rsid w:val="00A44F28"/>
    <w:rsid w:val="00A44F6D"/>
    <w:rsid w:val="00A45A85"/>
    <w:rsid w:val="00A45ACD"/>
    <w:rsid w:val="00A45C0A"/>
    <w:rsid w:val="00A460B6"/>
    <w:rsid w:val="00A46EC0"/>
    <w:rsid w:val="00A46F67"/>
    <w:rsid w:val="00A46FF3"/>
    <w:rsid w:val="00A479FD"/>
    <w:rsid w:val="00A50845"/>
    <w:rsid w:val="00A51438"/>
    <w:rsid w:val="00A516EB"/>
    <w:rsid w:val="00A51B8C"/>
    <w:rsid w:val="00A51BE1"/>
    <w:rsid w:val="00A51C36"/>
    <w:rsid w:val="00A52DD5"/>
    <w:rsid w:val="00A52EAA"/>
    <w:rsid w:val="00A53137"/>
    <w:rsid w:val="00A532A7"/>
    <w:rsid w:val="00A53B90"/>
    <w:rsid w:val="00A53F30"/>
    <w:rsid w:val="00A540BB"/>
    <w:rsid w:val="00A542DD"/>
    <w:rsid w:val="00A54373"/>
    <w:rsid w:val="00A54AA1"/>
    <w:rsid w:val="00A54FC2"/>
    <w:rsid w:val="00A55029"/>
    <w:rsid w:val="00A55650"/>
    <w:rsid w:val="00A5647F"/>
    <w:rsid w:val="00A568FF"/>
    <w:rsid w:val="00A57783"/>
    <w:rsid w:val="00A57E09"/>
    <w:rsid w:val="00A60103"/>
    <w:rsid w:val="00A6034F"/>
    <w:rsid w:val="00A60A19"/>
    <w:rsid w:val="00A60F7A"/>
    <w:rsid w:val="00A61496"/>
    <w:rsid w:val="00A617CE"/>
    <w:rsid w:val="00A61833"/>
    <w:rsid w:val="00A61DAC"/>
    <w:rsid w:val="00A62264"/>
    <w:rsid w:val="00A62410"/>
    <w:rsid w:val="00A624C6"/>
    <w:rsid w:val="00A62E23"/>
    <w:rsid w:val="00A6307F"/>
    <w:rsid w:val="00A6314D"/>
    <w:rsid w:val="00A6317E"/>
    <w:rsid w:val="00A634A8"/>
    <w:rsid w:val="00A63CEC"/>
    <w:rsid w:val="00A63F8E"/>
    <w:rsid w:val="00A64277"/>
    <w:rsid w:val="00A6441B"/>
    <w:rsid w:val="00A645E7"/>
    <w:rsid w:val="00A64B20"/>
    <w:rsid w:val="00A64F77"/>
    <w:rsid w:val="00A65315"/>
    <w:rsid w:val="00A65812"/>
    <w:rsid w:val="00A66162"/>
    <w:rsid w:val="00A6649F"/>
    <w:rsid w:val="00A669CF"/>
    <w:rsid w:val="00A66DC2"/>
    <w:rsid w:val="00A67260"/>
    <w:rsid w:val="00A67CCE"/>
    <w:rsid w:val="00A67DE5"/>
    <w:rsid w:val="00A7031E"/>
    <w:rsid w:val="00A70427"/>
    <w:rsid w:val="00A707BE"/>
    <w:rsid w:val="00A70AB1"/>
    <w:rsid w:val="00A70F78"/>
    <w:rsid w:val="00A7131E"/>
    <w:rsid w:val="00A713C6"/>
    <w:rsid w:val="00A713ED"/>
    <w:rsid w:val="00A7142F"/>
    <w:rsid w:val="00A71446"/>
    <w:rsid w:val="00A71F70"/>
    <w:rsid w:val="00A723B6"/>
    <w:rsid w:val="00A7261E"/>
    <w:rsid w:val="00A726BF"/>
    <w:rsid w:val="00A728B1"/>
    <w:rsid w:val="00A72B31"/>
    <w:rsid w:val="00A73590"/>
    <w:rsid w:val="00A73605"/>
    <w:rsid w:val="00A741A6"/>
    <w:rsid w:val="00A74418"/>
    <w:rsid w:val="00A74A98"/>
    <w:rsid w:val="00A74D41"/>
    <w:rsid w:val="00A74F35"/>
    <w:rsid w:val="00A759CD"/>
    <w:rsid w:val="00A75F7B"/>
    <w:rsid w:val="00A76261"/>
    <w:rsid w:val="00A762E3"/>
    <w:rsid w:val="00A763DE"/>
    <w:rsid w:val="00A77D4F"/>
    <w:rsid w:val="00A80342"/>
    <w:rsid w:val="00A803D6"/>
    <w:rsid w:val="00A80AA4"/>
    <w:rsid w:val="00A811EC"/>
    <w:rsid w:val="00A81282"/>
    <w:rsid w:val="00A81420"/>
    <w:rsid w:val="00A8175E"/>
    <w:rsid w:val="00A81BFC"/>
    <w:rsid w:val="00A83122"/>
    <w:rsid w:val="00A83D51"/>
    <w:rsid w:val="00A83D8D"/>
    <w:rsid w:val="00A84595"/>
    <w:rsid w:val="00A84D6C"/>
    <w:rsid w:val="00A85A55"/>
    <w:rsid w:val="00A85D64"/>
    <w:rsid w:val="00A8668B"/>
    <w:rsid w:val="00A86A92"/>
    <w:rsid w:val="00A86AFB"/>
    <w:rsid w:val="00A8713F"/>
    <w:rsid w:val="00A87B4B"/>
    <w:rsid w:val="00A87DA1"/>
    <w:rsid w:val="00A90874"/>
    <w:rsid w:val="00A91167"/>
    <w:rsid w:val="00A91283"/>
    <w:rsid w:val="00A91362"/>
    <w:rsid w:val="00A9171C"/>
    <w:rsid w:val="00A921C0"/>
    <w:rsid w:val="00A92350"/>
    <w:rsid w:val="00A92389"/>
    <w:rsid w:val="00A9288B"/>
    <w:rsid w:val="00A92CEF"/>
    <w:rsid w:val="00A92FFD"/>
    <w:rsid w:val="00A9310A"/>
    <w:rsid w:val="00A93616"/>
    <w:rsid w:val="00A9377E"/>
    <w:rsid w:val="00A93C7C"/>
    <w:rsid w:val="00A93FB7"/>
    <w:rsid w:val="00A94774"/>
    <w:rsid w:val="00A94BB8"/>
    <w:rsid w:val="00A958EC"/>
    <w:rsid w:val="00A95975"/>
    <w:rsid w:val="00A95C2A"/>
    <w:rsid w:val="00A9708D"/>
    <w:rsid w:val="00A97840"/>
    <w:rsid w:val="00AA0562"/>
    <w:rsid w:val="00AA08BC"/>
    <w:rsid w:val="00AA0910"/>
    <w:rsid w:val="00AA092E"/>
    <w:rsid w:val="00AA2633"/>
    <w:rsid w:val="00AA2C17"/>
    <w:rsid w:val="00AA31FA"/>
    <w:rsid w:val="00AA3641"/>
    <w:rsid w:val="00AA3E9E"/>
    <w:rsid w:val="00AA40DA"/>
    <w:rsid w:val="00AA4172"/>
    <w:rsid w:val="00AA472C"/>
    <w:rsid w:val="00AA48B7"/>
    <w:rsid w:val="00AA4D25"/>
    <w:rsid w:val="00AA4ED1"/>
    <w:rsid w:val="00AA55B5"/>
    <w:rsid w:val="00AA584A"/>
    <w:rsid w:val="00AA61A7"/>
    <w:rsid w:val="00AA64C3"/>
    <w:rsid w:val="00AA6BA3"/>
    <w:rsid w:val="00AA6CBE"/>
    <w:rsid w:val="00AA70C8"/>
    <w:rsid w:val="00AA737C"/>
    <w:rsid w:val="00AA7389"/>
    <w:rsid w:val="00AA7AD1"/>
    <w:rsid w:val="00AA7C7F"/>
    <w:rsid w:val="00AA7F26"/>
    <w:rsid w:val="00AB0179"/>
    <w:rsid w:val="00AB02CC"/>
    <w:rsid w:val="00AB07B7"/>
    <w:rsid w:val="00AB0A8F"/>
    <w:rsid w:val="00AB14C0"/>
    <w:rsid w:val="00AB1914"/>
    <w:rsid w:val="00AB2F41"/>
    <w:rsid w:val="00AB32BC"/>
    <w:rsid w:val="00AB3EA2"/>
    <w:rsid w:val="00AB4A60"/>
    <w:rsid w:val="00AB4B4C"/>
    <w:rsid w:val="00AB4D65"/>
    <w:rsid w:val="00AB5284"/>
    <w:rsid w:val="00AB5330"/>
    <w:rsid w:val="00AB609D"/>
    <w:rsid w:val="00AB6124"/>
    <w:rsid w:val="00AB6312"/>
    <w:rsid w:val="00AB6537"/>
    <w:rsid w:val="00AB67F3"/>
    <w:rsid w:val="00AB6F9D"/>
    <w:rsid w:val="00AB7006"/>
    <w:rsid w:val="00AB7747"/>
    <w:rsid w:val="00AB7C32"/>
    <w:rsid w:val="00AC07D0"/>
    <w:rsid w:val="00AC0C56"/>
    <w:rsid w:val="00AC1603"/>
    <w:rsid w:val="00AC1734"/>
    <w:rsid w:val="00AC19B3"/>
    <w:rsid w:val="00AC200C"/>
    <w:rsid w:val="00AC2532"/>
    <w:rsid w:val="00AC26C8"/>
    <w:rsid w:val="00AC3143"/>
    <w:rsid w:val="00AC31EE"/>
    <w:rsid w:val="00AC3521"/>
    <w:rsid w:val="00AC45EE"/>
    <w:rsid w:val="00AC4A20"/>
    <w:rsid w:val="00AC4FE7"/>
    <w:rsid w:val="00AC5259"/>
    <w:rsid w:val="00AC53E4"/>
    <w:rsid w:val="00AC59CD"/>
    <w:rsid w:val="00AC6360"/>
    <w:rsid w:val="00AC64D3"/>
    <w:rsid w:val="00AC6645"/>
    <w:rsid w:val="00AC6C8F"/>
    <w:rsid w:val="00AC734C"/>
    <w:rsid w:val="00AD0932"/>
    <w:rsid w:val="00AD0A6B"/>
    <w:rsid w:val="00AD11F5"/>
    <w:rsid w:val="00AD14B1"/>
    <w:rsid w:val="00AD1507"/>
    <w:rsid w:val="00AD1B97"/>
    <w:rsid w:val="00AD26C7"/>
    <w:rsid w:val="00AD355F"/>
    <w:rsid w:val="00AD3E34"/>
    <w:rsid w:val="00AD41F3"/>
    <w:rsid w:val="00AD44B0"/>
    <w:rsid w:val="00AD48F6"/>
    <w:rsid w:val="00AD49ED"/>
    <w:rsid w:val="00AD5A70"/>
    <w:rsid w:val="00AD5FFE"/>
    <w:rsid w:val="00AD6159"/>
    <w:rsid w:val="00AD66A7"/>
    <w:rsid w:val="00AD6A9D"/>
    <w:rsid w:val="00AD6FE1"/>
    <w:rsid w:val="00AD738B"/>
    <w:rsid w:val="00AD73B9"/>
    <w:rsid w:val="00AD7E1B"/>
    <w:rsid w:val="00AD7F2A"/>
    <w:rsid w:val="00AE032D"/>
    <w:rsid w:val="00AE0ABF"/>
    <w:rsid w:val="00AE132E"/>
    <w:rsid w:val="00AE16CA"/>
    <w:rsid w:val="00AE19BE"/>
    <w:rsid w:val="00AE1BF4"/>
    <w:rsid w:val="00AE24E4"/>
    <w:rsid w:val="00AE2682"/>
    <w:rsid w:val="00AE29BC"/>
    <w:rsid w:val="00AE2CA5"/>
    <w:rsid w:val="00AE3031"/>
    <w:rsid w:val="00AE3355"/>
    <w:rsid w:val="00AE38F2"/>
    <w:rsid w:val="00AE3CF1"/>
    <w:rsid w:val="00AE3E0D"/>
    <w:rsid w:val="00AE42ED"/>
    <w:rsid w:val="00AE45FB"/>
    <w:rsid w:val="00AE47FA"/>
    <w:rsid w:val="00AE4D25"/>
    <w:rsid w:val="00AE4E1C"/>
    <w:rsid w:val="00AE51E5"/>
    <w:rsid w:val="00AE5A6F"/>
    <w:rsid w:val="00AE5D0C"/>
    <w:rsid w:val="00AE5D97"/>
    <w:rsid w:val="00AE5FDA"/>
    <w:rsid w:val="00AE6220"/>
    <w:rsid w:val="00AE637F"/>
    <w:rsid w:val="00AE6794"/>
    <w:rsid w:val="00AE6BA7"/>
    <w:rsid w:val="00AE6D09"/>
    <w:rsid w:val="00AE6DAA"/>
    <w:rsid w:val="00AE70C7"/>
    <w:rsid w:val="00AE7B41"/>
    <w:rsid w:val="00AF0C53"/>
    <w:rsid w:val="00AF1C87"/>
    <w:rsid w:val="00AF1D01"/>
    <w:rsid w:val="00AF21EC"/>
    <w:rsid w:val="00AF26D3"/>
    <w:rsid w:val="00AF2728"/>
    <w:rsid w:val="00AF27E6"/>
    <w:rsid w:val="00AF33B5"/>
    <w:rsid w:val="00AF3A29"/>
    <w:rsid w:val="00AF3D75"/>
    <w:rsid w:val="00AF4AD8"/>
    <w:rsid w:val="00AF4CAE"/>
    <w:rsid w:val="00AF5245"/>
    <w:rsid w:val="00AF538D"/>
    <w:rsid w:val="00AF5C01"/>
    <w:rsid w:val="00AF5F13"/>
    <w:rsid w:val="00AF67CB"/>
    <w:rsid w:val="00AF6947"/>
    <w:rsid w:val="00AF73FB"/>
    <w:rsid w:val="00AF750A"/>
    <w:rsid w:val="00AF7554"/>
    <w:rsid w:val="00AF7705"/>
    <w:rsid w:val="00AF7984"/>
    <w:rsid w:val="00AF79C2"/>
    <w:rsid w:val="00AF7FA2"/>
    <w:rsid w:val="00B001A6"/>
    <w:rsid w:val="00B01110"/>
    <w:rsid w:val="00B01354"/>
    <w:rsid w:val="00B02262"/>
    <w:rsid w:val="00B0293A"/>
    <w:rsid w:val="00B031A5"/>
    <w:rsid w:val="00B03CEC"/>
    <w:rsid w:val="00B04484"/>
    <w:rsid w:val="00B04E19"/>
    <w:rsid w:val="00B0507F"/>
    <w:rsid w:val="00B06855"/>
    <w:rsid w:val="00B069D5"/>
    <w:rsid w:val="00B06A39"/>
    <w:rsid w:val="00B0743E"/>
    <w:rsid w:val="00B10AB3"/>
    <w:rsid w:val="00B10B19"/>
    <w:rsid w:val="00B10D50"/>
    <w:rsid w:val="00B11259"/>
    <w:rsid w:val="00B1209F"/>
    <w:rsid w:val="00B125E9"/>
    <w:rsid w:val="00B129C7"/>
    <w:rsid w:val="00B12AD0"/>
    <w:rsid w:val="00B13333"/>
    <w:rsid w:val="00B13B36"/>
    <w:rsid w:val="00B13BC1"/>
    <w:rsid w:val="00B13D0D"/>
    <w:rsid w:val="00B13E1B"/>
    <w:rsid w:val="00B14B40"/>
    <w:rsid w:val="00B16789"/>
    <w:rsid w:val="00B167C9"/>
    <w:rsid w:val="00B168C9"/>
    <w:rsid w:val="00B168D4"/>
    <w:rsid w:val="00B16CEF"/>
    <w:rsid w:val="00B179F9"/>
    <w:rsid w:val="00B17D9A"/>
    <w:rsid w:val="00B20570"/>
    <w:rsid w:val="00B20844"/>
    <w:rsid w:val="00B20BDB"/>
    <w:rsid w:val="00B20BF2"/>
    <w:rsid w:val="00B215E7"/>
    <w:rsid w:val="00B22E85"/>
    <w:rsid w:val="00B235E7"/>
    <w:rsid w:val="00B23754"/>
    <w:rsid w:val="00B2391C"/>
    <w:rsid w:val="00B23956"/>
    <w:rsid w:val="00B2396C"/>
    <w:rsid w:val="00B2397F"/>
    <w:rsid w:val="00B24209"/>
    <w:rsid w:val="00B243E7"/>
    <w:rsid w:val="00B245EB"/>
    <w:rsid w:val="00B2471A"/>
    <w:rsid w:val="00B24D38"/>
    <w:rsid w:val="00B24F1B"/>
    <w:rsid w:val="00B24F30"/>
    <w:rsid w:val="00B25115"/>
    <w:rsid w:val="00B25301"/>
    <w:rsid w:val="00B255A8"/>
    <w:rsid w:val="00B2575D"/>
    <w:rsid w:val="00B25F56"/>
    <w:rsid w:val="00B266C2"/>
    <w:rsid w:val="00B26959"/>
    <w:rsid w:val="00B26C04"/>
    <w:rsid w:val="00B2732D"/>
    <w:rsid w:val="00B279AC"/>
    <w:rsid w:val="00B27A00"/>
    <w:rsid w:val="00B27E07"/>
    <w:rsid w:val="00B30703"/>
    <w:rsid w:val="00B30939"/>
    <w:rsid w:val="00B30C06"/>
    <w:rsid w:val="00B30CE4"/>
    <w:rsid w:val="00B318F6"/>
    <w:rsid w:val="00B31A2E"/>
    <w:rsid w:val="00B31ABF"/>
    <w:rsid w:val="00B32245"/>
    <w:rsid w:val="00B323CD"/>
    <w:rsid w:val="00B32618"/>
    <w:rsid w:val="00B32726"/>
    <w:rsid w:val="00B32D39"/>
    <w:rsid w:val="00B32DFC"/>
    <w:rsid w:val="00B33325"/>
    <w:rsid w:val="00B335AE"/>
    <w:rsid w:val="00B338C6"/>
    <w:rsid w:val="00B33A22"/>
    <w:rsid w:val="00B33F8F"/>
    <w:rsid w:val="00B3407B"/>
    <w:rsid w:val="00B344F4"/>
    <w:rsid w:val="00B344F9"/>
    <w:rsid w:val="00B34A27"/>
    <w:rsid w:val="00B34A75"/>
    <w:rsid w:val="00B34B4D"/>
    <w:rsid w:val="00B355F9"/>
    <w:rsid w:val="00B357BE"/>
    <w:rsid w:val="00B3591C"/>
    <w:rsid w:val="00B35ECF"/>
    <w:rsid w:val="00B3747F"/>
    <w:rsid w:val="00B3794E"/>
    <w:rsid w:val="00B379F2"/>
    <w:rsid w:val="00B37CE1"/>
    <w:rsid w:val="00B404DA"/>
    <w:rsid w:val="00B40ACF"/>
    <w:rsid w:val="00B40EE9"/>
    <w:rsid w:val="00B41026"/>
    <w:rsid w:val="00B4168C"/>
    <w:rsid w:val="00B41844"/>
    <w:rsid w:val="00B41BC2"/>
    <w:rsid w:val="00B41FD5"/>
    <w:rsid w:val="00B42712"/>
    <w:rsid w:val="00B42C4E"/>
    <w:rsid w:val="00B42E9E"/>
    <w:rsid w:val="00B431F5"/>
    <w:rsid w:val="00B43203"/>
    <w:rsid w:val="00B43367"/>
    <w:rsid w:val="00B43D3C"/>
    <w:rsid w:val="00B43DA7"/>
    <w:rsid w:val="00B443CD"/>
    <w:rsid w:val="00B44670"/>
    <w:rsid w:val="00B44781"/>
    <w:rsid w:val="00B44B60"/>
    <w:rsid w:val="00B44EE6"/>
    <w:rsid w:val="00B4516D"/>
    <w:rsid w:val="00B45203"/>
    <w:rsid w:val="00B453E0"/>
    <w:rsid w:val="00B454A5"/>
    <w:rsid w:val="00B458E1"/>
    <w:rsid w:val="00B4595F"/>
    <w:rsid w:val="00B45CD5"/>
    <w:rsid w:val="00B45FEC"/>
    <w:rsid w:val="00B46055"/>
    <w:rsid w:val="00B468B7"/>
    <w:rsid w:val="00B46BAA"/>
    <w:rsid w:val="00B46D57"/>
    <w:rsid w:val="00B4709D"/>
    <w:rsid w:val="00B47728"/>
    <w:rsid w:val="00B503B2"/>
    <w:rsid w:val="00B50549"/>
    <w:rsid w:val="00B508D7"/>
    <w:rsid w:val="00B50B0B"/>
    <w:rsid w:val="00B50B5F"/>
    <w:rsid w:val="00B50F22"/>
    <w:rsid w:val="00B50F9F"/>
    <w:rsid w:val="00B5156D"/>
    <w:rsid w:val="00B52439"/>
    <w:rsid w:val="00B5295A"/>
    <w:rsid w:val="00B52C4F"/>
    <w:rsid w:val="00B53C91"/>
    <w:rsid w:val="00B54128"/>
    <w:rsid w:val="00B544B6"/>
    <w:rsid w:val="00B545A2"/>
    <w:rsid w:val="00B54958"/>
    <w:rsid w:val="00B549AB"/>
    <w:rsid w:val="00B54B04"/>
    <w:rsid w:val="00B54B08"/>
    <w:rsid w:val="00B54D4A"/>
    <w:rsid w:val="00B550B5"/>
    <w:rsid w:val="00B554B1"/>
    <w:rsid w:val="00B556DB"/>
    <w:rsid w:val="00B55826"/>
    <w:rsid w:val="00B55AEA"/>
    <w:rsid w:val="00B55C28"/>
    <w:rsid w:val="00B56174"/>
    <w:rsid w:val="00B56A0C"/>
    <w:rsid w:val="00B56B99"/>
    <w:rsid w:val="00B56D7E"/>
    <w:rsid w:val="00B56FAE"/>
    <w:rsid w:val="00B57EA0"/>
    <w:rsid w:val="00B600D6"/>
    <w:rsid w:val="00B60426"/>
    <w:rsid w:val="00B613FA"/>
    <w:rsid w:val="00B61EFF"/>
    <w:rsid w:val="00B620F6"/>
    <w:rsid w:val="00B622DD"/>
    <w:rsid w:val="00B62A3B"/>
    <w:rsid w:val="00B63522"/>
    <w:rsid w:val="00B64405"/>
    <w:rsid w:val="00B65814"/>
    <w:rsid w:val="00B662AF"/>
    <w:rsid w:val="00B67307"/>
    <w:rsid w:val="00B67422"/>
    <w:rsid w:val="00B67770"/>
    <w:rsid w:val="00B67CEE"/>
    <w:rsid w:val="00B70387"/>
    <w:rsid w:val="00B706E0"/>
    <w:rsid w:val="00B7135C"/>
    <w:rsid w:val="00B7149E"/>
    <w:rsid w:val="00B714CE"/>
    <w:rsid w:val="00B71790"/>
    <w:rsid w:val="00B717E7"/>
    <w:rsid w:val="00B71917"/>
    <w:rsid w:val="00B71FAE"/>
    <w:rsid w:val="00B72078"/>
    <w:rsid w:val="00B7276F"/>
    <w:rsid w:val="00B728D9"/>
    <w:rsid w:val="00B72EE6"/>
    <w:rsid w:val="00B73028"/>
    <w:rsid w:val="00B73657"/>
    <w:rsid w:val="00B73F4C"/>
    <w:rsid w:val="00B74237"/>
    <w:rsid w:val="00B74B41"/>
    <w:rsid w:val="00B75235"/>
    <w:rsid w:val="00B75806"/>
    <w:rsid w:val="00B75945"/>
    <w:rsid w:val="00B75B98"/>
    <w:rsid w:val="00B75EE4"/>
    <w:rsid w:val="00B762C3"/>
    <w:rsid w:val="00B76569"/>
    <w:rsid w:val="00B7695F"/>
    <w:rsid w:val="00B76F1D"/>
    <w:rsid w:val="00B77524"/>
    <w:rsid w:val="00B77B2E"/>
    <w:rsid w:val="00B77D0B"/>
    <w:rsid w:val="00B80530"/>
    <w:rsid w:val="00B809B1"/>
    <w:rsid w:val="00B80DFE"/>
    <w:rsid w:val="00B80F19"/>
    <w:rsid w:val="00B815EF"/>
    <w:rsid w:val="00B8186E"/>
    <w:rsid w:val="00B81A87"/>
    <w:rsid w:val="00B81C11"/>
    <w:rsid w:val="00B81F81"/>
    <w:rsid w:val="00B821BA"/>
    <w:rsid w:val="00B823BA"/>
    <w:rsid w:val="00B82A0A"/>
    <w:rsid w:val="00B82ECA"/>
    <w:rsid w:val="00B82FEA"/>
    <w:rsid w:val="00B8331C"/>
    <w:rsid w:val="00B833F8"/>
    <w:rsid w:val="00B836C5"/>
    <w:rsid w:val="00B83886"/>
    <w:rsid w:val="00B841EE"/>
    <w:rsid w:val="00B84620"/>
    <w:rsid w:val="00B847AF"/>
    <w:rsid w:val="00B86615"/>
    <w:rsid w:val="00B8684C"/>
    <w:rsid w:val="00B86DD3"/>
    <w:rsid w:val="00B87882"/>
    <w:rsid w:val="00B908FD"/>
    <w:rsid w:val="00B90C92"/>
    <w:rsid w:val="00B91311"/>
    <w:rsid w:val="00B913B1"/>
    <w:rsid w:val="00B91555"/>
    <w:rsid w:val="00B917DE"/>
    <w:rsid w:val="00B91A94"/>
    <w:rsid w:val="00B92012"/>
    <w:rsid w:val="00B92919"/>
    <w:rsid w:val="00B92A19"/>
    <w:rsid w:val="00B931A8"/>
    <w:rsid w:val="00B93303"/>
    <w:rsid w:val="00B9358F"/>
    <w:rsid w:val="00B93AD3"/>
    <w:rsid w:val="00B94061"/>
    <w:rsid w:val="00B9417C"/>
    <w:rsid w:val="00B942D6"/>
    <w:rsid w:val="00B9468B"/>
    <w:rsid w:val="00B946B7"/>
    <w:rsid w:val="00B94F2A"/>
    <w:rsid w:val="00B9544C"/>
    <w:rsid w:val="00B954CD"/>
    <w:rsid w:val="00B95790"/>
    <w:rsid w:val="00B95792"/>
    <w:rsid w:val="00B95815"/>
    <w:rsid w:val="00B95AFF"/>
    <w:rsid w:val="00B95E44"/>
    <w:rsid w:val="00B967F1"/>
    <w:rsid w:val="00B96FE3"/>
    <w:rsid w:val="00B9743F"/>
    <w:rsid w:val="00B97A10"/>
    <w:rsid w:val="00BA043A"/>
    <w:rsid w:val="00BA097F"/>
    <w:rsid w:val="00BA09AC"/>
    <w:rsid w:val="00BA0A41"/>
    <w:rsid w:val="00BA0BD6"/>
    <w:rsid w:val="00BA0FED"/>
    <w:rsid w:val="00BA227C"/>
    <w:rsid w:val="00BA29E9"/>
    <w:rsid w:val="00BA318D"/>
    <w:rsid w:val="00BA3E58"/>
    <w:rsid w:val="00BA5050"/>
    <w:rsid w:val="00BA5590"/>
    <w:rsid w:val="00BA5AAA"/>
    <w:rsid w:val="00BA5CD4"/>
    <w:rsid w:val="00BA5D34"/>
    <w:rsid w:val="00BA6083"/>
    <w:rsid w:val="00BA6718"/>
    <w:rsid w:val="00BA6C7D"/>
    <w:rsid w:val="00BA751A"/>
    <w:rsid w:val="00BA75F8"/>
    <w:rsid w:val="00BA77CD"/>
    <w:rsid w:val="00BA7F00"/>
    <w:rsid w:val="00BB02E1"/>
    <w:rsid w:val="00BB077A"/>
    <w:rsid w:val="00BB0E83"/>
    <w:rsid w:val="00BB1D33"/>
    <w:rsid w:val="00BB21EF"/>
    <w:rsid w:val="00BB26C9"/>
    <w:rsid w:val="00BB282A"/>
    <w:rsid w:val="00BB2BE7"/>
    <w:rsid w:val="00BB2C79"/>
    <w:rsid w:val="00BB3618"/>
    <w:rsid w:val="00BB3D26"/>
    <w:rsid w:val="00BB4049"/>
    <w:rsid w:val="00BB41DC"/>
    <w:rsid w:val="00BB420B"/>
    <w:rsid w:val="00BB45A2"/>
    <w:rsid w:val="00BB49B0"/>
    <w:rsid w:val="00BB4BF1"/>
    <w:rsid w:val="00BB52C4"/>
    <w:rsid w:val="00BB5686"/>
    <w:rsid w:val="00BB5DA6"/>
    <w:rsid w:val="00BB5EDE"/>
    <w:rsid w:val="00BB6253"/>
    <w:rsid w:val="00BB6374"/>
    <w:rsid w:val="00BB652A"/>
    <w:rsid w:val="00BB78D5"/>
    <w:rsid w:val="00BC04BE"/>
    <w:rsid w:val="00BC070A"/>
    <w:rsid w:val="00BC07E2"/>
    <w:rsid w:val="00BC0C9E"/>
    <w:rsid w:val="00BC124C"/>
    <w:rsid w:val="00BC2064"/>
    <w:rsid w:val="00BC2359"/>
    <w:rsid w:val="00BC239C"/>
    <w:rsid w:val="00BC29C6"/>
    <w:rsid w:val="00BC3083"/>
    <w:rsid w:val="00BC32DC"/>
    <w:rsid w:val="00BC3643"/>
    <w:rsid w:val="00BC46F6"/>
    <w:rsid w:val="00BC4E81"/>
    <w:rsid w:val="00BC4EA2"/>
    <w:rsid w:val="00BC4FC4"/>
    <w:rsid w:val="00BC5BCE"/>
    <w:rsid w:val="00BC6224"/>
    <w:rsid w:val="00BC62C7"/>
    <w:rsid w:val="00BC649E"/>
    <w:rsid w:val="00BC64B0"/>
    <w:rsid w:val="00BC6BFA"/>
    <w:rsid w:val="00BC7215"/>
    <w:rsid w:val="00BC788E"/>
    <w:rsid w:val="00BC7B45"/>
    <w:rsid w:val="00BC7D9D"/>
    <w:rsid w:val="00BC7E44"/>
    <w:rsid w:val="00BD09B4"/>
    <w:rsid w:val="00BD0C15"/>
    <w:rsid w:val="00BD1422"/>
    <w:rsid w:val="00BD16E5"/>
    <w:rsid w:val="00BD1768"/>
    <w:rsid w:val="00BD1A32"/>
    <w:rsid w:val="00BD1B51"/>
    <w:rsid w:val="00BD1B7A"/>
    <w:rsid w:val="00BD1F71"/>
    <w:rsid w:val="00BD228B"/>
    <w:rsid w:val="00BD25D6"/>
    <w:rsid w:val="00BD292B"/>
    <w:rsid w:val="00BD2EEE"/>
    <w:rsid w:val="00BD2F87"/>
    <w:rsid w:val="00BD3B8D"/>
    <w:rsid w:val="00BD47F6"/>
    <w:rsid w:val="00BD4CC9"/>
    <w:rsid w:val="00BD56D3"/>
    <w:rsid w:val="00BD56E4"/>
    <w:rsid w:val="00BD58AC"/>
    <w:rsid w:val="00BD6137"/>
    <w:rsid w:val="00BD625D"/>
    <w:rsid w:val="00BD62D9"/>
    <w:rsid w:val="00BD6CD1"/>
    <w:rsid w:val="00BD70B1"/>
    <w:rsid w:val="00BD7269"/>
    <w:rsid w:val="00BD74BE"/>
    <w:rsid w:val="00BD78C2"/>
    <w:rsid w:val="00BD78CC"/>
    <w:rsid w:val="00BE004D"/>
    <w:rsid w:val="00BE0272"/>
    <w:rsid w:val="00BE0B65"/>
    <w:rsid w:val="00BE25A5"/>
    <w:rsid w:val="00BE312D"/>
    <w:rsid w:val="00BE3781"/>
    <w:rsid w:val="00BE3BD9"/>
    <w:rsid w:val="00BE3FCA"/>
    <w:rsid w:val="00BE4A2D"/>
    <w:rsid w:val="00BE5109"/>
    <w:rsid w:val="00BE51BD"/>
    <w:rsid w:val="00BE541D"/>
    <w:rsid w:val="00BE5E4D"/>
    <w:rsid w:val="00BE5EF6"/>
    <w:rsid w:val="00BE67E4"/>
    <w:rsid w:val="00BE6B52"/>
    <w:rsid w:val="00BE7D08"/>
    <w:rsid w:val="00BF0D91"/>
    <w:rsid w:val="00BF218A"/>
    <w:rsid w:val="00BF2569"/>
    <w:rsid w:val="00BF25C7"/>
    <w:rsid w:val="00BF2A4B"/>
    <w:rsid w:val="00BF2BFC"/>
    <w:rsid w:val="00BF34E6"/>
    <w:rsid w:val="00BF38A0"/>
    <w:rsid w:val="00BF3E9A"/>
    <w:rsid w:val="00BF3ED1"/>
    <w:rsid w:val="00BF4EFE"/>
    <w:rsid w:val="00BF4FF2"/>
    <w:rsid w:val="00BF5136"/>
    <w:rsid w:val="00BF5D4F"/>
    <w:rsid w:val="00BF632D"/>
    <w:rsid w:val="00BF6633"/>
    <w:rsid w:val="00BF6996"/>
    <w:rsid w:val="00BF6AB9"/>
    <w:rsid w:val="00BF6C5E"/>
    <w:rsid w:val="00BF75DC"/>
    <w:rsid w:val="00BF76EA"/>
    <w:rsid w:val="00BF780D"/>
    <w:rsid w:val="00C00807"/>
    <w:rsid w:val="00C00892"/>
    <w:rsid w:val="00C010F1"/>
    <w:rsid w:val="00C018B9"/>
    <w:rsid w:val="00C01A45"/>
    <w:rsid w:val="00C01C95"/>
    <w:rsid w:val="00C022B6"/>
    <w:rsid w:val="00C0293A"/>
    <w:rsid w:val="00C02FBD"/>
    <w:rsid w:val="00C044B1"/>
    <w:rsid w:val="00C04883"/>
    <w:rsid w:val="00C051A0"/>
    <w:rsid w:val="00C0530D"/>
    <w:rsid w:val="00C05719"/>
    <w:rsid w:val="00C05D54"/>
    <w:rsid w:val="00C06C4A"/>
    <w:rsid w:val="00C07EA6"/>
    <w:rsid w:val="00C10269"/>
    <w:rsid w:val="00C102FC"/>
    <w:rsid w:val="00C1054A"/>
    <w:rsid w:val="00C10578"/>
    <w:rsid w:val="00C10A0C"/>
    <w:rsid w:val="00C11383"/>
    <w:rsid w:val="00C1147A"/>
    <w:rsid w:val="00C1298F"/>
    <w:rsid w:val="00C129AF"/>
    <w:rsid w:val="00C12B4B"/>
    <w:rsid w:val="00C12D18"/>
    <w:rsid w:val="00C12DB6"/>
    <w:rsid w:val="00C13184"/>
    <w:rsid w:val="00C138E3"/>
    <w:rsid w:val="00C1414C"/>
    <w:rsid w:val="00C1485B"/>
    <w:rsid w:val="00C152D1"/>
    <w:rsid w:val="00C1629B"/>
    <w:rsid w:val="00C16627"/>
    <w:rsid w:val="00C16929"/>
    <w:rsid w:val="00C16F69"/>
    <w:rsid w:val="00C171AA"/>
    <w:rsid w:val="00C172D1"/>
    <w:rsid w:val="00C17D62"/>
    <w:rsid w:val="00C20315"/>
    <w:rsid w:val="00C2035C"/>
    <w:rsid w:val="00C20724"/>
    <w:rsid w:val="00C20867"/>
    <w:rsid w:val="00C2193D"/>
    <w:rsid w:val="00C21D80"/>
    <w:rsid w:val="00C21F29"/>
    <w:rsid w:val="00C21FA9"/>
    <w:rsid w:val="00C21FDC"/>
    <w:rsid w:val="00C223DA"/>
    <w:rsid w:val="00C22655"/>
    <w:rsid w:val="00C22670"/>
    <w:rsid w:val="00C22E14"/>
    <w:rsid w:val="00C22E8B"/>
    <w:rsid w:val="00C23FD2"/>
    <w:rsid w:val="00C24603"/>
    <w:rsid w:val="00C24D4A"/>
    <w:rsid w:val="00C24EE7"/>
    <w:rsid w:val="00C25754"/>
    <w:rsid w:val="00C2582E"/>
    <w:rsid w:val="00C2596A"/>
    <w:rsid w:val="00C25AE5"/>
    <w:rsid w:val="00C2632C"/>
    <w:rsid w:val="00C26387"/>
    <w:rsid w:val="00C271BE"/>
    <w:rsid w:val="00C2733E"/>
    <w:rsid w:val="00C27425"/>
    <w:rsid w:val="00C2745C"/>
    <w:rsid w:val="00C278FB"/>
    <w:rsid w:val="00C300FA"/>
    <w:rsid w:val="00C301F4"/>
    <w:rsid w:val="00C30B6A"/>
    <w:rsid w:val="00C31242"/>
    <w:rsid w:val="00C316A1"/>
    <w:rsid w:val="00C31878"/>
    <w:rsid w:val="00C31B5F"/>
    <w:rsid w:val="00C32644"/>
    <w:rsid w:val="00C32756"/>
    <w:rsid w:val="00C3281F"/>
    <w:rsid w:val="00C328FE"/>
    <w:rsid w:val="00C32A99"/>
    <w:rsid w:val="00C33A05"/>
    <w:rsid w:val="00C34852"/>
    <w:rsid w:val="00C34884"/>
    <w:rsid w:val="00C34F95"/>
    <w:rsid w:val="00C3569D"/>
    <w:rsid w:val="00C36119"/>
    <w:rsid w:val="00C36F70"/>
    <w:rsid w:val="00C3781D"/>
    <w:rsid w:val="00C37C22"/>
    <w:rsid w:val="00C37E6E"/>
    <w:rsid w:val="00C40A3C"/>
    <w:rsid w:val="00C40B3A"/>
    <w:rsid w:val="00C41E34"/>
    <w:rsid w:val="00C41EC4"/>
    <w:rsid w:val="00C42500"/>
    <w:rsid w:val="00C42C6F"/>
    <w:rsid w:val="00C43D87"/>
    <w:rsid w:val="00C4409D"/>
    <w:rsid w:val="00C440E2"/>
    <w:rsid w:val="00C455BE"/>
    <w:rsid w:val="00C45A3C"/>
    <w:rsid w:val="00C462D5"/>
    <w:rsid w:val="00C472E0"/>
    <w:rsid w:val="00C47398"/>
    <w:rsid w:val="00C47407"/>
    <w:rsid w:val="00C474E5"/>
    <w:rsid w:val="00C477C6"/>
    <w:rsid w:val="00C478CF"/>
    <w:rsid w:val="00C47B36"/>
    <w:rsid w:val="00C5021F"/>
    <w:rsid w:val="00C503BB"/>
    <w:rsid w:val="00C50999"/>
    <w:rsid w:val="00C51D39"/>
    <w:rsid w:val="00C51E5F"/>
    <w:rsid w:val="00C52102"/>
    <w:rsid w:val="00C52C1C"/>
    <w:rsid w:val="00C52D78"/>
    <w:rsid w:val="00C53B57"/>
    <w:rsid w:val="00C53D3D"/>
    <w:rsid w:val="00C541AB"/>
    <w:rsid w:val="00C542F8"/>
    <w:rsid w:val="00C5437C"/>
    <w:rsid w:val="00C5489F"/>
    <w:rsid w:val="00C54C20"/>
    <w:rsid w:val="00C550B7"/>
    <w:rsid w:val="00C55B7B"/>
    <w:rsid w:val="00C5657D"/>
    <w:rsid w:val="00C56665"/>
    <w:rsid w:val="00C56CDF"/>
    <w:rsid w:val="00C56D5B"/>
    <w:rsid w:val="00C5752C"/>
    <w:rsid w:val="00C57727"/>
    <w:rsid w:val="00C57CA3"/>
    <w:rsid w:val="00C6061D"/>
    <w:rsid w:val="00C60C0F"/>
    <w:rsid w:val="00C61364"/>
    <w:rsid w:val="00C614F1"/>
    <w:rsid w:val="00C617B0"/>
    <w:rsid w:val="00C61B7B"/>
    <w:rsid w:val="00C61E4B"/>
    <w:rsid w:val="00C6258A"/>
    <w:rsid w:val="00C6275D"/>
    <w:rsid w:val="00C62E3A"/>
    <w:rsid w:val="00C6322E"/>
    <w:rsid w:val="00C63438"/>
    <w:rsid w:val="00C6374D"/>
    <w:rsid w:val="00C64503"/>
    <w:rsid w:val="00C647BA"/>
    <w:rsid w:val="00C649F5"/>
    <w:rsid w:val="00C64A1F"/>
    <w:rsid w:val="00C64B9D"/>
    <w:rsid w:val="00C64BFF"/>
    <w:rsid w:val="00C65DC5"/>
    <w:rsid w:val="00C667E8"/>
    <w:rsid w:val="00C6696C"/>
    <w:rsid w:val="00C66D58"/>
    <w:rsid w:val="00C67055"/>
    <w:rsid w:val="00C67195"/>
    <w:rsid w:val="00C6785C"/>
    <w:rsid w:val="00C67BE6"/>
    <w:rsid w:val="00C67E78"/>
    <w:rsid w:val="00C67E9B"/>
    <w:rsid w:val="00C70424"/>
    <w:rsid w:val="00C704A0"/>
    <w:rsid w:val="00C706BC"/>
    <w:rsid w:val="00C70B3A"/>
    <w:rsid w:val="00C70CBA"/>
    <w:rsid w:val="00C715CA"/>
    <w:rsid w:val="00C71B61"/>
    <w:rsid w:val="00C71E00"/>
    <w:rsid w:val="00C726B5"/>
    <w:rsid w:val="00C72A00"/>
    <w:rsid w:val="00C73397"/>
    <w:rsid w:val="00C738BF"/>
    <w:rsid w:val="00C75067"/>
    <w:rsid w:val="00C75652"/>
    <w:rsid w:val="00C761DF"/>
    <w:rsid w:val="00C763C9"/>
    <w:rsid w:val="00C76CC2"/>
    <w:rsid w:val="00C76D89"/>
    <w:rsid w:val="00C77486"/>
    <w:rsid w:val="00C778F8"/>
    <w:rsid w:val="00C77953"/>
    <w:rsid w:val="00C8004A"/>
    <w:rsid w:val="00C80057"/>
    <w:rsid w:val="00C80E8D"/>
    <w:rsid w:val="00C81057"/>
    <w:rsid w:val="00C81564"/>
    <w:rsid w:val="00C81914"/>
    <w:rsid w:val="00C819A5"/>
    <w:rsid w:val="00C81C88"/>
    <w:rsid w:val="00C82561"/>
    <w:rsid w:val="00C82C79"/>
    <w:rsid w:val="00C83819"/>
    <w:rsid w:val="00C83FC4"/>
    <w:rsid w:val="00C842BE"/>
    <w:rsid w:val="00C844BD"/>
    <w:rsid w:val="00C845CE"/>
    <w:rsid w:val="00C84753"/>
    <w:rsid w:val="00C847DD"/>
    <w:rsid w:val="00C85905"/>
    <w:rsid w:val="00C863DC"/>
    <w:rsid w:val="00C86B20"/>
    <w:rsid w:val="00C86EB2"/>
    <w:rsid w:val="00C86F8C"/>
    <w:rsid w:val="00C872A9"/>
    <w:rsid w:val="00C874D4"/>
    <w:rsid w:val="00C90601"/>
    <w:rsid w:val="00C90C7D"/>
    <w:rsid w:val="00C90D57"/>
    <w:rsid w:val="00C913B3"/>
    <w:rsid w:val="00C91611"/>
    <w:rsid w:val="00C92452"/>
    <w:rsid w:val="00C92975"/>
    <w:rsid w:val="00C92C3C"/>
    <w:rsid w:val="00C92C89"/>
    <w:rsid w:val="00C92CBA"/>
    <w:rsid w:val="00C94147"/>
    <w:rsid w:val="00C94DC2"/>
    <w:rsid w:val="00C950B7"/>
    <w:rsid w:val="00C95857"/>
    <w:rsid w:val="00C95CBD"/>
    <w:rsid w:val="00C9640B"/>
    <w:rsid w:val="00C964E7"/>
    <w:rsid w:val="00C9671C"/>
    <w:rsid w:val="00C96AE8"/>
    <w:rsid w:val="00C96F2A"/>
    <w:rsid w:val="00C9726D"/>
    <w:rsid w:val="00C97586"/>
    <w:rsid w:val="00C975B4"/>
    <w:rsid w:val="00C97814"/>
    <w:rsid w:val="00C97E03"/>
    <w:rsid w:val="00CA02FB"/>
    <w:rsid w:val="00CA0D56"/>
    <w:rsid w:val="00CA11CD"/>
    <w:rsid w:val="00CA1778"/>
    <w:rsid w:val="00CA1B82"/>
    <w:rsid w:val="00CA20C3"/>
    <w:rsid w:val="00CA2716"/>
    <w:rsid w:val="00CA2FA5"/>
    <w:rsid w:val="00CA349E"/>
    <w:rsid w:val="00CA3585"/>
    <w:rsid w:val="00CA3B15"/>
    <w:rsid w:val="00CA3D5A"/>
    <w:rsid w:val="00CA40F8"/>
    <w:rsid w:val="00CA484D"/>
    <w:rsid w:val="00CA4A7F"/>
    <w:rsid w:val="00CA4C7C"/>
    <w:rsid w:val="00CA4E47"/>
    <w:rsid w:val="00CA53F3"/>
    <w:rsid w:val="00CA5C32"/>
    <w:rsid w:val="00CA5D8F"/>
    <w:rsid w:val="00CA655A"/>
    <w:rsid w:val="00CA671F"/>
    <w:rsid w:val="00CA7513"/>
    <w:rsid w:val="00CB008E"/>
    <w:rsid w:val="00CB0183"/>
    <w:rsid w:val="00CB0704"/>
    <w:rsid w:val="00CB072D"/>
    <w:rsid w:val="00CB08DF"/>
    <w:rsid w:val="00CB0E5B"/>
    <w:rsid w:val="00CB12E1"/>
    <w:rsid w:val="00CB14CE"/>
    <w:rsid w:val="00CB1EA3"/>
    <w:rsid w:val="00CB2405"/>
    <w:rsid w:val="00CB2A9A"/>
    <w:rsid w:val="00CB2C62"/>
    <w:rsid w:val="00CB2F31"/>
    <w:rsid w:val="00CB37E0"/>
    <w:rsid w:val="00CB38C0"/>
    <w:rsid w:val="00CB3EBE"/>
    <w:rsid w:val="00CB4AC4"/>
    <w:rsid w:val="00CB4E67"/>
    <w:rsid w:val="00CB51C7"/>
    <w:rsid w:val="00CB552C"/>
    <w:rsid w:val="00CB5ECB"/>
    <w:rsid w:val="00CB5F48"/>
    <w:rsid w:val="00CB64FE"/>
    <w:rsid w:val="00CB666D"/>
    <w:rsid w:val="00CB69A5"/>
    <w:rsid w:val="00CB6A9E"/>
    <w:rsid w:val="00CB700F"/>
    <w:rsid w:val="00CB70D7"/>
    <w:rsid w:val="00CB76E4"/>
    <w:rsid w:val="00CB7A07"/>
    <w:rsid w:val="00CC11B1"/>
    <w:rsid w:val="00CC2023"/>
    <w:rsid w:val="00CC2614"/>
    <w:rsid w:val="00CC3259"/>
    <w:rsid w:val="00CC3DE1"/>
    <w:rsid w:val="00CC4031"/>
    <w:rsid w:val="00CC4B7F"/>
    <w:rsid w:val="00CC5245"/>
    <w:rsid w:val="00CC5DBD"/>
    <w:rsid w:val="00CC6181"/>
    <w:rsid w:val="00CC67BE"/>
    <w:rsid w:val="00CC6D3B"/>
    <w:rsid w:val="00CC6DB3"/>
    <w:rsid w:val="00CC6FF3"/>
    <w:rsid w:val="00CC7B60"/>
    <w:rsid w:val="00CC7B6C"/>
    <w:rsid w:val="00CD0465"/>
    <w:rsid w:val="00CD04E2"/>
    <w:rsid w:val="00CD107F"/>
    <w:rsid w:val="00CD10CB"/>
    <w:rsid w:val="00CD179D"/>
    <w:rsid w:val="00CD1A54"/>
    <w:rsid w:val="00CD1BC0"/>
    <w:rsid w:val="00CD210B"/>
    <w:rsid w:val="00CD22FB"/>
    <w:rsid w:val="00CD2551"/>
    <w:rsid w:val="00CD267E"/>
    <w:rsid w:val="00CD2B6C"/>
    <w:rsid w:val="00CD2BC8"/>
    <w:rsid w:val="00CD2BCD"/>
    <w:rsid w:val="00CD36AA"/>
    <w:rsid w:val="00CD3791"/>
    <w:rsid w:val="00CD3827"/>
    <w:rsid w:val="00CD38C0"/>
    <w:rsid w:val="00CD3BDE"/>
    <w:rsid w:val="00CD3FC1"/>
    <w:rsid w:val="00CD4501"/>
    <w:rsid w:val="00CD47E8"/>
    <w:rsid w:val="00CD505C"/>
    <w:rsid w:val="00CD53FE"/>
    <w:rsid w:val="00CD5B14"/>
    <w:rsid w:val="00CD6322"/>
    <w:rsid w:val="00CD65B0"/>
    <w:rsid w:val="00CD6B7E"/>
    <w:rsid w:val="00CD70BB"/>
    <w:rsid w:val="00CD7153"/>
    <w:rsid w:val="00CD767F"/>
    <w:rsid w:val="00CD7FA5"/>
    <w:rsid w:val="00CE0054"/>
    <w:rsid w:val="00CE02CD"/>
    <w:rsid w:val="00CE0ACE"/>
    <w:rsid w:val="00CE0E6C"/>
    <w:rsid w:val="00CE10E9"/>
    <w:rsid w:val="00CE1461"/>
    <w:rsid w:val="00CE1594"/>
    <w:rsid w:val="00CE19C3"/>
    <w:rsid w:val="00CE218A"/>
    <w:rsid w:val="00CE2CA0"/>
    <w:rsid w:val="00CE2CC3"/>
    <w:rsid w:val="00CE3110"/>
    <w:rsid w:val="00CE3385"/>
    <w:rsid w:val="00CE356E"/>
    <w:rsid w:val="00CE4361"/>
    <w:rsid w:val="00CE45E7"/>
    <w:rsid w:val="00CE4B79"/>
    <w:rsid w:val="00CE52F2"/>
    <w:rsid w:val="00CE5531"/>
    <w:rsid w:val="00CE560D"/>
    <w:rsid w:val="00CE5C27"/>
    <w:rsid w:val="00CE5D32"/>
    <w:rsid w:val="00CE6282"/>
    <w:rsid w:val="00CE6B45"/>
    <w:rsid w:val="00CE6C8F"/>
    <w:rsid w:val="00CE7434"/>
    <w:rsid w:val="00CE75A0"/>
    <w:rsid w:val="00CE77E2"/>
    <w:rsid w:val="00CE7C7D"/>
    <w:rsid w:val="00CE7EFD"/>
    <w:rsid w:val="00CF0638"/>
    <w:rsid w:val="00CF0DD8"/>
    <w:rsid w:val="00CF10AC"/>
    <w:rsid w:val="00CF1453"/>
    <w:rsid w:val="00CF15A6"/>
    <w:rsid w:val="00CF19E3"/>
    <w:rsid w:val="00CF2296"/>
    <w:rsid w:val="00CF2864"/>
    <w:rsid w:val="00CF352A"/>
    <w:rsid w:val="00CF35E0"/>
    <w:rsid w:val="00CF3758"/>
    <w:rsid w:val="00CF41DD"/>
    <w:rsid w:val="00CF4B78"/>
    <w:rsid w:val="00CF53B6"/>
    <w:rsid w:val="00CF5B3C"/>
    <w:rsid w:val="00CF5CDF"/>
    <w:rsid w:val="00CF5E71"/>
    <w:rsid w:val="00CF6C45"/>
    <w:rsid w:val="00CF7242"/>
    <w:rsid w:val="00CF756D"/>
    <w:rsid w:val="00CF7A04"/>
    <w:rsid w:val="00CF7FDE"/>
    <w:rsid w:val="00D0072E"/>
    <w:rsid w:val="00D012C4"/>
    <w:rsid w:val="00D016BF"/>
    <w:rsid w:val="00D01918"/>
    <w:rsid w:val="00D0194A"/>
    <w:rsid w:val="00D01C8A"/>
    <w:rsid w:val="00D01F6B"/>
    <w:rsid w:val="00D025B2"/>
    <w:rsid w:val="00D02BEE"/>
    <w:rsid w:val="00D03166"/>
    <w:rsid w:val="00D03404"/>
    <w:rsid w:val="00D03622"/>
    <w:rsid w:val="00D03B9B"/>
    <w:rsid w:val="00D03C3E"/>
    <w:rsid w:val="00D04D04"/>
    <w:rsid w:val="00D05031"/>
    <w:rsid w:val="00D056D2"/>
    <w:rsid w:val="00D05C19"/>
    <w:rsid w:val="00D072A5"/>
    <w:rsid w:val="00D07454"/>
    <w:rsid w:val="00D07758"/>
    <w:rsid w:val="00D07C0C"/>
    <w:rsid w:val="00D10181"/>
    <w:rsid w:val="00D1050D"/>
    <w:rsid w:val="00D10549"/>
    <w:rsid w:val="00D1095B"/>
    <w:rsid w:val="00D10C96"/>
    <w:rsid w:val="00D10F5C"/>
    <w:rsid w:val="00D114ED"/>
    <w:rsid w:val="00D117E2"/>
    <w:rsid w:val="00D12392"/>
    <w:rsid w:val="00D125D2"/>
    <w:rsid w:val="00D128D4"/>
    <w:rsid w:val="00D13065"/>
    <w:rsid w:val="00D13FA6"/>
    <w:rsid w:val="00D140EA"/>
    <w:rsid w:val="00D149C9"/>
    <w:rsid w:val="00D14AE0"/>
    <w:rsid w:val="00D1551A"/>
    <w:rsid w:val="00D15727"/>
    <w:rsid w:val="00D16208"/>
    <w:rsid w:val="00D162EC"/>
    <w:rsid w:val="00D16332"/>
    <w:rsid w:val="00D16A9C"/>
    <w:rsid w:val="00D17022"/>
    <w:rsid w:val="00D17038"/>
    <w:rsid w:val="00D171C3"/>
    <w:rsid w:val="00D173EF"/>
    <w:rsid w:val="00D1744E"/>
    <w:rsid w:val="00D1745C"/>
    <w:rsid w:val="00D207D0"/>
    <w:rsid w:val="00D20C2E"/>
    <w:rsid w:val="00D20F38"/>
    <w:rsid w:val="00D210BB"/>
    <w:rsid w:val="00D21199"/>
    <w:rsid w:val="00D21257"/>
    <w:rsid w:val="00D21466"/>
    <w:rsid w:val="00D21860"/>
    <w:rsid w:val="00D220EB"/>
    <w:rsid w:val="00D2376C"/>
    <w:rsid w:val="00D2399D"/>
    <w:rsid w:val="00D23A17"/>
    <w:rsid w:val="00D246C6"/>
    <w:rsid w:val="00D24744"/>
    <w:rsid w:val="00D24966"/>
    <w:rsid w:val="00D24972"/>
    <w:rsid w:val="00D24D64"/>
    <w:rsid w:val="00D24D96"/>
    <w:rsid w:val="00D2515E"/>
    <w:rsid w:val="00D254CD"/>
    <w:rsid w:val="00D25760"/>
    <w:rsid w:val="00D25C21"/>
    <w:rsid w:val="00D25F74"/>
    <w:rsid w:val="00D261F7"/>
    <w:rsid w:val="00D2662D"/>
    <w:rsid w:val="00D26B83"/>
    <w:rsid w:val="00D27130"/>
    <w:rsid w:val="00D27531"/>
    <w:rsid w:val="00D27C68"/>
    <w:rsid w:val="00D30260"/>
    <w:rsid w:val="00D30775"/>
    <w:rsid w:val="00D308DD"/>
    <w:rsid w:val="00D308ED"/>
    <w:rsid w:val="00D30F4C"/>
    <w:rsid w:val="00D3172B"/>
    <w:rsid w:val="00D31E8C"/>
    <w:rsid w:val="00D32152"/>
    <w:rsid w:val="00D32261"/>
    <w:rsid w:val="00D32604"/>
    <w:rsid w:val="00D3269E"/>
    <w:rsid w:val="00D327CC"/>
    <w:rsid w:val="00D32808"/>
    <w:rsid w:val="00D32829"/>
    <w:rsid w:val="00D328D1"/>
    <w:rsid w:val="00D32A15"/>
    <w:rsid w:val="00D32CDF"/>
    <w:rsid w:val="00D32FB1"/>
    <w:rsid w:val="00D33060"/>
    <w:rsid w:val="00D33585"/>
    <w:rsid w:val="00D33859"/>
    <w:rsid w:val="00D34E52"/>
    <w:rsid w:val="00D34FF0"/>
    <w:rsid w:val="00D354BE"/>
    <w:rsid w:val="00D359E1"/>
    <w:rsid w:val="00D36E3A"/>
    <w:rsid w:val="00D36F82"/>
    <w:rsid w:val="00D37703"/>
    <w:rsid w:val="00D3772D"/>
    <w:rsid w:val="00D37895"/>
    <w:rsid w:val="00D37BB2"/>
    <w:rsid w:val="00D37E36"/>
    <w:rsid w:val="00D37FEA"/>
    <w:rsid w:val="00D402A7"/>
    <w:rsid w:val="00D405D8"/>
    <w:rsid w:val="00D40C74"/>
    <w:rsid w:val="00D414BF"/>
    <w:rsid w:val="00D414D5"/>
    <w:rsid w:val="00D41C3E"/>
    <w:rsid w:val="00D42D70"/>
    <w:rsid w:val="00D43180"/>
    <w:rsid w:val="00D4338E"/>
    <w:rsid w:val="00D4349E"/>
    <w:rsid w:val="00D43623"/>
    <w:rsid w:val="00D43854"/>
    <w:rsid w:val="00D4486A"/>
    <w:rsid w:val="00D448A9"/>
    <w:rsid w:val="00D44CF0"/>
    <w:rsid w:val="00D45522"/>
    <w:rsid w:val="00D455E8"/>
    <w:rsid w:val="00D456F4"/>
    <w:rsid w:val="00D45718"/>
    <w:rsid w:val="00D45AB6"/>
    <w:rsid w:val="00D45ECC"/>
    <w:rsid w:val="00D46C3F"/>
    <w:rsid w:val="00D46F7C"/>
    <w:rsid w:val="00D47089"/>
    <w:rsid w:val="00D47976"/>
    <w:rsid w:val="00D504AD"/>
    <w:rsid w:val="00D505C6"/>
    <w:rsid w:val="00D51A99"/>
    <w:rsid w:val="00D51FE8"/>
    <w:rsid w:val="00D52442"/>
    <w:rsid w:val="00D52DFE"/>
    <w:rsid w:val="00D5309D"/>
    <w:rsid w:val="00D532AA"/>
    <w:rsid w:val="00D5367A"/>
    <w:rsid w:val="00D53CE2"/>
    <w:rsid w:val="00D5431F"/>
    <w:rsid w:val="00D54424"/>
    <w:rsid w:val="00D54998"/>
    <w:rsid w:val="00D551A8"/>
    <w:rsid w:val="00D55DF5"/>
    <w:rsid w:val="00D56178"/>
    <w:rsid w:val="00D56CF0"/>
    <w:rsid w:val="00D56F5C"/>
    <w:rsid w:val="00D570C1"/>
    <w:rsid w:val="00D575E5"/>
    <w:rsid w:val="00D57705"/>
    <w:rsid w:val="00D578C9"/>
    <w:rsid w:val="00D57AB0"/>
    <w:rsid w:val="00D57B0A"/>
    <w:rsid w:val="00D57ED9"/>
    <w:rsid w:val="00D6000B"/>
    <w:rsid w:val="00D6062B"/>
    <w:rsid w:val="00D61816"/>
    <w:rsid w:val="00D6197D"/>
    <w:rsid w:val="00D61B16"/>
    <w:rsid w:val="00D61B9B"/>
    <w:rsid w:val="00D62319"/>
    <w:rsid w:val="00D625D3"/>
    <w:rsid w:val="00D62B67"/>
    <w:rsid w:val="00D62B6D"/>
    <w:rsid w:val="00D62DDC"/>
    <w:rsid w:val="00D635BA"/>
    <w:rsid w:val="00D6414C"/>
    <w:rsid w:val="00D656B1"/>
    <w:rsid w:val="00D65821"/>
    <w:rsid w:val="00D66A11"/>
    <w:rsid w:val="00D67177"/>
    <w:rsid w:val="00D6777B"/>
    <w:rsid w:val="00D678C6"/>
    <w:rsid w:val="00D701A7"/>
    <w:rsid w:val="00D704B1"/>
    <w:rsid w:val="00D7060F"/>
    <w:rsid w:val="00D70B63"/>
    <w:rsid w:val="00D7199F"/>
    <w:rsid w:val="00D71F10"/>
    <w:rsid w:val="00D7229F"/>
    <w:rsid w:val="00D72B92"/>
    <w:rsid w:val="00D72ED4"/>
    <w:rsid w:val="00D7340D"/>
    <w:rsid w:val="00D73895"/>
    <w:rsid w:val="00D73D69"/>
    <w:rsid w:val="00D73F61"/>
    <w:rsid w:val="00D741BD"/>
    <w:rsid w:val="00D74327"/>
    <w:rsid w:val="00D74F4B"/>
    <w:rsid w:val="00D7536A"/>
    <w:rsid w:val="00D754C0"/>
    <w:rsid w:val="00D75609"/>
    <w:rsid w:val="00D75DAB"/>
    <w:rsid w:val="00D7639C"/>
    <w:rsid w:val="00D76653"/>
    <w:rsid w:val="00D776A2"/>
    <w:rsid w:val="00D7770F"/>
    <w:rsid w:val="00D7798D"/>
    <w:rsid w:val="00D801C4"/>
    <w:rsid w:val="00D80612"/>
    <w:rsid w:val="00D8076D"/>
    <w:rsid w:val="00D807FC"/>
    <w:rsid w:val="00D809F1"/>
    <w:rsid w:val="00D80BDE"/>
    <w:rsid w:val="00D81504"/>
    <w:rsid w:val="00D81678"/>
    <w:rsid w:val="00D817CF"/>
    <w:rsid w:val="00D81807"/>
    <w:rsid w:val="00D81C68"/>
    <w:rsid w:val="00D81D6B"/>
    <w:rsid w:val="00D81F35"/>
    <w:rsid w:val="00D8292D"/>
    <w:rsid w:val="00D8321B"/>
    <w:rsid w:val="00D83BFD"/>
    <w:rsid w:val="00D83E0E"/>
    <w:rsid w:val="00D8416C"/>
    <w:rsid w:val="00D84221"/>
    <w:rsid w:val="00D84270"/>
    <w:rsid w:val="00D84DFE"/>
    <w:rsid w:val="00D85C9F"/>
    <w:rsid w:val="00D874FC"/>
    <w:rsid w:val="00D878EB"/>
    <w:rsid w:val="00D903C8"/>
    <w:rsid w:val="00D9051D"/>
    <w:rsid w:val="00D90836"/>
    <w:rsid w:val="00D916C6"/>
    <w:rsid w:val="00D91A5A"/>
    <w:rsid w:val="00D91C8E"/>
    <w:rsid w:val="00D91DED"/>
    <w:rsid w:val="00D91F57"/>
    <w:rsid w:val="00D9208C"/>
    <w:rsid w:val="00D920B5"/>
    <w:rsid w:val="00D92746"/>
    <w:rsid w:val="00D92C2B"/>
    <w:rsid w:val="00D92D33"/>
    <w:rsid w:val="00D93B30"/>
    <w:rsid w:val="00D9407B"/>
    <w:rsid w:val="00D955CD"/>
    <w:rsid w:val="00D95896"/>
    <w:rsid w:val="00D95B8D"/>
    <w:rsid w:val="00D95B98"/>
    <w:rsid w:val="00D95CC6"/>
    <w:rsid w:val="00D96D4D"/>
    <w:rsid w:val="00D96D87"/>
    <w:rsid w:val="00D96F38"/>
    <w:rsid w:val="00D96F53"/>
    <w:rsid w:val="00D96FD8"/>
    <w:rsid w:val="00D9708D"/>
    <w:rsid w:val="00D97572"/>
    <w:rsid w:val="00DA02C3"/>
    <w:rsid w:val="00DA0316"/>
    <w:rsid w:val="00DA03F0"/>
    <w:rsid w:val="00DA0516"/>
    <w:rsid w:val="00DA068F"/>
    <w:rsid w:val="00DA0B04"/>
    <w:rsid w:val="00DA0BB3"/>
    <w:rsid w:val="00DA1400"/>
    <w:rsid w:val="00DA1BEA"/>
    <w:rsid w:val="00DA1CDF"/>
    <w:rsid w:val="00DA1EB4"/>
    <w:rsid w:val="00DA21BB"/>
    <w:rsid w:val="00DA275F"/>
    <w:rsid w:val="00DA2C79"/>
    <w:rsid w:val="00DA2DA3"/>
    <w:rsid w:val="00DA3303"/>
    <w:rsid w:val="00DA373A"/>
    <w:rsid w:val="00DA398B"/>
    <w:rsid w:val="00DA45FE"/>
    <w:rsid w:val="00DA4615"/>
    <w:rsid w:val="00DA46BF"/>
    <w:rsid w:val="00DA4BED"/>
    <w:rsid w:val="00DA4F39"/>
    <w:rsid w:val="00DA544E"/>
    <w:rsid w:val="00DA5B9E"/>
    <w:rsid w:val="00DA6615"/>
    <w:rsid w:val="00DA76AE"/>
    <w:rsid w:val="00DA776B"/>
    <w:rsid w:val="00DA7A1E"/>
    <w:rsid w:val="00DA7B80"/>
    <w:rsid w:val="00DB03A1"/>
    <w:rsid w:val="00DB0524"/>
    <w:rsid w:val="00DB07D3"/>
    <w:rsid w:val="00DB17F3"/>
    <w:rsid w:val="00DB181E"/>
    <w:rsid w:val="00DB1C7A"/>
    <w:rsid w:val="00DB1EAB"/>
    <w:rsid w:val="00DB26D1"/>
    <w:rsid w:val="00DB28AA"/>
    <w:rsid w:val="00DB2983"/>
    <w:rsid w:val="00DB2DC8"/>
    <w:rsid w:val="00DB3107"/>
    <w:rsid w:val="00DB343D"/>
    <w:rsid w:val="00DB3495"/>
    <w:rsid w:val="00DB3B63"/>
    <w:rsid w:val="00DB4A01"/>
    <w:rsid w:val="00DB4CA5"/>
    <w:rsid w:val="00DB4D52"/>
    <w:rsid w:val="00DB5035"/>
    <w:rsid w:val="00DB5091"/>
    <w:rsid w:val="00DB5305"/>
    <w:rsid w:val="00DB5579"/>
    <w:rsid w:val="00DB5CFE"/>
    <w:rsid w:val="00DB5DE5"/>
    <w:rsid w:val="00DB602F"/>
    <w:rsid w:val="00DB6472"/>
    <w:rsid w:val="00DB6648"/>
    <w:rsid w:val="00DB688C"/>
    <w:rsid w:val="00DB69DB"/>
    <w:rsid w:val="00DB7073"/>
    <w:rsid w:val="00DB7591"/>
    <w:rsid w:val="00DB762B"/>
    <w:rsid w:val="00DB7E5A"/>
    <w:rsid w:val="00DC027D"/>
    <w:rsid w:val="00DC068C"/>
    <w:rsid w:val="00DC0D63"/>
    <w:rsid w:val="00DC1410"/>
    <w:rsid w:val="00DC175C"/>
    <w:rsid w:val="00DC2B61"/>
    <w:rsid w:val="00DC2C3F"/>
    <w:rsid w:val="00DC3429"/>
    <w:rsid w:val="00DC3551"/>
    <w:rsid w:val="00DC4E04"/>
    <w:rsid w:val="00DC50AC"/>
    <w:rsid w:val="00DC54E7"/>
    <w:rsid w:val="00DC6D2F"/>
    <w:rsid w:val="00DC70B6"/>
    <w:rsid w:val="00DC72A6"/>
    <w:rsid w:val="00DC7397"/>
    <w:rsid w:val="00DC7718"/>
    <w:rsid w:val="00DC785E"/>
    <w:rsid w:val="00DD00C1"/>
    <w:rsid w:val="00DD02A1"/>
    <w:rsid w:val="00DD0ECD"/>
    <w:rsid w:val="00DD1076"/>
    <w:rsid w:val="00DD10E2"/>
    <w:rsid w:val="00DD1A49"/>
    <w:rsid w:val="00DD2113"/>
    <w:rsid w:val="00DD2314"/>
    <w:rsid w:val="00DD265E"/>
    <w:rsid w:val="00DD2820"/>
    <w:rsid w:val="00DD28BA"/>
    <w:rsid w:val="00DD2A87"/>
    <w:rsid w:val="00DD2A95"/>
    <w:rsid w:val="00DD2FE5"/>
    <w:rsid w:val="00DD32B0"/>
    <w:rsid w:val="00DD32FE"/>
    <w:rsid w:val="00DD348D"/>
    <w:rsid w:val="00DD3B7E"/>
    <w:rsid w:val="00DD468A"/>
    <w:rsid w:val="00DD46DE"/>
    <w:rsid w:val="00DD5B7B"/>
    <w:rsid w:val="00DD6B83"/>
    <w:rsid w:val="00DD780B"/>
    <w:rsid w:val="00DD7AF8"/>
    <w:rsid w:val="00DD7B03"/>
    <w:rsid w:val="00DD7C28"/>
    <w:rsid w:val="00DE0446"/>
    <w:rsid w:val="00DE0A0D"/>
    <w:rsid w:val="00DE139F"/>
    <w:rsid w:val="00DE13B1"/>
    <w:rsid w:val="00DE16FE"/>
    <w:rsid w:val="00DE1871"/>
    <w:rsid w:val="00DE1FDF"/>
    <w:rsid w:val="00DE213C"/>
    <w:rsid w:val="00DE2718"/>
    <w:rsid w:val="00DE28A1"/>
    <w:rsid w:val="00DE309C"/>
    <w:rsid w:val="00DE33D5"/>
    <w:rsid w:val="00DE3647"/>
    <w:rsid w:val="00DE3703"/>
    <w:rsid w:val="00DE3A1C"/>
    <w:rsid w:val="00DE4112"/>
    <w:rsid w:val="00DE4703"/>
    <w:rsid w:val="00DE5323"/>
    <w:rsid w:val="00DE5A3F"/>
    <w:rsid w:val="00DE5C58"/>
    <w:rsid w:val="00DE5FDB"/>
    <w:rsid w:val="00DE6410"/>
    <w:rsid w:val="00DE65C8"/>
    <w:rsid w:val="00DE6BC9"/>
    <w:rsid w:val="00DE708D"/>
    <w:rsid w:val="00DE72F3"/>
    <w:rsid w:val="00DE7548"/>
    <w:rsid w:val="00DE75A2"/>
    <w:rsid w:val="00DE7DD2"/>
    <w:rsid w:val="00DF04F2"/>
    <w:rsid w:val="00DF06DD"/>
    <w:rsid w:val="00DF127E"/>
    <w:rsid w:val="00DF154F"/>
    <w:rsid w:val="00DF1930"/>
    <w:rsid w:val="00DF1BC3"/>
    <w:rsid w:val="00DF32E2"/>
    <w:rsid w:val="00DF3540"/>
    <w:rsid w:val="00DF3AD2"/>
    <w:rsid w:val="00DF3BD1"/>
    <w:rsid w:val="00DF5133"/>
    <w:rsid w:val="00DF514A"/>
    <w:rsid w:val="00DF5275"/>
    <w:rsid w:val="00DF5C88"/>
    <w:rsid w:val="00DF6128"/>
    <w:rsid w:val="00DF61BC"/>
    <w:rsid w:val="00DF6293"/>
    <w:rsid w:val="00DF64CA"/>
    <w:rsid w:val="00DF6D22"/>
    <w:rsid w:val="00DF6D84"/>
    <w:rsid w:val="00DF7E06"/>
    <w:rsid w:val="00E004B4"/>
    <w:rsid w:val="00E0089F"/>
    <w:rsid w:val="00E00A51"/>
    <w:rsid w:val="00E01280"/>
    <w:rsid w:val="00E013F4"/>
    <w:rsid w:val="00E017EC"/>
    <w:rsid w:val="00E01AF2"/>
    <w:rsid w:val="00E01B22"/>
    <w:rsid w:val="00E0291F"/>
    <w:rsid w:val="00E03476"/>
    <w:rsid w:val="00E03549"/>
    <w:rsid w:val="00E0358D"/>
    <w:rsid w:val="00E03FF3"/>
    <w:rsid w:val="00E045DB"/>
    <w:rsid w:val="00E046CF"/>
    <w:rsid w:val="00E04F5A"/>
    <w:rsid w:val="00E055CD"/>
    <w:rsid w:val="00E05777"/>
    <w:rsid w:val="00E05911"/>
    <w:rsid w:val="00E05EAE"/>
    <w:rsid w:val="00E061C6"/>
    <w:rsid w:val="00E06327"/>
    <w:rsid w:val="00E06478"/>
    <w:rsid w:val="00E075A5"/>
    <w:rsid w:val="00E0779D"/>
    <w:rsid w:val="00E07CB1"/>
    <w:rsid w:val="00E10909"/>
    <w:rsid w:val="00E1111F"/>
    <w:rsid w:val="00E11222"/>
    <w:rsid w:val="00E11F84"/>
    <w:rsid w:val="00E12AC0"/>
    <w:rsid w:val="00E133B3"/>
    <w:rsid w:val="00E136E3"/>
    <w:rsid w:val="00E13CA9"/>
    <w:rsid w:val="00E13F3A"/>
    <w:rsid w:val="00E142EF"/>
    <w:rsid w:val="00E14E76"/>
    <w:rsid w:val="00E14EAB"/>
    <w:rsid w:val="00E152CA"/>
    <w:rsid w:val="00E15CCF"/>
    <w:rsid w:val="00E16149"/>
    <w:rsid w:val="00E16E62"/>
    <w:rsid w:val="00E202C4"/>
    <w:rsid w:val="00E2033B"/>
    <w:rsid w:val="00E2064B"/>
    <w:rsid w:val="00E215C6"/>
    <w:rsid w:val="00E221EA"/>
    <w:rsid w:val="00E22D0A"/>
    <w:rsid w:val="00E22DD1"/>
    <w:rsid w:val="00E232FE"/>
    <w:rsid w:val="00E233EE"/>
    <w:rsid w:val="00E2356E"/>
    <w:rsid w:val="00E23C27"/>
    <w:rsid w:val="00E2411F"/>
    <w:rsid w:val="00E24208"/>
    <w:rsid w:val="00E24D2A"/>
    <w:rsid w:val="00E25239"/>
    <w:rsid w:val="00E25623"/>
    <w:rsid w:val="00E25E38"/>
    <w:rsid w:val="00E26060"/>
    <w:rsid w:val="00E262F7"/>
    <w:rsid w:val="00E263FD"/>
    <w:rsid w:val="00E265B1"/>
    <w:rsid w:val="00E2663A"/>
    <w:rsid w:val="00E266A9"/>
    <w:rsid w:val="00E26C05"/>
    <w:rsid w:val="00E26DA4"/>
    <w:rsid w:val="00E26EA6"/>
    <w:rsid w:val="00E275B0"/>
    <w:rsid w:val="00E27891"/>
    <w:rsid w:val="00E309A4"/>
    <w:rsid w:val="00E30EEF"/>
    <w:rsid w:val="00E31290"/>
    <w:rsid w:val="00E317F7"/>
    <w:rsid w:val="00E318ED"/>
    <w:rsid w:val="00E31C05"/>
    <w:rsid w:val="00E31E95"/>
    <w:rsid w:val="00E325AB"/>
    <w:rsid w:val="00E32905"/>
    <w:rsid w:val="00E32992"/>
    <w:rsid w:val="00E32B5B"/>
    <w:rsid w:val="00E331F7"/>
    <w:rsid w:val="00E3382D"/>
    <w:rsid w:val="00E3394F"/>
    <w:rsid w:val="00E33CC6"/>
    <w:rsid w:val="00E36217"/>
    <w:rsid w:val="00E3637D"/>
    <w:rsid w:val="00E36CFB"/>
    <w:rsid w:val="00E403AB"/>
    <w:rsid w:val="00E40700"/>
    <w:rsid w:val="00E410AC"/>
    <w:rsid w:val="00E41266"/>
    <w:rsid w:val="00E412D0"/>
    <w:rsid w:val="00E414AC"/>
    <w:rsid w:val="00E41A29"/>
    <w:rsid w:val="00E41D2E"/>
    <w:rsid w:val="00E41E37"/>
    <w:rsid w:val="00E42305"/>
    <w:rsid w:val="00E42927"/>
    <w:rsid w:val="00E42AE2"/>
    <w:rsid w:val="00E43B30"/>
    <w:rsid w:val="00E442D6"/>
    <w:rsid w:val="00E4430C"/>
    <w:rsid w:val="00E44DD8"/>
    <w:rsid w:val="00E44F96"/>
    <w:rsid w:val="00E45B73"/>
    <w:rsid w:val="00E47654"/>
    <w:rsid w:val="00E47828"/>
    <w:rsid w:val="00E47B0C"/>
    <w:rsid w:val="00E47BED"/>
    <w:rsid w:val="00E47CDB"/>
    <w:rsid w:val="00E50B69"/>
    <w:rsid w:val="00E50FF1"/>
    <w:rsid w:val="00E51014"/>
    <w:rsid w:val="00E5113A"/>
    <w:rsid w:val="00E5176A"/>
    <w:rsid w:val="00E51A24"/>
    <w:rsid w:val="00E51D61"/>
    <w:rsid w:val="00E51E96"/>
    <w:rsid w:val="00E51FB1"/>
    <w:rsid w:val="00E530C3"/>
    <w:rsid w:val="00E5347D"/>
    <w:rsid w:val="00E53546"/>
    <w:rsid w:val="00E53D8F"/>
    <w:rsid w:val="00E5422F"/>
    <w:rsid w:val="00E5438E"/>
    <w:rsid w:val="00E54B74"/>
    <w:rsid w:val="00E55281"/>
    <w:rsid w:val="00E56397"/>
    <w:rsid w:val="00E563B7"/>
    <w:rsid w:val="00E564B5"/>
    <w:rsid w:val="00E565AE"/>
    <w:rsid w:val="00E566BC"/>
    <w:rsid w:val="00E57BE1"/>
    <w:rsid w:val="00E57C69"/>
    <w:rsid w:val="00E601C1"/>
    <w:rsid w:val="00E60696"/>
    <w:rsid w:val="00E6096B"/>
    <w:rsid w:val="00E60982"/>
    <w:rsid w:val="00E60C8D"/>
    <w:rsid w:val="00E60CF7"/>
    <w:rsid w:val="00E610E3"/>
    <w:rsid w:val="00E61203"/>
    <w:rsid w:val="00E614EA"/>
    <w:rsid w:val="00E6162F"/>
    <w:rsid w:val="00E61E72"/>
    <w:rsid w:val="00E61E8D"/>
    <w:rsid w:val="00E622BD"/>
    <w:rsid w:val="00E627FE"/>
    <w:rsid w:val="00E62873"/>
    <w:rsid w:val="00E62B8F"/>
    <w:rsid w:val="00E6311B"/>
    <w:rsid w:val="00E638BF"/>
    <w:rsid w:val="00E63B7D"/>
    <w:rsid w:val="00E63E17"/>
    <w:rsid w:val="00E642BD"/>
    <w:rsid w:val="00E644D1"/>
    <w:rsid w:val="00E64631"/>
    <w:rsid w:val="00E64F20"/>
    <w:rsid w:val="00E6517C"/>
    <w:rsid w:val="00E657CC"/>
    <w:rsid w:val="00E65AC4"/>
    <w:rsid w:val="00E65D97"/>
    <w:rsid w:val="00E6659A"/>
    <w:rsid w:val="00E6690F"/>
    <w:rsid w:val="00E66ED2"/>
    <w:rsid w:val="00E66F55"/>
    <w:rsid w:val="00E67BD2"/>
    <w:rsid w:val="00E67EFD"/>
    <w:rsid w:val="00E702DC"/>
    <w:rsid w:val="00E70743"/>
    <w:rsid w:val="00E7121C"/>
    <w:rsid w:val="00E71674"/>
    <w:rsid w:val="00E716AA"/>
    <w:rsid w:val="00E716F9"/>
    <w:rsid w:val="00E71FFB"/>
    <w:rsid w:val="00E7246B"/>
    <w:rsid w:val="00E7310E"/>
    <w:rsid w:val="00E731E2"/>
    <w:rsid w:val="00E73A35"/>
    <w:rsid w:val="00E73E1A"/>
    <w:rsid w:val="00E7420A"/>
    <w:rsid w:val="00E74392"/>
    <w:rsid w:val="00E74602"/>
    <w:rsid w:val="00E747D3"/>
    <w:rsid w:val="00E75024"/>
    <w:rsid w:val="00E7551C"/>
    <w:rsid w:val="00E75620"/>
    <w:rsid w:val="00E75D5A"/>
    <w:rsid w:val="00E75E82"/>
    <w:rsid w:val="00E762FA"/>
    <w:rsid w:val="00E767A5"/>
    <w:rsid w:val="00E76D1D"/>
    <w:rsid w:val="00E771A9"/>
    <w:rsid w:val="00E77238"/>
    <w:rsid w:val="00E775E0"/>
    <w:rsid w:val="00E77764"/>
    <w:rsid w:val="00E777DC"/>
    <w:rsid w:val="00E8019E"/>
    <w:rsid w:val="00E80278"/>
    <w:rsid w:val="00E806F8"/>
    <w:rsid w:val="00E80C4E"/>
    <w:rsid w:val="00E81431"/>
    <w:rsid w:val="00E815EF"/>
    <w:rsid w:val="00E81677"/>
    <w:rsid w:val="00E816E3"/>
    <w:rsid w:val="00E8171C"/>
    <w:rsid w:val="00E81B32"/>
    <w:rsid w:val="00E8381F"/>
    <w:rsid w:val="00E84A8E"/>
    <w:rsid w:val="00E84C33"/>
    <w:rsid w:val="00E85B8A"/>
    <w:rsid w:val="00E85BF6"/>
    <w:rsid w:val="00E863F1"/>
    <w:rsid w:val="00E86BE8"/>
    <w:rsid w:val="00E86C36"/>
    <w:rsid w:val="00E870C5"/>
    <w:rsid w:val="00E87752"/>
    <w:rsid w:val="00E8793B"/>
    <w:rsid w:val="00E87D6F"/>
    <w:rsid w:val="00E87F63"/>
    <w:rsid w:val="00E9092D"/>
    <w:rsid w:val="00E90F81"/>
    <w:rsid w:val="00E910B6"/>
    <w:rsid w:val="00E91411"/>
    <w:rsid w:val="00E915F0"/>
    <w:rsid w:val="00E9192E"/>
    <w:rsid w:val="00E91A6D"/>
    <w:rsid w:val="00E91A8F"/>
    <w:rsid w:val="00E91E07"/>
    <w:rsid w:val="00E9242D"/>
    <w:rsid w:val="00E92449"/>
    <w:rsid w:val="00E92778"/>
    <w:rsid w:val="00E92D0F"/>
    <w:rsid w:val="00E935C7"/>
    <w:rsid w:val="00E93DB4"/>
    <w:rsid w:val="00E94126"/>
    <w:rsid w:val="00E94D0B"/>
    <w:rsid w:val="00E94EF6"/>
    <w:rsid w:val="00E957FB"/>
    <w:rsid w:val="00E95B61"/>
    <w:rsid w:val="00E966F4"/>
    <w:rsid w:val="00E9774B"/>
    <w:rsid w:val="00E97F76"/>
    <w:rsid w:val="00EA1763"/>
    <w:rsid w:val="00EA19DD"/>
    <w:rsid w:val="00EA1AEC"/>
    <w:rsid w:val="00EA228B"/>
    <w:rsid w:val="00EA2B48"/>
    <w:rsid w:val="00EA31A7"/>
    <w:rsid w:val="00EA35B8"/>
    <w:rsid w:val="00EA3A7B"/>
    <w:rsid w:val="00EA3CB9"/>
    <w:rsid w:val="00EA3D9E"/>
    <w:rsid w:val="00EA425D"/>
    <w:rsid w:val="00EA43F2"/>
    <w:rsid w:val="00EA4AC8"/>
    <w:rsid w:val="00EA5A0E"/>
    <w:rsid w:val="00EA6041"/>
    <w:rsid w:val="00EA63F2"/>
    <w:rsid w:val="00EA6C10"/>
    <w:rsid w:val="00EA6D3C"/>
    <w:rsid w:val="00EA71E2"/>
    <w:rsid w:val="00EA7829"/>
    <w:rsid w:val="00EA7FC5"/>
    <w:rsid w:val="00EB041C"/>
    <w:rsid w:val="00EB0836"/>
    <w:rsid w:val="00EB0B7F"/>
    <w:rsid w:val="00EB14F4"/>
    <w:rsid w:val="00EB162E"/>
    <w:rsid w:val="00EB166E"/>
    <w:rsid w:val="00EB1BBB"/>
    <w:rsid w:val="00EB20FE"/>
    <w:rsid w:val="00EB269E"/>
    <w:rsid w:val="00EB282F"/>
    <w:rsid w:val="00EB2903"/>
    <w:rsid w:val="00EB2DCC"/>
    <w:rsid w:val="00EB2F09"/>
    <w:rsid w:val="00EB3173"/>
    <w:rsid w:val="00EB4F4A"/>
    <w:rsid w:val="00EB516B"/>
    <w:rsid w:val="00EB587E"/>
    <w:rsid w:val="00EB5A72"/>
    <w:rsid w:val="00EB6375"/>
    <w:rsid w:val="00EC0749"/>
    <w:rsid w:val="00EC28C6"/>
    <w:rsid w:val="00EC2F3A"/>
    <w:rsid w:val="00EC3A3A"/>
    <w:rsid w:val="00EC446A"/>
    <w:rsid w:val="00EC4F36"/>
    <w:rsid w:val="00EC4F89"/>
    <w:rsid w:val="00EC5874"/>
    <w:rsid w:val="00EC58C7"/>
    <w:rsid w:val="00EC595F"/>
    <w:rsid w:val="00EC5B32"/>
    <w:rsid w:val="00EC5E69"/>
    <w:rsid w:val="00EC654B"/>
    <w:rsid w:val="00EC69A1"/>
    <w:rsid w:val="00EC6C5D"/>
    <w:rsid w:val="00EC75F3"/>
    <w:rsid w:val="00EC7943"/>
    <w:rsid w:val="00EC7A0C"/>
    <w:rsid w:val="00EC7A45"/>
    <w:rsid w:val="00EC7AEC"/>
    <w:rsid w:val="00ED06DD"/>
    <w:rsid w:val="00ED0843"/>
    <w:rsid w:val="00ED0D5B"/>
    <w:rsid w:val="00ED11D5"/>
    <w:rsid w:val="00ED192D"/>
    <w:rsid w:val="00ED1E1E"/>
    <w:rsid w:val="00ED1FDD"/>
    <w:rsid w:val="00ED2193"/>
    <w:rsid w:val="00ED2B6A"/>
    <w:rsid w:val="00ED30B4"/>
    <w:rsid w:val="00ED31F5"/>
    <w:rsid w:val="00ED3C2E"/>
    <w:rsid w:val="00ED3CB7"/>
    <w:rsid w:val="00ED3DC1"/>
    <w:rsid w:val="00ED4418"/>
    <w:rsid w:val="00ED4F43"/>
    <w:rsid w:val="00ED5530"/>
    <w:rsid w:val="00ED5AC6"/>
    <w:rsid w:val="00ED70BE"/>
    <w:rsid w:val="00ED76B4"/>
    <w:rsid w:val="00EE0004"/>
    <w:rsid w:val="00EE07D2"/>
    <w:rsid w:val="00EE0F77"/>
    <w:rsid w:val="00EE1576"/>
    <w:rsid w:val="00EE2417"/>
    <w:rsid w:val="00EE2675"/>
    <w:rsid w:val="00EE2EF1"/>
    <w:rsid w:val="00EE2F36"/>
    <w:rsid w:val="00EE3189"/>
    <w:rsid w:val="00EE42E3"/>
    <w:rsid w:val="00EE4D9A"/>
    <w:rsid w:val="00EE4ECA"/>
    <w:rsid w:val="00EE5C78"/>
    <w:rsid w:val="00EE62F8"/>
    <w:rsid w:val="00EE6DFA"/>
    <w:rsid w:val="00EE6F8B"/>
    <w:rsid w:val="00EE727B"/>
    <w:rsid w:val="00EE7A4A"/>
    <w:rsid w:val="00EE7B7D"/>
    <w:rsid w:val="00EF009D"/>
    <w:rsid w:val="00EF01D5"/>
    <w:rsid w:val="00EF032E"/>
    <w:rsid w:val="00EF0C23"/>
    <w:rsid w:val="00EF0F7F"/>
    <w:rsid w:val="00EF10B7"/>
    <w:rsid w:val="00EF1107"/>
    <w:rsid w:val="00EF1255"/>
    <w:rsid w:val="00EF187C"/>
    <w:rsid w:val="00EF1DE8"/>
    <w:rsid w:val="00EF2759"/>
    <w:rsid w:val="00EF2DFA"/>
    <w:rsid w:val="00EF2E06"/>
    <w:rsid w:val="00EF3C41"/>
    <w:rsid w:val="00EF43C7"/>
    <w:rsid w:val="00EF45EB"/>
    <w:rsid w:val="00EF5099"/>
    <w:rsid w:val="00EF5421"/>
    <w:rsid w:val="00EF55D8"/>
    <w:rsid w:val="00EF5758"/>
    <w:rsid w:val="00EF5A34"/>
    <w:rsid w:val="00EF5E33"/>
    <w:rsid w:val="00EF60A3"/>
    <w:rsid w:val="00EF64A2"/>
    <w:rsid w:val="00EF656A"/>
    <w:rsid w:val="00EF6A39"/>
    <w:rsid w:val="00F00075"/>
    <w:rsid w:val="00F01ECC"/>
    <w:rsid w:val="00F025BD"/>
    <w:rsid w:val="00F02B85"/>
    <w:rsid w:val="00F032F5"/>
    <w:rsid w:val="00F03348"/>
    <w:rsid w:val="00F03D99"/>
    <w:rsid w:val="00F03EF6"/>
    <w:rsid w:val="00F04899"/>
    <w:rsid w:val="00F04AD0"/>
    <w:rsid w:val="00F0553B"/>
    <w:rsid w:val="00F05795"/>
    <w:rsid w:val="00F05ACC"/>
    <w:rsid w:val="00F0606F"/>
    <w:rsid w:val="00F0646E"/>
    <w:rsid w:val="00F0660D"/>
    <w:rsid w:val="00F06840"/>
    <w:rsid w:val="00F06C1D"/>
    <w:rsid w:val="00F06E07"/>
    <w:rsid w:val="00F06E5D"/>
    <w:rsid w:val="00F07822"/>
    <w:rsid w:val="00F11008"/>
    <w:rsid w:val="00F11874"/>
    <w:rsid w:val="00F11BB8"/>
    <w:rsid w:val="00F124B2"/>
    <w:rsid w:val="00F13505"/>
    <w:rsid w:val="00F13993"/>
    <w:rsid w:val="00F13AB4"/>
    <w:rsid w:val="00F13D16"/>
    <w:rsid w:val="00F14741"/>
    <w:rsid w:val="00F14D44"/>
    <w:rsid w:val="00F15257"/>
    <w:rsid w:val="00F15711"/>
    <w:rsid w:val="00F15C95"/>
    <w:rsid w:val="00F16A86"/>
    <w:rsid w:val="00F16A96"/>
    <w:rsid w:val="00F17527"/>
    <w:rsid w:val="00F17FF4"/>
    <w:rsid w:val="00F20123"/>
    <w:rsid w:val="00F20287"/>
    <w:rsid w:val="00F203F6"/>
    <w:rsid w:val="00F20875"/>
    <w:rsid w:val="00F20D8D"/>
    <w:rsid w:val="00F21AC9"/>
    <w:rsid w:val="00F21B0A"/>
    <w:rsid w:val="00F22080"/>
    <w:rsid w:val="00F2217B"/>
    <w:rsid w:val="00F222EB"/>
    <w:rsid w:val="00F22985"/>
    <w:rsid w:val="00F231F2"/>
    <w:rsid w:val="00F23749"/>
    <w:rsid w:val="00F23D8F"/>
    <w:rsid w:val="00F23FA7"/>
    <w:rsid w:val="00F241AB"/>
    <w:rsid w:val="00F24808"/>
    <w:rsid w:val="00F25C21"/>
    <w:rsid w:val="00F2650E"/>
    <w:rsid w:val="00F26685"/>
    <w:rsid w:val="00F27171"/>
    <w:rsid w:val="00F27180"/>
    <w:rsid w:val="00F271D3"/>
    <w:rsid w:val="00F27C3C"/>
    <w:rsid w:val="00F3037E"/>
    <w:rsid w:val="00F31179"/>
    <w:rsid w:val="00F31291"/>
    <w:rsid w:val="00F31382"/>
    <w:rsid w:val="00F31B8C"/>
    <w:rsid w:val="00F31BDE"/>
    <w:rsid w:val="00F32547"/>
    <w:rsid w:val="00F32564"/>
    <w:rsid w:val="00F32706"/>
    <w:rsid w:val="00F32915"/>
    <w:rsid w:val="00F3397A"/>
    <w:rsid w:val="00F34082"/>
    <w:rsid w:val="00F3440D"/>
    <w:rsid w:val="00F3488D"/>
    <w:rsid w:val="00F34C31"/>
    <w:rsid w:val="00F35203"/>
    <w:rsid w:val="00F353EC"/>
    <w:rsid w:val="00F3575F"/>
    <w:rsid w:val="00F35762"/>
    <w:rsid w:val="00F357FA"/>
    <w:rsid w:val="00F35829"/>
    <w:rsid w:val="00F3584F"/>
    <w:rsid w:val="00F35B99"/>
    <w:rsid w:val="00F35CAE"/>
    <w:rsid w:val="00F3629A"/>
    <w:rsid w:val="00F364D7"/>
    <w:rsid w:val="00F36714"/>
    <w:rsid w:val="00F36892"/>
    <w:rsid w:val="00F37B26"/>
    <w:rsid w:val="00F40241"/>
    <w:rsid w:val="00F407A6"/>
    <w:rsid w:val="00F407F5"/>
    <w:rsid w:val="00F4081C"/>
    <w:rsid w:val="00F41113"/>
    <w:rsid w:val="00F415FA"/>
    <w:rsid w:val="00F423E6"/>
    <w:rsid w:val="00F42751"/>
    <w:rsid w:val="00F42868"/>
    <w:rsid w:val="00F43964"/>
    <w:rsid w:val="00F43C31"/>
    <w:rsid w:val="00F43CF0"/>
    <w:rsid w:val="00F4461D"/>
    <w:rsid w:val="00F44FEE"/>
    <w:rsid w:val="00F45BAC"/>
    <w:rsid w:val="00F4605D"/>
    <w:rsid w:val="00F461D9"/>
    <w:rsid w:val="00F4626F"/>
    <w:rsid w:val="00F465A7"/>
    <w:rsid w:val="00F467BD"/>
    <w:rsid w:val="00F46B28"/>
    <w:rsid w:val="00F47397"/>
    <w:rsid w:val="00F477EC"/>
    <w:rsid w:val="00F47DB2"/>
    <w:rsid w:val="00F5020E"/>
    <w:rsid w:val="00F50B7C"/>
    <w:rsid w:val="00F50E03"/>
    <w:rsid w:val="00F51EC7"/>
    <w:rsid w:val="00F51EDA"/>
    <w:rsid w:val="00F5202D"/>
    <w:rsid w:val="00F52C18"/>
    <w:rsid w:val="00F52CF6"/>
    <w:rsid w:val="00F52F2E"/>
    <w:rsid w:val="00F52FBE"/>
    <w:rsid w:val="00F5317E"/>
    <w:rsid w:val="00F535D0"/>
    <w:rsid w:val="00F539CF"/>
    <w:rsid w:val="00F54496"/>
    <w:rsid w:val="00F54772"/>
    <w:rsid w:val="00F54C05"/>
    <w:rsid w:val="00F551A7"/>
    <w:rsid w:val="00F55940"/>
    <w:rsid w:val="00F55A08"/>
    <w:rsid w:val="00F55A18"/>
    <w:rsid w:val="00F563FD"/>
    <w:rsid w:val="00F56659"/>
    <w:rsid w:val="00F577E1"/>
    <w:rsid w:val="00F57F7D"/>
    <w:rsid w:val="00F60177"/>
    <w:rsid w:val="00F605FA"/>
    <w:rsid w:val="00F6092F"/>
    <w:rsid w:val="00F6099B"/>
    <w:rsid w:val="00F61097"/>
    <w:rsid w:val="00F61356"/>
    <w:rsid w:val="00F61C5D"/>
    <w:rsid w:val="00F61E47"/>
    <w:rsid w:val="00F61E90"/>
    <w:rsid w:val="00F622A3"/>
    <w:rsid w:val="00F6262D"/>
    <w:rsid w:val="00F635AB"/>
    <w:rsid w:val="00F64B19"/>
    <w:rsid w:val="00F64D8C"/>
    <w:rsid w:val="00F65356"/>
    <w:rsid w:val="00F653AA"/>
    <w:rsid w:val="00F65651"/>
    <w:rsid w:val="00F65EE0"/>
    <w:rsid w:val="00F66E6E"/>
    <w:rsid w:val="00F67310"/>
    <w:rsid w:val="00F67671"/>
    <w:rsid w:val="00F676FE"/>
    <w:rsid w:val="00F67722"/>
    <w:rsid w:val="00F677F9"/>
    <w:rsid w:val="00F67F5A"/>
    <w:rsid w:val="00F70078"/>
    <w:rsid w:val="00F70149"/>
    <w:rsid w:val="00F7034B"/>
    <w:rsid w:val="00F706BE"/>
    <w:rsid w:val="00F70DF9"/>
    <w:rsid w:val="00F70FAC"/>
    <w:rsid w:val="00F7131E"/>
    <w:rsid w:val="00F719C3"/>
    <w:rsid w:val="00F71BB1"/>
    <w:rsid w:val="00F72167"/>
    <w:rsid w:val="00F721B7"/>
    <w:rsid w:val="00F72471"/>
    <w:rsid w:val="00F7254B"/>
    <w:rsid w:val="00F72A34"/>
    <w:rsid w:val="00F73237"/>
    <w:rsid w:val="00F7411A"/>
    <w:rsid w:val="00F74345"/>
    <w:rsid w:val="00F74393"/>
    <w:rsid w:val="00F74441"/>
    <w:rsid w:val="00F747A5"/>
    <w:rsid w:val="00F74971"/>
    <w:rsid w:val="00F74C7A"/>
    <w:rsid w:val="00F74D59"/>
    <w:rsid w:val="00F752C0"/>
    <w:rsid w:val="00F75553"/>
    <w:rsid w:val="00F75D30"/>
    <w:rsid w:val="00F75D76"/>
    <w:rsid w:val="00F764E0"/>
    <w:rsid w:val="00F76582"/>
    <w:rsid w:val="00F76F37"/>
    <w:rsid w:val="00F76FB4"/>
    <w:rsid w:val="00F77259"/>
    <w:rsid w:val="00F7792E"/>
    <w:rsid w:val="00F77E6B"/>
    <w:rsid w:val="00F77F30"/>
    <w:rsid w:val="00F77F83"/>
    <w:rsid w:val="00F80035"/>
    <w:rsid w:val="00F8081E"/>
    <w:rsid w:val="00F80A4E"/>
    <w:rsid w:val="00F80AA9"/>
    <w:rsid w:val="00F816BD"/>
    <w:rsid w:val="00F824F4"/>
    <w:rsid w:val="00F82589"/>
    <w:rsid w:val="00F82B19"/>
    <w:rsid w:val="00F82E00"/>
    <w:rsid w:val="00F83354"/>
    <w:rsid w:val="00F8343B"/>
    <w:rsid w:val="00F83638"/>
    <w:rsid w:val="00F837A1"/>
    <w:rsid w:val="00F84212"/>
    <w:rsid w:val="00F854E8"/>
    <w:rsid w:val="00F85C7F"/>
    <w:rsid w:val="00F85CA1"/>
    <w:rsid w:val="00F869D5"/>
    <w:rsid w:val="00F8747F"/>
    <w:rsid w:val="00F874C6"/>
    <w:rsid w:val="00F87E52"/>
    <w:rsid w:val="00F902BE"/>
    <w:rsid w:val="00F902FD"/>
    <w:rsid w:val="00F906DA"/>
    <w:rsid w:val="00F90AA7"/>
    <w:rsid w:val="00F914D9"/>
    <w:rsid w:val="00F9212D"/>
    <w:rsid w:val="00F92333"/>
    <w:rsid w:val="00F923FF"/>
    <w:rsid w:val="00F92654"/>
    <w:rsid w:val="00F93AE0"/>
    <w:rsid w:val="00F93BA0"/>
    <w:rsid w:val="00F95074"/>
    <w:rsid w:val="00F9517F"/>
    <w:rsid w:val="00F9583E"/>
    <w:rsid w:val="00F959DF"/>
    <w:rsid w:val="00F97107"/>
    <w:rsid w:val="00F9780C"/>
    <w:rsid w:val="00F97E4A"/>
    <w:rsid w:val="00FA00D0"/>
    <w:rsid w:val="00FA0EF8"/>
    <w:rsid w:val="00FA13A2"/>
    <w:rsid w:val="00FA1585"/>
    <w:rsid w:val="00FA1895"/>
    <w:rsid w:val="00FA1FC2"/>
    <w:rsid w:val="00FA216D"/>
    <w:rsid w:val="00FA2A76"/>
    <w:rsid w:val="00FA2E91"/>
    <w:rsid w:val="00FA301A"/>
    <w:rsid w:val="00FA31DB"/>
    <w:rsid w:val="00FA3697"/>
    <w:rsid w:val="00FA391E"/>
    <w:rsid w:val="00FA3C77"/>
    <w:rsid w:val="00FA406A"/>
    <w:rsid w:val="00FA49E6"/>
    <w:rsid w:val="00FA4AA6"/>
    <w:rsid w:val="00FA55A6"/>
    <w:rsid w:val="00FA5750"/>
    <w:rsid w:val="00FA57D3"/>
    <w:rsid w:val="00FA590E"/>
    <w:rsid w:val="00FA5966"/>
    <w:rsid w:val="00FA5CB6"/>
    <w:rsid w:val="00FA6019"/>
    <w:rsid w:val="00FA6256"/>
    <w:rsid w:val="00FA6DF4"/>
    <w:rsid w:val="00FA71F6"/>
    <w:rsid w:val="00FA7A87"/>
    <w:rsid w:val="00FB05E1"/>
    <w:rsid w:val="00FB187E"/>
    <w:rsid w:val="00FB1E51"/>
    <w:rsid w:val="00FB2184"/>
    <w:rsid w:val="00FB23F9"/>
    <w:rsid w:val="00FB27C4"/>
    <w:rsid w:val="00FB334A"/>
    <w:rsid w:val="00FB3433"/>
    <w:rsid w:val="00FB3A0E"/>
    <w:rsid w:val="00FB3AAB"/>
    <w:rsid w:val="00FB3DA2"/>
    <w:rsid w:val="00FB44FF"/>
    <w:rsid w:val="00FB467B"/>
    <w:rsid w:val="00FB4E56"/>
    <w:rsid w:val="00FB4FB2"/>
    <w:rsid w:val="00FB5201"/>
    <w:rsid w:val="00FB530D"/>
    <w:rsid w:val="00FB5722"/>
    <w:rsid w:val="00FB577C"/>
    <w:rsid w:val="00FB5F2E"/>
    <w:rsid w:val="00FB68E9"/>
    <w:rsid w:val="00FB69C5"/>
    <w:rsid w:val="00FB6ECA"/>
    <w:rsid w:val="00FB7324"/>
    <w:rsid w:val="00FB7612"/>
    <w:rsid w:val="00FC0105"/>
    <w:rsid w:val="00FC0255"/>
    <w:rsid w:val="00FC0AEE"/>
    <w:rsid w:val="00FC0C38"/>
    <w:rsid w:val="00FC0DF8"/>
    <w:rsid w:val="00FC0FB6"/>
    <w:rsid w:val="00FC12B5"/>
    <w:rsid w:val="00FC146C"/>
    <w:rsid w:val="00FC2000"/>
    <w:rsid w:val="00FC2937"/>
    <w:rsid w:val="00FC29BA"/>
    <w:rsid w:val="00FC3164"/>
    <w:rsid w:val="00FC3371"/>
    <w:rsid w:val="00FC4508"/>
    <w:rsid w:val="00FC4C76"/>
    <w:rsid w:val="00FC4ECD"/>
    <w:rsid w:val="00FC5CB8"/>
    <w:rsid w:val="00FC5D09"/>
    <w:rsid w:val="00FC5F86"/>
    <w:rsid w:val="00FC66AC"/>
    <w:rsid w:val="00FC6C67"/>
    <w:rsid w:val="00FC71B7"/>
    <w:rsid w:val="00FC7DCB"/>
    <w:rsid w:val="00FD03DB"/>
    <w:rsid w:val="00FD0664"/>
    <w:rsid w:val="00FD1068"/>
    <w:rsid w:val="00FD13B6"/>
    <w:rsid w:val="00FD167D"/>
    <w:rsid w:val="00FD18F4"/>
    <w:rsid w:val="00FD1937"/>
    <w:rsid w:val="00FD1DD6"/>
    <w:rsid w:val="00FD23C7"/>
    <w:rsid w:val="00FD258A"/>
    <w:rsid w:val="00FD26F7"/>
    <w:rsid w:val="00FD36BA"/>
    <w:rsid w:val="00FD39FC"/>
    <w:rsid w:val="00FD3A33"/>
    <w:rsid w:val="00FD4551"/>
    <w:rsid w:val="00FD45F0"/>
    <w:rsid w:val="00FD4897"/>
    <w:rsid w:val="00FD587A"/>
    <w:rsid w:val="00FD5E8D"/>
    <w:rsid w:val="00FD6235"/>
    <w:rsid w:val="00FD65F2"/>
    <w:rsid w:val="00FD67B7"/>
    <w:rsid w:val="00FD6B4F"/>
    <w:rsid w:val="00FD74B4"/>
    <w:rsid w:val="00FE1173"/>
    <w:rsid w:val="00FE17A1"/>
    <w:rsid w:val="00FE17AD"/>
    <w:rsid w:val="00FE1EFE"/>
    <w:rsid w:val="00FE285D"/>
    <w:rsid w:val="00FE32D5"/>
    <w:rsid w:val="00FE349D"/>
    <w:rsid w:val="00FE3790"/>
    <w:rsid w:val="00FE385D"/>
    <w:rsid w:val="00FE39F9"/>
    <w:rsid w:val="00FE3AC3"/>
    <w:rsid w:val="00FE3E59"/>
    <w:rsid w:val="00FE44A9"/>
    <w:rsid w:val="00FE4511"/>
    <w:rsid w:val="00FE459D"/>
    <w:rsid w:val="00FE565D"/>
    <w:rsid w:val="00FE6628"/>
    <w:rsid w:val="00FF0178"/>
    <w:rsid w:val="00FF044E"/>
    <w:rsid w:val="00FF07B3"/>
    <w:rsid w:val="00FF0A2B"/>
    <w:rsid w:val="00FF0C2B"/>
    <w:rsid w:val="00FF0FAD"/>
    <w:rsid w:val="00FF11D0"/>
    <w:rsid w:val="00FF12F7"/>
    <w:rsid w:val="00FF1DCD"/>
    <w:rsid w:val="00FF1E6A"/>
    <w:rsid w:val="00FF273A"/>
    <w:rsid w:val="00FF2A4A"/>
    <w:rsid w:val="00FF3441"/>
    <w:rsid w:val="00FF35BE"/>
    <w:rsid w:val="00FF39FE"/>
    <w:rsid w:val="00FF469E"/>
    <w:rsid w:val="00FF49B8"/>
    <w:rsid w:val="00FF4CC5"/>
    <w:rsid w:val="00FF4D6F"/>
    <w:rsid w:val="00FF4EAF"/>
    <w:rsid w:val="00FF4FAE"/>
    <w:rsid w:val="00FF52A4"/>
    <w:rsid w:val="00FF5944"/>
    <w:rsid w:val="00FF6420"/>
    <w:rsid w:val="00FF671E"/>
    <w:rsid w:val="00FF6CAE"/>
    <w:rsid w:val="00FF6CB2"/>
    <w:rsid w:val="00FF6FCE"/>
    <w:rsid w:val="00FF7518"/>
    <w:rsid w:val="00FF76AD"/>
    <w:rsid w:val="00FF7F42"/>
    <w:rsid w:val="00FF7FD8"/>
    <w:rsid w:val="01101FF7"/>
    <w:rsid w:val="016F6ECE"/>
    <w:rsid w:val="01AA594B"/>
    <w:rsid w:val="01CC1204"/>
    <w:rsid w:val="01CE4D56"/>
    <w:rsid w:val="02505C06"/>
    <w:rsid w:val="02596452"/>
    <w:rsid w:val="02882E46"/>
    <w:rsid w:val="029C1412"/>
    <w:rsid w:val="02A05EA9"/>
    <w:rsid w:val="02A73799"/>
    <w:rsid w:val="02F83588"/>
    <w:rsid w:val="03521B95"/>
    <w:rsid w:val="035E3032"/>
    <w:rsid w:val="036327F0"/>
    <w:rsid w:val="0372711C"/>
    <w:rsid w:val="04430CD1"/>
    <w:rsid w:val="044D2B57"/>
    <w:rsid w:val="045559A4"/>
    <w:rsid w:val="04A60474"/>
    <w:rsid w:val="04DC08FE"/>
    <w:rsid w:val="04DC5C4D"/>
    <w:rsid w:val="050E0202"/>
    <w:rsid w:val="051B3CEA"/>
    <w:rsid w:val="052F40FC"/>
    <w:rsid w:val="053A3B93"/>
    <w:rsid w:val="05687AB6"/>
    <w:rsid w:val="05742AC8"/>
    <w:rsid w:val="059750F5"/>
    <w:rsid w:val="05981C70"/>
    <w:rsid w:val="05BB13FD"/>
    <w:rsid w:val="06352F05"/>
    <w:rsid w:val="063E7D85"/>
    <w:rsid w:val="06426FCD"/>
    <w:rsid w:val="06540F9B"/>
    <w:rsid w:val="067C72C6"/>
    <w:rsid w:val="06875778"/>
    <w:rsid w:val="06CC19B9"/>
    <w:rsid w:val="06CE599B"/>
    <w:rsid w:val="06F76735"/>
    <w:rsid w:val="070875E0"/>
    <w:rsid w:val="071D6969"/>
    <w:rsid w:val="07293586"/>
    <w:rsid w:val="07295285"/>
    <w:rsid w:val="074165F9"/>
    <w:rsid w:val="0775709F"/>
    <w:rsid w:val="07770C56"/>
    <w:rsid w:val="07B05A7F"/>
    <w:rsid w:val="07C2403E"/>
    <w:rsid w:val="08114589"/>
    <w:rsid w:val="08206641"/>
    <w:rsid w:val="08672B2E"/>
    <w:rsid w:val="08676A31"/>
    <w:rsid w:val="086D6A7E"/>
    <w:rsid w:val="09073433"/>
    <w:rsid w:val="092217DD"/>
    <w:rsid w:val="093A7294"/>
    <w:rsid w:val="0971503B"/>
    <w:rsid w:val="09C24717"/>
    <w:rsid w:val="09DD7952"/>
    <w:rsid w:val="0A1641A0"/>
    <w:rsid w:val="0A24178B"/>
    <w:rsid w:val="0A4C45A1"/>
    <w:rsid w:val="0A5B0F4D"/>
    <w:rsid w:val="0A5E22BE"/>
    <w:rsid w:val="0A78474A"/>
    <w:rsid w:val="0AA04415"/>
    <w:rsid w:val="0AB15E23"/>
    <w:rsid w:val="0B0E0108"/>
    <w:rsid w:val="0B0F3167"/>
    <w:rsid w:val="0B3952EC"/>
    <w:rsid w:val="0B5D195B"/>
    <w:rsid w:val="0BD27BF6"/>
    <w:rsid w:val="0C311E9F"/>
    <w:rsid w:val="0C3551CC"/>
    <w:rsid w:val="0CA737D5"/>
    <w:rsid w:val="0CAF70B6"/>
    <w:rsid w:val="0CEB209D"/>
    <w:rsid w:val="0CF076F0"/>
    <w:rsid w:val="0D7E0FDC"/>
    <w:rsid w:val="0D9755F8"/>
    <w:rsid w:val="0DDF0D4D"/>
    <w:rsid w:val="0E110D06"/>
    <w:rsid w:val="0E270AC7"/>
    <w:rsid w:val="0E6A4ABA"/>
    <w:rsid w:val="0ECD4571"/>
    <w:rsid w:val="0F13775A"/>
    <w:rsid w:val="0F2904D1"/>
    <w:rsid w:val="0F9A112B"/>
    <w:rsid w:val="0F9E0D90"/>
    <w:rsid w:val="0FD47EB9"/>
    <w:rsid w:val="10225A9B"/>
    <w:rsid w:val="103B6C55"/>
    <w:rsid w:val="106D2F64"/>
    <w:rsid w:val="109962C3"/>
    <w:rsid w:val="10A66082"/>
    <w:rsid w:val="10B62239"/>
    <w:rsid w:val="10B63710"/>
    <w:rsid w:val="10BF6FC9"/>
    <w:rsid w:val="10CC53B0"/>
    <w:rsid w:val="10E32A6F"/>
    <w:rsid w:val="11034F89"/>
    <w:rsid w:val="111C2F7A"/>
    <w:rsid w:val="113013DE"/>
    <w:rsid w:val="116368AF"/>
    <w:rsid w:val="116516FA"/>
    <w:rsid w:val="118934A9"/>
    <w:rsid w:val="11A402E3"/>
    <w:rsid w:val="11AB2D3D"/>
    <w:rsid w:val="11D35C88"/>
    <w:rsid w:val="11DB1E32"/>
    <w:rsid w:val="11F11DFF"/>
    <w:rsid w:val="120C1D87"/>
    <w:rsid w:val="122260F2"/>
    <w:rsid w:val="122B06C2"/>
    <w:rsid w:val="125C45BD"/>
    <w:rsid w:val="1267495F"/>
    <w:rsid w:val="12C41152"/>
    <w:rsid w:val="12D7319F"/>
    <w:rsid w:val="1323494D"/>
    <w:rsid w:val="133D7B7C"/>
    <w:rsid w:val="135C0560"/>
    <w:rsid w:val="13951726"/>
    <w:rsid w:val="13C166C4"/>
    <w:rsid w:val="13D4711A"/>
    <w:rsid w:val="14357918"/>
    <w:rsid w:val="14396509"/>
    <w:rsid w:val="1447165C"/>
    <w:rsid w:val="148F215C"/>
    <w:rsid w:val="14943AD8"/>
    <w:rsid w:val="151E215B"/>
    <w:rsid w:val="15211C4B"/>
    <w:rsid w:val="15A439FD"/>
    <w:rsid w:val="15E769F0"/>
    <w:rsid w:val="1615295F"/>
    <w:rsid w:val="162C2FB4"/>
    <w:rsid w:val="164103BF"/>
    <w:rsid w:val="165165DD"/>
    <w:rsid w:val="16921052"/>
    <w:rsid w:val="16A50B26"/>
    <w:rsid w:val="16B451B0"/>
    <w:rsid w:val="17227584"/>
    <w:rsid w:val="17294DFD"/>
    <w:rsid w:val="173165DF"/>
    <w:rsid w:val="1760737E"/>
    <w:rsid w:val="17735226"/>
    <w:rsid w:val="17A026DA"/>
    <w:rsid w:val="17E017CB"/>
    <w:rsid w:val="17E475D4"/>
    <w:rsid w:val="181B5C4A"/>
    <w:rsid w:val="186172E1"/>
    <w:rsid w:val="18B76B4E"/>
    <w:rsid w:val="18F208D6"/>
    <w:rsid w:val="192D1D7E"/>
    <w:rsid w:val="19546335"/>
    <w:rsid w:val="19826A9F"/>
    <w:rsid w:val="1A1C66C0"/>
    <w:rsid w:val="1A42393B"/>
    <w:rsid w:val="1AAC0629"/>
    <w:rsid w:val="1B046F80"/>
    <w:rsid w:val="1B12554D"/>
    <w:rsid w:val="1B21401E"/>
    <w:rsid w:val="1B3267B5"/>
    <w:rsid w:val="1B396799"/>
    <w:rsid w:val="1B45504A"/>
    <w:rsid w:val="1B815DE0"/>
    <w:rsid w:val="1BA85147"/>
    <w:rsid w:val="1BBF7C66"/>
    <w:rsid w:val="1BC25DC8"/>
    <w:rsid w:val="1C5E7925"/>
    <w:rsid w:val="1C786D7D"/>
    <w:rsid w:val="1C831953"/>
    <w:rsid w:val="1C887FC8"/>
    <w:rsid w:val="1CA21AF7"/>
    <w:rsid w:val="1CA7512B"/>
    <w:rsid w:val="1CB51AF6"/>
    <w:rsid w:val="1CB93479"/>
    <w:rsid w:val="1D0C1B1B"/>
    <w:rsid w:val="1D162519"/>
    <w:rsid w:val="1D471F1C"/>
    <w:rsid w:val="1D5B0972"/>
    <w:rsid w:val="1D5F6196"/>
    <w:rsid w:val="1D6132A5"/>
    <w:rsid w:val="1D813324"/>
    <w:rsid w:val="1D8E56D5"/>
    <w:rsid w:val="1DAB54F2"/>
    <w:rsid w:val="1DB951C8"/>
    <w:rsid w:val="1E407606"/>
    <w:rsid w:val="1E7A43DA"/>
    <w:rsid w:val="1E7B58B3"/>
    <w:rsid w:val="1E895040"/>
    <w:rsid w:val="1EA33D92"/>
    <w:rsid w:val="1EA47342"/>
    <w:rsid w:val="1EB277FE"/>
    <w:rsid w:val="1EBF3117"/>
    <w:rsid w:val="1F100722"/>
    <w:rsid w:val="1F2E38E2"/>
    <w:rsid w:val="1F527425"/>
    <w:rsid w:val="1F593484"/>
    <w:rsid w:val="1F6910D2"/>
    <w:rsid w:val="1F837370"/>
    <w:rsid w:val="1FE7539E"/>
    <w:rsid w:val="206D4F37"/>
    <w:rsid w:val="20761B30"/>
    <w:rsid w:val="20963CB8"/>
    <w:rsid w:val="20A5261C"/>
    <w:rsid w:val="20B07FB6"/>
    <w:rsid w:val="20BE7CD3"/>
    <w:rsid w:val="20E83B9E"/>
    <w:rsid w:val="211B2916"/>
    <w:rsid w:val="213B74B1"/>
    <w:rsid w:val="215A2310"/>
    <w:rsid w:val="21B45E04"/>
    <w:rsid w:val="21DE318A"/>
    <w:rsid w:val="21DE7CA2"/>
    <w:rsid w:val="21EF5B80"/>
    <w:rsid w:val="22576990"/>
    <w:rsid w:val="229C4EAB"/>
    <w:rsid w:val="22E7091C"/>
    <w:rsid w:val="232E3569"/>
    <w:rsid w:val="2344232A"/>
    <w:rsid w:val="236D7858"/>
    <w:rsid w:val="23A26197"/>
    <w:rsid w:val="23B0211C"/>
    <w:rsid w:val="24514804"/>
    <w:rsid w:val="24905176"/>
    <w:rsid w:val="24B478DE"/>
    <w:rsid w:val="24C3687B"/>
    <w:rsid w:val="24C4201C"/>
    <w:rsid w:val="24EA1C85"/>
    <w:rsid w:val="252D53FE"/>
    <w:rsid w:val="253F23A5"/>
    <w:rsid w:val="254E25E8"/>
    <w:rsid w:val="257924E0"/>
    <w:rsid w:val="25824CF9"/>
    <w:rsid w:val="25E77BC9"/>
    <w:rsid w:val="25EC2D81"/>
    <w:rsid w:val="26104244"/>
    <w:rsid w:val="261A696E"/>
    <w:rsid w:val="263F69D2"/>
    <w:rsid w:val="264528BD"/>
    <w:rsid w:val="26973E69"/>
    <w:rsid w:val="26C33CE9"/>
    <w:rsid w:val="26D60AE7"/>
    <w:rsid w:val="271A4E45"/>
    <w:rsid w:val="27305D91"/>
    <w:rsid w:val="2733654F"/>
    <w:rsid w:val="27BB392A"/>
    <w:rsid w:val="27C0491C"/>
    <w:rsid w:val="27CF03E1"/>
    <w:rsid w:val="27D15DD1"/>
    <w:rsid w:val="27DA5E27"/>
    <w:rsid w:val="28161D62"/>
    <w:rsid w:val="281D28ED"/>
    <w:rsid w:val="281E748B"/>
    <w:rsid w:val="28313FBF"/>
    <w:rsid w:val="288029CC"/>
    <w:rsid w:val="288A5299"/>
    <w:rsid w:val="28A7096B"/>
    <w:rsid w:val="28A76295"/>
    <w:rsid w:val="28E976B6"/>
    <w:rsid w:val="28EC101B"/>
    <w:rsid w:val="28F601F3"/>
    <w:rsid w:val="28FA58BB"/>
    <w:rsid w:val="29206EB8"/>
    <w:rsid w:val="294D175F"/>
    <w:rsid w:val="298C36DF"/>
    <w:rsid w:val="29946A38"/>
    <w:rsid w:val="29991977"/>
    <w:rsid w:val="29E325E0"/>
    <w:rsid w:val="2A0958D1"/>
    <w:rsid w:val="2A452503"/>
    <w:rsid w:val="2A5D3182"/>
    <w:rsid w:val="2A6047F2"/>
    <w:rsid w:val="2A672372"/>
    <w:rsid w:val="2A8F3AE9"/>
    <w:rsid w:val="2AED23DF"/>
    <w:rsid w:val="2AF86E3F"/>
    <w:rsid w:val="2B1B1323"/>
    <w:rsid w:val="2B201AA8"/>
    <w:rsid w:val="2B4D37E8"/>
    <w:rsid w:val="2B632448"/>
    <w:rsid w:val="2BA936A8"/>
    <w:rsid w:val="2BE40C1A"/>
    <w:rsid w:val="2C1B3C9E"/>
    <w:rsid w:val="2C315A5A"/>
    <w:rsid w:val="2CEB6A7B"/>
    <w:rsid w:val="2D1A7254"/>
    <w:rsid w:val="2D9E56F5"/>
    <w:rsid w:val="2DAF7FB2"/>
    <w:rsid w:val="2DB24F21"/>
    <w:rsid w:val="2DB43204"/>
    <w:rsid w:val="2E1A2870"/>
    <w:rsid w:val="2E1D4C71"/>
    <w:rsid w:val="2E667F96"/>
    <w:rsid w:val="2E78530D"/>
    <w:rsid w:val="2E8226AB"/>
    <w:rsid w:val="2EB3281F"/>
    <w:rsid w:val="2EB44F7E"/>
    <w:rsid w:val="2F070BCC"/>
    <w:rsid w:val="2F0A16CC"/>
    <w:rsid w:val="2F660A6C"/>
    <w:rsid w:val="2F6F3887"/>
    <w:rsid w:val="2F7A5E7D"/>
    <w:rsid w:val="2F832C79"/>
    <w:rsid w:val="2FC3766B"/>
    <w:rsid w:val="2FC67F59"/>
    <w:rsid w:val="2FE52B38"/>
    <w:rsid w:val="2FEF2D58"/>
    <w:rsid w:val="301477F4"/>
    <w:rsid w:val="30573F11"/>
    <w:rsid w:val="30580BC9"/>
    <w:rsid w:val="309D609D"/>
    <w:rsid w:val="311E2ED7"/>
    <w:rsid w:val="3137161C"/>
    <w:rsid w:val="315C449C"/>
    <w:rsid w:val="31735194"/>
    <w:rsid w:val="31750EFD"/>
    <w:rsid w:val="317E4A4D"/>
    <w:rsid w:val="31952943"/>
    <w:rsid w:val="31B82709"/>
    <w:rsid w:val="31CC67E7"/>
    <w:rsid w:val="31ED4F37"/>
    <w:rsid w:val="32400B34"/>
    <w:rsid w:val="32590FBC"/>
    <w:rsid w:val="32832895"/>
    <w:rsid w:val="328E4A02"/>
    <w:rsid w:val="329E6876"/>
    <w:rsid w:val="32BF6125"/>
    <w:rsid w:val="32C42B40"/>
    <w:rsid w:val="32EC3B29"/>
    <w:rsid w:val="33151E22"/>
    <w:rsid w:val="333C2B5A"/>
    <w:rsid w:val="33633265"/>
    <w:rsid w:val="33C3446C"/>
    <w:rsid w:val="33D934D4"/>
    <w:rsid w:val="33E06BB0"/>
    <w:rsid w:val="33EF143A"/>
    <w:rsid w:val="33FE2F6A"/>
    <w:rsid w:val="342902D2"/>
    <w:rsid w:val="348A4394"/>
    <w:rsid w:val="34B062C5"/>
    <w:rsid w:val="34E367E2"/>
    <w:rsid w:val="350F5EB7"/>
    <w:rsid w:val="358B694D"/>
    <w:rsid w:val="36074A7F"/>
    <w:rsid w:val="363014CA"/>
    <w:rsid w:val="36923549"/>
    <w:rsid w:val="36B75FBF"/>
    <w:rsid w:val="36BF7E84"/>
    <w:rsid w:val="36C962F5"/>
    <w:rsid w:val="36FB4891"/>
    <w:rsid w:val="37575201"/>
    <w:rsid w:val="3790133B"/>
    <w:rsid w:val="37A57010"/>
    <w:rsid w:val="37D67CE4"/>
    <w:rsid w:val="37F60175"/>
    <w:rsid w:val="380716B5"/>
    <w:rsid w:val="380A4717"/>
    <w:rsid w:val="387D5F20"/>
    <w:rsid w:val="38F12CD3"/>
    <w:rsid w:val="38F94775"/>
    <w:rsid w:val="392971ED"/>
    <w:rsid w:val="394C27A7"/>
    <w:rsid w:val="397D743E"/>
    <w:rsid w:val="397E0147"/>
    <w:rsid w:val="397E582F"/>
    <w:rsid w:val="39850165"/>
    <w:rsid w:val="3A3361EE"/>
    <w:rsid w:val="3A437919"/>
    <w:rsid w:val="3A5F77D8"/>
    <w:rsid w:val="3A8B79C9"/>
    <w:rsid w:val="3ACA22B9"/>
    <w:rsid w:val="3ACF5570"/>
    <w:rsid w:val="3B3763D1"/>
    <w:rsid w:val="3B943035"/>
    <w:rsid w:val="3B974A46"/>
    <w:rsid w:val="3B9E531C"/>
    <w:rsid w:val="3C064200"/>
    <w:rsid w:val="3C0C2D92"/>
    <w:rsid w:val="3C174387"/>
    <w:rsid w:val="3C1C3BC7"/>
    <w:rsid w:val="3C6A5B02"/>
    <w:rsid w:val="3C6B574D"/>
    <w:rsid w:val="3CDA245A"/>
    <w:rsid w:val="3CEE0A37"/>
    <w:rsid w:val="3D2E2E6A"/>
    <w:rsid w:val="3D3742F9"/>
    <w:rsid w:val="3D4876FE"/>
    <w:rsid w:val="3D542363"/>
    <w:rsid w:val="3D704262"/>
    <w:rsid w:val="3DEA6D00"/>
    <w:rsid w:val="3DF30977"/>
    <w:rsid w:val="3E0A1DFE"/>
    <w:rsid w:val="3E1675C3"/>
    <w:rsid w:val="3E2E4763"/>
    <w:rsid w:val="3E4E6E92"/>
    <w:rsid w:val="3E594DC7"/>
    <w:rsid w:val="3E762D0D"/>
    <w:rsid w:val="3E77360F"/>
    <w:rsid w:val="3EAF254A"/>
    <w:rsid w:val="3F0D4E6A"/>
    <w:rsid w:val="3F2332ED"/>
    <w:rsid w:val="3F660E74"/>
    <w:rsid w:val="3FDA1A36"/>
    <w:rsid w:val="40534D63"/>
    <w:rsid w:val="405C44BE"/>
    <w:rsid w:val="406E1BD1"/>
    <w:rsid w:val="407A6407"/>
    <w:rsid w:val="40830470"/>
    <w:rsid w:val="40877FC0"/>
    <w:rsid w:val="40A233F5"/>
    <w:rsid w:val="40E1518F"/>
    <w:rsid w:val="40E44A78"/>
    <w:rsid w:val="40F07F3E"/>
    <w:rsid w:val="40F76498"/>
    <w:rsid w:val="40FD796C"/>
    <w:rsid w:val="41096E14"/>
    <w:rsid w:val="418331C2"/>
    <w:rsid w:val="41980819"/>
    <w:rsid w:val="41AE6491"/>
    <w:rsid w:val="41C35782"/>
    <w:rsid w:val="41D92EFE"/>
    <w:rsid w:val="42205457"/>
    <w:rsid w:val="423A3BCC"/>
    <w:rsid w:val="42DE5F5C"/>
    <w:rsid w:val="433A6FE6"/>
    <w:rsid w:val="4350713C"/>
    <w:rsid w:val="436653E0"/>
    <w:rsid w:val="44246EDE"/>
    <w:rsid w:val="444A2A9A"/>
    <w:rsid w:val="4450398A"/>
    <w:rsid w:val="44520F0F"/>
    <w:rsid w:val="44C57177"/>
    <w:rsid w:val="44CD14E0"/>
    <w:rsid w:val="45265465"/>
    <w:rsid w:val="455B487B"/>
    <w:rsid w:val="456B0D81"/>
    <w:rsid w:val="456D05AC"/>
    <w:rsid w:val="457E4E86"/>
    <w:rsid w:val="458946E9"/>
    <w:rsid w:val="45C242D7"/>
    <w:rsid w:val="46080841"/>
    <w:rsid w:val="462858AA"/>
    <w:rsid w:val="46320495"/>
    <w:rsid w:val="4671328F"/>
    <w:rsid w:val="468A6DA0"/>
    <w:rsid w:val="46984937"/>
    <w:rsid w:val="46D955A7"/>
    <w:rsid w:val="46DC0F2A"/>
    <w:rsid w:val="47133957"/>
    <w:rsid w:val="471B211D"/>
    <w:rsid w:val="476446FA"/>
    <w:rsid w:val="4779329E"/>
    <w:rsid w:val="477C4F5C"/>
    <w:rsid w:val="47A07E0C"/>
    <w:rsid w:val="481972A8"/>
    <w:rsid w:val="482A3405"/>
    <w:rsid w:val="4865377B"/>
    <w:rsid w:val="486B5AD0"/>
    <w:rsid w:val="4870272E"/>
    <w:rsid w:val="488C573F"/>
    <w:rsid w:val="489667CA"/>
    <w:rsid w:val="48B97B90"/>
    <w:rsid w:val="494644FC"/>
    <w:rsid w:val="49667651"/>
    <w:rsid w:val="49B52386"/>
    <w:rsid w:val="49BC34F4"/>
    <w:rsid w:val="49D00F6E"/>
    <w:rsid w:val="49DC7715"/>
    <w:rsid w:val="4A023139"/>
    <w:rsid w:val="4A0D1047"/>
    <w:rsid w:val="4A1672C9"/>
    <w:rsid w:val="4A23705C"/>
    <w:rsid w:val="4A7B576F"/>
    <w:rsid w:val="4A965AD5"/>
    <w:rsid w:val="4AA21396"/>
    <w:rsid w:val="4AA342B7"/>
    <w:rsid w:val="4AD95173"/>
    <w:rsid w:val="4B125F6C"/>
    <w:rsid w:val="4B3B18BF"/>
    <w:rsid w:val="4C2214E4"/>
    <w:rsid w:val="4C4A0649"/>
    <w:rsid w:val="4C514866"/>
    <w:rsid w:val="4CDA2830"/>
    <w:rsid w:val="4CDF0472"/>
    <w:rsid w:val="4CE470D3"/>
    <w:rsid w:val="4D066C78"/>
    <w:rsid w:val="4D2C18A0"/>
    <w:rsid w:val="4D9C5D37"/>
    <w:rsid w:val="4D9C7F3E"/>
    <w:rsid w:val="4DEC4FB0"/>
    <w:rsid w:val="4E075D8A"/>
    <w:rsid w:val="4E0E49F1"/>
    <w:rsid w:val="4E380F43"/>
    <w:rsid w:val="4E956B94"/>
    <w:rsid w:val="4EB43B51"/>
    <w:rsid w:val="4EC01014"/>
    <w:rsid w:val="4ECD2B22"/>
    <w:rsid w:val="4EF131D7"/>
    <w:rsid w:val="4F205231"/>
    <w:rsid w:val="4F3B332E"/>
    <w:rsid w:val="4F820F5D"/>
    <w:rsid w:val="4F875AD1"/>
    <w:rsid w:val="4FAB10A8"/>
    <w:rsid w:val="4FC155E1"/>
    <w:rsid w:val="4FC62A8C"/>
    <w:rsid w:val="4FC7340D"/>
    <w:rsid w:val="4FCD27AD"/>
    <w:rsid w:val="4FE20F0D"/>
    <w:rsid w:val="500376C9"/>
    <w:rsid w:val="502A2B96"/>
    <w:rsid w:val="50504C4B"/>
    <w:rsid w:val="5068762A"/>
    <w:rsid w:val="5096020D"/>
    <w:rsid w:val="509C6E7C"/>
    <w:rsid w:val="50E53551"/>
    <w:rsid w:val="51501639"/>
    <w:rsid w:val="51595B92"/>
    <w:rsid w:val="5162104E"/>
    <w:rsid w:val="51736CD5"/>
    <w:rsid w:val="51B45A70"/>
    <w:rsid w:val="51DF3B0D"/>
    <w:rsid w:val="51EA56E5"/>
    <w:rsid w:val="51F7178E"/>
    <w:rsid w:val="52307A4C"/>
    <w:rsid w:val="5237573F"/>
    <w:rsid w:val="52405CB5"/>
    <w:rsid w:val="527D6375"/>
    <w:rsid w:val="52846E3A"/>
    <w:rsid w:val="52A00194"/>
    <w:rsid w:val="52B3347E"/>
    <w:rsid w:val="53144AE7"/>
    <w:rsid w:val="535A256E"/>
    <w:rsid w:val="53691C4F"/>
    <w:rsid w:val="53793589"/>
    <w:rsid w:val="5392786A"/>
    <w:rsid w:val="53A039CC"/>
    <w:rsid w:val="53A1505A"/>
    <w:rsid w:val="53F3339E"/>
    <w:rsid w:val="53FA6425"/>
    <w:rsid w:val="54063E08"/>
    <w:rsid w:val="541C0ABD"/>
    <w:rsid w:val="54263E07"/>
    <w:rsid w:val="54282710"/>
    <w:rsid w:val="543437E8"/>
    <w:rsid w:val="54474671"/>
    <w:rsid w:val="54AF32F8"/>
    <w:rsid w:val="54E61C30"/>
    <w:rsid w:val="55137466"/>
    <w:rsid w:val="553512D8"/>
    <w:rsid w:val="553A1800"/>
    <w:rsid w:val="55766E8C"/>
    <w:rsid w:val="557E5835"/>
    <w:rsid w:val="559935C9"/>
    <w:rsid w:val="559B174B"/>
    <w:rsid w:val="55B9135E"/>
    <w:rsid w:val="55CE0CF4"/>
    <w:rsid w:val="55DB4F23"/>
    <w:rsid w:val="55EE10FA"/>
    <w:rsid w:val="55F47AFD"/>
    <w:rsid w:val="56255395"/>
    <w:rsid w:val="565F39C4"/>
    <w:rsid w:val="568E01E7"/>
    <w:rsid w:val="56A417B8"/>
    <w:rsid w:val="56B22A9C"/>
    <w:rsid w:val="573654E8"/>
    <w:rsid w:val="575335B2"/>
    <w:rsid w:val="57B72A76"/>
    <w:rsid w:val="57D47C2F"/>
    <w:rsid w:val="57E67C34"/>
    <w:rsid w:val="580F451E"/>
    <w:rsid w:val="584B1B67"/>
    <w:rsid w:val="586569BC"/>
    <w:rsid w:val="58B448F1"/>
    <w:rsid w:val="58D624B7"/>
    <w:rsid w:val="58F04806"/>
    <w:rsid w:val="59133169"/>
    <w:rsid w:val="592A4A66"/>
    <w:rsid w:val="59CA7515"/>
    <w:rsid w:val="59E941B7"/>
    <w:rsid w:val="59F11948"/>
    <w:rsid w:val="5A01560E"/>
    <w:rsid w:val="5A252A15"/>
    <w:rsid w:val="5A3C747D"/>
    <w:rsid w:val="5A590FA6"/>
    <w:rsid w:val="5ABE2233"/>
    <w:rsid w:val="5B0026F4"/>
    <w:rsid w:val="5B266C40"/>
    <w:rsid w:val="5B276D18"/>
    <w:rsid w:val="5B4D2998"/>
    <w:rsid w:val="5B610206"/>
    <w:rsid w:val="5B781ACC"/>
    <w:rsid w:val="5BC90A4D"/>
    <w:rsid w:val="5BDF5D95"/>
    <w:rsid w:val="5BE1798F"/>
    <w:rsid w:val="5C0251EF"/>
    <w:rsid w:val="5C194E36"/>
    <w:rsid w:val="5C2E42E4"/>
    <w:rsid w:val="5C49724D"/>
    <w:rsid w:val="5CE20D9E"/>
    <w:rsid w:val="5D336643"/>
    <w:rsid w:val="5D8B0854"/>
    <w:rsid w:val="5DD35AF7"/>
    <w:rsid w:val="5DDD79E4"/>
    <w:rsid w:val="5DF87A0F"/>
    <w:rsid w:val="5E36572D"/>
    <w:rsid w:val="5E743864"/>
    <w:rsid w:val="5EA12755"/>
    <w:rsid w:val="5EA500C0"/>
    <w:rsid w:val="5EA6314B"/>
    <w:rsid w:val="5EC5138E"/>
    <w:rsid w:val="5ECA3394"/>
    <w:rsid w:val="5EE02B86"/>
    <w:rsid w:val="5EEB267A"/>
    <w:rsid w:val="5F047CFF"/>
    <w:rsid w:val="5F1115F5"/>
    <w:rsid w:val="5F1A2B43"/>
    <w:rsid w:val="5F6B58F3"/>
    <w:rsid w:val="5F6D3633"/>
    <w:rsid w:val="5F857171"/>
    <w:rsid w:val="5F8E0614"/>
    <w:rsid w:val="5FB837BB"/>
    <w:rsid w:val="5FC54DE8"/>
    <w:rsid w:val="5FE3786E"/>
    <w:rsid w:val="5FEB16F8"/>
    <w:rsid w:val="5FF11780"/>
    <w:rsid w:val="606547AE"/>
    <w:rsid w:val="612C730C"/>
    <w:rsid w:val="618F5B7B"/>
    <w:rsid w:val="61942E53"/>
    <w:rsid w:val="61B45909"/>
    <w:rsid w:val="61DB259E"/>
    <w:rsid w:val="61E02B96"/>
    <w:rsid w:val="61E06200"/>
    <w:rsid w:val="61F96E5C"/>
    <w:rsid w:val="6205272F"/>
    <w:rsid w:val="62364782"/>
    <w:rsid w:val="62465E1A"/>
    <w:rsid w:val="626C6E93"/>
    <w:rsid w:val="6290542C"/>
    <w:rsid w:val="629348E6"/>
    <w:rsid w:val="62B6635D"/>
    <w:rsid w:val="62F24609"/>
    <w:rsid w:val="63126376"/>
    <w:rsid w:val="6319696E"/>
    <w:rsid w:val="634B13FF"/>
    <w:rsid w:val="634E4F86"/>
    <w:rsid w:val="63A177AC"/>
    <w:rsid w:val="63D40BE9"/>
    <w:rsid w:val="63DE4777"/>
    <w:rsid w:val="63E0211F"/>
    <w:rsid w:val="63EC3294"/>
    <w:rsid w:val="64011DDB"/>
    <w:rsid w:val="64480E21"/>
    <w:rsid w:val="649270F3"/>
    <w:rsid w:val="64997B0D"/>
    <w:rsid w:val="64AB790C"/>
    <w:rsid w:val="65201157"/>
    <w:rsid w:val="652D15D8"/>
    <w:rsid w:val="653413CC"/>
    <w:rsid w:val="65373578"/>
    <w:rsid w:val="654F060F"/>
    <w:rsid w:val="65644F35"/>
    <w:rsid w:val="657E5CE1"/>
    <w:rsid w:val="658C6239"/>
    <w:rsid w:val="65CE7DBA"/>
    <w:rsid w:val="65F44352"/>
    <w:rsid w:val="661F1937"/>
    <w:rsid w:val="663E44F9"/>
    <w:rsid w:val="66451B03"/>
    <w:rsid w:val="66955797"/>
    <w:rsid w:val="66E80C85"/>
    <w:rsid w:val="671B6FAC"/>
    <w:rsid w:val="672162E5"/>
    <w:rsid w:val="67365F5E"/>
    <w:rsid w:val="673F2C7A"/>
    <w:rsid w:val="67BA52E0"/>
    <w:rsid w:val="67EE36A6"/>
    <w:rsid w:val="681F6961"/>
    <w:rsid w:val="68221DF5"/>
    <w:rsid w:val="68610A2F"/>
    <w:rsid w:val="68805514"/>
    <w:rsid w:val="68857E87"/>
    <w:rsid w:val="694A1AD4"/>
    <w:rsid w:val="694E2071"/>
    <w:rsid w:val="697A3B33"/>
    <w:rsid w:val="698E2580"/>
    <w:rsid w:val="699E2456"/>
    <w:rsid w:val="69B27237"/>
    <w:rsid w:val="69D30B02"/>
    <w:rsid w:val="69D941E5"/>
    <w:rsid w:val="6A5D1F52"/>
    <w:rsid w:val="6A782246"/>
    <w:rsid w:val="6A8F00DE"/>
    <w:rsid w:val="6A953C0F"/>
    <w:rsid w:val="6AF12C65"/>
    <w:rsid w:val="6B0A7F25"/>
    <w:rsid w:val="6B14696F"/>
    <w:rsid w:val="6B322639"/>
    <w:rsid w:val="6B80791C"/>
    <w:rsid w:val="6B9553E4"/>
    <w:rsid w:val="6C4E56A1"/>
    <w:rsid w:val="6C636C38"/>
    <w:rsid w:val="6C683609"/>
    <w:rsid w:val="6C7B284A"/>
    <w:rsid w:val="6C9D2D72"/>
    <w:rsid w:val="6CEA7F5D"/>
    <w:rsid w:val="6D374CDD"/>
    <w:rsid w:val="6D4F376F"/>
    <w:rsid w:val="6D836174"/>
    <w:rsid w:val="6DAB3C7D"/>
    <w:rsid w:val="6DB34098"/>
    <w:rsid w:val="6DB545B6"/>
    <w:rsid w:val="6DDD1A11"/>
    <w:rsid w:val="6DF9456B"/>
    <w:rsid w:val="6E134018"/>
    <w:rsid w:val="6E1E4A52"/>
    <w:rsid w:val="6E221CAB"/>
    <w:rsid w:val="6E4375A0"/>
    <w:rsid w:val="6E514CED"/>
    <w:rsid w:val="6E79491A"/>
    <w:rsid w:val="6EB563D5"/>
    <w:rsid w:val="6EBE755D"/>
    <w:rsid w:val="6F044EEB"/>
    <w:rsid w:val="6F225983"/>
    <w:rsid w:val="6F273375"/>
    <w:rsid w:val="6F377039"/>
    <w:rsid w:val="6F5778B8"/>
    <w:rsid w:val="6F6849AE"/>
    <w:rsid w:val="6FA65496"/>
    <w:rsid w:val="6FFC5590"/>
    <w:rsid w:val="6FFD3FBC"/>
    <w:rsid w:val="700E46FF"/>
    <w:rsid w:val="702B7799"/>
    <w:rsid w:val="70301DA3"/>
    <w:rsid w:val="706D1DD0"/>
    <w:rsid w:val="70700A80"/>
    <w:rsid w:val="70856B87"/>
    <w:rsid w:val="70AA1FED"/>
    <w:rsid w:val="70D527EE"/>
    <w:rsid w:val="70F0487F"/>
    <w:rsid w:val="715B5300"/>
    <w:rsid w:val="715F4BD7"/>
    <w:rsid w:val="716E0317"/>
    <w:rsid w:val="71A11A70"/>
    <w:rsid w:val="71B77E32"/>
    <w:rsid w:val="71BC086C"/>
    <w:rsid w:val="71D27F8A"/>
    <w:rsid w:val="71F744C6"/>
    <w:rsid w:val="71F960CF"/>
    <w:rsid w:val="71FC0755"/>
    <w:rsid w:val="721E6481"/>
    <w:rsid w:val="721F25A0"/>
    <w:rsid w:val="73107896"/>
    <w:rsid w:val="731F5D5E"/>
    <w:rsid w:val="73384BAE"/>
    <w:rsid w:val="73412411"/>
    <w:rsid w:val="73517F0F"/>
    <w:rsid w:val="7404049D"/>
    <w:rsid w:val="741E793C"/>
    <w:rsid w:val="743A5522"/>
    <w:rsid w:val="747C2324"/>
    <w:rsid w:val="749F376C"/>
    <w:rsid w:val="74A46EE0"/>
    <w:rsid w:val="74A836F6"/>
    <w:rsid w:val="74DD44A0"/>
    <w:rsid w:val="753E6F0D"/>
    <w:rsid w:val="758D75E2"/>
    <w:rsid w:val="762036C6"/>
    <w:rsid w:val="763B68EB"/>
    <w:rsid w:val="76687A39"/>
    <w:rsid w:val="76861723"/>
    <w:rsid w:val="76F46941"/>
    <w:rsid w:val="773159C4"/>
    <w:rsid w:val="77490514"/>
    <w:rsid w:val="774B1172"/>
    <w:rsid w:val="77652413"/>
    <w:rsid w:val="77762421"/>
    <w:rsid w:val="779946EB"/>
    <w:rsid w:val="77DD03A7"/>
    <w:rsid w:val="77FE69FD"/>
    <w:rsid w:val="780F09F4"/>
    <w:rsid w:val="78286CE3"/>
    <w:rsid w:val="78397AE5"/>
    <w:rsid w:val="789620A6"/>
    <w:rsid w:val="789C4F47"/>
    <w:rsid w:val="78A604BD"/>
    <w:rsid w:val="78A90480"/>
    <w:rsid w:val="78BD6444"/>
    <w:rsid w:val="791C27EC"/>
    <w:rsid w:val="793D7522"/>
    <w:rsid w:val="794E52BD"/>
    <w:rsid w:val="796B1C74"/>
    <w:rsid w:val="797E3C41"/>
    <w:rsid w:val="79811327"/>
    <w:rsid w:val="79A33E26"/>
    <w:rsid w:val="79B9371B"/>
    <w:rsid w:val="79E939CA"/>
    <w:rsid w:val="7A1C348B"/>
    <w:rsid w:val="7A364017"/>
    <w:rsid w:val="7A4A52CA"/>
    <w:rsid w:val="7A515C7E"/>
    <w:rsid w:val="7A5163DA"/>
    <w:rsid w:val="7A8265E1"/>
    <w:rsid w:val="7A916473"/>
    <w:rsid w:val="7AC74EC7"/>
    <w:rsid w:val="7AC76888"/>
    <w:rsid w:val="7B612E79"/>
    <w:rsid w:val="7B686D42"/>
    <w:rsid w:val="7B841746"/>
    <w:rsid w:val="7BA92A79"/>
    <w:rsid w:val="7BB61D32"/>
    <w:rsid w:val="7C02295A"/>
    <w:rsid w:val="7C091F3A"/>
    <w:rsid w:val="7C310054"/>
    <w:rsid w:val="7C3B4396"/>
    <w:rsid w:val="7CB4178B"/>
    <w:rsid w:val="7CC04B2D"/>
    <w:rsid w:val="7CCB25B2"/>
    <w:rsid w:val="7D0239FF"/>
    <w:rsid w:val="7D131890"/>
    <w:rsid w:val="7D5E40CD"/>
    <w:rsid w:val="7D693BED"/>
    <w:rsid w:val="7DD75065"/>
    <w:rsid w:val="7E146306"/>
    <w:rsid w:val="7E2324C3"/>
    <w:rsid w:val="7E236FDE"/>
    <w:rsid w:val="7F024E07"/>
    <w:rsid w:val="7F231565"/>
    <w:rsid w:val="7F3E5875"/>
    <w:rsid w:val="7FE47E50"/>
    <w:rsid w:val="7FF44134"/>
    <w:rsid w:val="7FF94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nhideWhenUsed="0"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99"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3"/>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link w:val="100"/>
    <w:autoRedefine/>
    <w:qFormat/>
    <w:locked/>
    <w:uiPriority w:val="0"/>
    <w:pPr>
      <w:spacing w:beforeLines="20"/>
      <w:outlineLvl w:val="1"/>
    </w:pPr>
    <w:rPr>
      <w:rFonts w:ascii="黑体" w:hAnsi="宋体" w:eastAsia="黑体"/>
      <w:sz w:val="28"/>
    </w:rPr>
  </w:style>
  <w:style w:type="paragraph" w:styleId="4">
    <w:name w:val="heading 3"/>
    <w:basedOn w:val="1"/>
    <w:next w:val="1"/>
    <w:autoRedefine/>
    <w:qFormat/>
    <w:locked/>
    <w:uiPriority w:val="0"/>
    <w:pPr>
      <w:spacing w:beforeLines="20" w:line="400" w:lineRule="exact"/>
      <w:ind w:firstLine="200" w:firstLineChars="200"/>
      <w:outlineLvl w:val="2"/>
    </w:pPr>
    <w:rPr>
      <w:rFonts w:ascii="黑体" w:hAnsi="宋体" w:eastAsia="黑体"/>
      <w:sz w:val="24"/>
    </w:rPr>
  </w:style>
  <w:style w:type="paragraph" w:styleId="5">
    <w:name w:val="heading 4"/>
    <w:basedOn w:val="1"/>
    <w:next w:val="1"/>
    <w:autoRedefine/>
    <w:qFormat/>
    <w:locked/>
    <w:uiPriority w:val="0"/>
    <w:pPr>
      <w:keepNext/>
      <w:keepLines/>
      <w:spacing w:before="280" w:after="290" w:line="372" w:lineRule="auto"/>
      <w:outlineLvl w:val="3"/>
    </w:pPr>
  </w:style>
  <w:style w:type="paragraph" w:styleId="6">
    <w:name w:val="heading 5"/>
    <w:basedOn w:val="1"/>
    <w:next w:val="1"/>
    <w:autoRedefine/>
    <w:unhideWhenUsed/>
    <w:qFormat/>
    <w:locked/>
    <w:uiPriority w:val="0"/>
    <w:pPr>
      <w:adjustRightInd w:val="0"/>
      <w:snapToGrid w:val="0"/>
      <w:jc w:val="center"/>
      <w:outlineLvl w:val="4"/>
    </w:pPr>
    <w:rPr>
      <w:b/>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autoRedefine/>
    <w:unhideWhenUsed/>
    <w:qFormat/>
    <w:uiPriority w:val="0"/>
    <w:pPr>
      <w:widowControl/>
      <w:spacing w:before="100" w:beforeAutospacing="1" w:after="100" w:afterAutospacing="1"/>
      <w:jc w:val="left"/>
    </w:pPr>
    <w:rPr>
      <w:rFonts w:ascii="宋体" w:hAnsi="宋体"/>
      <w:kern w:val="0"/>
      <w:sz w:val="24"/>
    </w:rPr>
  </w:style>
  <w:style w:type="paragraph" w:styleId="8">
    <w:name w:val="caption"/>
    <w:basedOn w:val="1"/>
    <w:next w:val="1"/>
    <w:autoRedefine/>
    <w:qFormat/>
    <w:locked/>
    <w:uiPriority w:val="99"/>
    <w:rPr>
      <w:rFonts w:ascii="Arial" w:hAnsi="Arial" w:eastAsia="黑体" w:cs="Arial"/>
      <w:sz w:val="20"/>
      <w:szCs w:val="20"/>
    </w:rPr>
  </w:style>
  <w:style w:type="paragraph" w:styleId="9">
    <w:name w:val="Document Map"/>
    <w:basedOn w:val="1"/>
    <w:link w:val="93"/>
    <w:autoRedefine/>
    <w:qFormat/>
    <w:uiPriority w:val="0"/>
    <w:rPr>
      <w:rFonts w:ascii="宋体"/>
      <w:sz w:val="18"/>
      <w:szCs w:val="18"/>
    </w:rPr>
  </w:style>
  <w:style w:type="paragraph" w:styleId="10">
    <w:name w:val="annotation text"/>
    <w:basedOn w:val="1"/>
    <w:link w:val="49"/>
    <w:autoRedefine/>
    <w:semiHidden/>
    <w:qFormat/>
    <w:uiPriority w:val="0"/>
    <w:pPr>
      <w:jc w:val="left"/>
    </w:pPr>
    <w:rPr>
      <w:kern w:val="0"/>
      <w:sz w:val="24"/>
      <w:szCs w:val="20"/>
    </w:rPr>
  </w:style>
  <w:style w:type="paragraph" w:styleId="11">
    <w:name w:val="Body Text"/>
    <w:basedOn w:val="1"/>
    <w:next w:val="12"/>
    <w:link w:val="50"/>
    <w:autoRedefine/>
    <w:qFormat/>
    <w:uiPriority w:val="0"/>
    <w:pPr>
      <w:widowControl/>
      <w:snapToGrid w:val="0"/>
      <w:spacing w:before="60" w:after="160" w:line="259" w:lineRule="auto"/>
      <w:ind w:right="113"/>
    </w:pPr>
    <w:rPr>
      <w:kern w:val="0"/>
      <w:sz w:val="18"/>
      <w:szCs w:val="20"/>
    </w:rPr>
  </w:style>
  <w:style w:type="paragraph" w:styleId="12">
    <w:name w:val="List Bullet 5"/>
    <w:basedOn w:val="1"/>
    <w:autoRedefine/>
    <w:qFormat/>
    <w:uiPriority w:val="0"/>
    <w:pPr>
      <w:tabs>
        <w:tab w:val="left" w:pos="2040"/>
      </w:tabs>
      <w:ind w:left="2040" w:hanging="360"/>
    </w:pPr>
  </w:style>
  <w:style w:type="paragraph" w:styleId="13">
    <w:name w:val="Body Text Indent"/>
    <w:basedOn w:val="1"/>
    <w:link w:val="51"/>
    <w:autoRedefine/>
    <w:semiHidden/>
    <w:qFormat/>
    <w:uiPriority w:val="0"/>
    <w:pPr>
      <w:spacing w:after="120"/>
      <w:ind w:left="420" w:leftChars="200"/>
    </w:pPr>
    <w:rPr>
      <w:kern w:val="0"/>
      <w:sz w:val="24"/>
    </w:rPr>
  </w:style>
  <w:style w:type="paragraph" w:styleId="14">
    <w:name w:val="Block Text"/>
    <w:basedOn w:val="1"/>
    <w:next w:val="1"/>
    <w:autoRedefine/>
    <w:qFormat/>
    <w:uiPriority w:val="99"/>
    <w:pPr>
      <w:ind w:left="1440" w:leftChars="700" w:right="700" w:rightChars="700"/>
    </w:pPr>
  </w:style>
  <w:style w:type="paragraph" w:styleId="15">
    <w:name w:val="toc 3"/>
    <w:basedOn w:val="1"/>
    <w:next w:val="1"/>
    <w:autoRedefine/>
    <w:unhideWhenUsed/>
    <w:qFormat/>
    <w:locked/>
    <w:uiPriority w:val="39"/>
    <w:pPr>
      <w:widowControl/>
      <w:spacing w:after="100" w:line="276" w:lineRule="auto"/>
      <w:ind w:left="440"/>
      <w:jc w:val="left"/>
    </w:pPr>
    <w:rPr>
      <w:rFonts w:ascii="Calibri" w:hAnsi="Calibri"/>
      <w:kern w:val="0"/>
      <w:sz w:val="22"/>
      <w:szCs w:val="22"/>
    </w:rPr>
  </w:style>
  <w:style w:type="paragraph" w:styleId="16">
    <w:name w:val="Plain Text"/>
    <w:basedOn w:val="1"/>
    <w:link w:val="102"/>
    <w:autoRedefine/>
    <w:qFormat/>
    <w:uiPriority w:val="0"/>
    <w:rPr>
      <w:rFonts w:ascii="宋体" w:hAnsi="Courier New"/>
    </w:rPr>
  </w:style>
  <w:style w:type="paragraph" w:styleId="17">
    <w:name w:val="toc 8"/>
    <w:basedOn w:val="1"/>
    <w:next w:val="1"/>
    <w:autoRedefine/>
    <w:qFormat/>
    <w:locked/>
    <w:uiPriority w:val="0"/>
    <w:pPr>
      <w:ind w:left="2940" w:leftChars="1400"/>
    </w:pPr>
  </w:style>
  <w:style w:type="paragraph" w:styleId="18">
    <w:name w:val="Date"/>
    <w:basedOn w:val="1"/>
    <w:next w:val="1"/>
    <w:link w:val="52"/>
    <w:autoRedefine/>
    <w:qFormat/>
    <w:uiPriority w:val="0"/>
    <w:pPr>
      <w:ind w:left="100" w:leftChars="2500"/>
    </w:pPr>
    <w:rPr>
      <w:kern w:val="0"/>
      <w:sz w:val="24"/>
      <w:szCs w:val="20"/>
    </w:rPr>
  </w:style>
  <w:style w:type="paragraph" w:styleId="19">
    <w:name w:val="Balloon Text"/>
    <w:basedOn w:val="1"/>
    <w:link w:val="53"/>
    <w:autoRedefine/>
    <w:semiHidden/>
    <w:qFormat/>
    <w:uiPriority w:val="0"/>
    <w:rPr>
      <w:kern w:val="0"/>
      <w:sz w:val="18"/>
      <w:szCs w:val="18"/>
    </w:rPr>
  </w:style>
  <w:style w:type="paragraph" w:styleId="20">
    <w:name w:val="footer"/>
    <w:basedOn w:val="1"/>
    <w:link w:val="54"/>
    <w:autoRedefine/>
    <w:qFormat/>
    <w:uiPriority w:val="99"/>
    <w:pPr>
      <w:tabs>
        <w:tab w:val="center" w:pos="4153"/>
        <w:tab w:val="right" w:pos="8306"/>
      </w:tabs>
      <w:snapToGrid w:val="0"/>
      <w:jc w:val="left"/>
    </w:pPr>
    <w:rPr>
      <w:kern w:val="0"/>
      <w:sz w:val="18"/>
      <w:szCs w:val="18"/>
    </w:rPr>
  </w:style>
  <w:style w:type="paragraph" w:styleId="21">
    <w:name w:val="header"/>
    <w:basedOn w:val="1"/>
    <w:next w:val="22"/>
    <w:link w:val="47"/>
    <w:autoRedefine/>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22">
    <w:name w:val="样式5"/>
    <w:basedOn w:val="23"/>
    <w:autoRedefine/>
    <w:qFormat/>
    <w:uiPriority w:val="0"/>
    <w:pPr>
      <w:tabs>
        <w:tab w:val="left" w:pos="360"/>
      </w:tabs>
      <w:spacing w:line="460" w:lineRule="exact"/>
      <w:textAlignment w:val="baseline"/>
    </w:pPr>
    <w:rPr>
      <w:rFonts w:ascii="Arial" w:hAnsi="Arial" w:cs="Arial"/>
    </w:rPr>
  </w:style>
  <w:style w:type="paragraph" w:customStyle="1" w:styleId="23">
    <w:name w:val="正文1"/>
    <w:basedOn w:val="1"/>
    <w:next w:val="1"/>
    <w:autoRedefine/>
    <w:qFormat/>
    <w:uiPriority w:val="0"/>
    <w:pPr>
      <w:snapToGrid w:val="0"/>
      <w:spacing w:line="500" w:lineRule="exact"/>
      <w:ind w:firstLine="200" w:firstLineChars="200"/>
    </w:pPr>
    <w:rPr>
      <w:sz w:val="24"/>
    </w:rPr>
  </w:style>
  <w:style w:type="paragraph" w:styleId="24">
    <w:name w:val="toc 1"/>
    <w:basedOn w:val="1"/>
    <w:next w:val="1"/>
    <w:autoRedefine/>
    <w:unhideWhenUsed/>
    <w:qFormat/>
    <w:locked/>
    <w:uiPriority w:val="39"/>
  </w:style>
  <w:style w:type="paragraph" w:styleId="25">
    <w:name w:val="Body Text Indent 3"/>
    <w:basedOn w:val="1"/>
    <w:link w:val="104"/>
    <w:autoRedefine/>
    <w:qFormat/>
    <w:uiPriority w:val="0"/>
    <w:pPr>
      <w:spacing w:after="120"/>
      <w:ind w:left="420" w:leftChars="200"/>
    </w:pPr>
    <w:rPr>
      <w:sz w:val="16"/>
      <w:szCs w:val="16"/>
    </w:rPr>
  </w:style>
  <w:style w:type="paragraph" w:styleId="26">
    <w:name w:val="toc 2"/>
    <w:basedOn w:val="1"/>
    <w:next w:val="1"/>
    <w:autoRedefine/>
    <w:qFormat/>
    <w:locked/>
    <w:uiPriority w:val="39"/>
    <w:pPr>
      <w:spacing w:before="120"/>
      <w:ind w:left="210"/>
      <w:jc w:val="left"/>
    </w:pPr>
    <w:rPr>
      <w:i/>
      <w:iCs/>
      <w:sz w:val="20"/>
    </w:rPr>
  </w:style>
  <w:style w:type="paragraph" w:styleId="27">
    <w:name w:val="Normal (Web)"/>
    <w:basedOn w:val="1"/>
    <w:next w:val="17"/>
    <w:link w:val="48"/>
    <w:autoRedefine/>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autoRedefine/>
    <w:qFormat/>
    <w:locked/>
    <w:uiPriority w:val="0"/>
    <w:pPr>
      <w:spacing w:before="240" w:after="60"/>
      <w:jc w:val="center"/>
      <w:outlineLvl w:val="0"/>
    </w:pPr>
    <w:rPr>
      <w:rFonts w:ascii="Arial" w:hAnsi="Arial" w:cs="Arial"/>
      <w:bCs/>
      <w:sz w:val="32"/>
      <w:szCs w:val="32"/>
    </w:rPr>
  </w:style>
  <w:style w:type="paragraph" w:styleId="29">
    <w:name w:val="annotation subject"/>
    <w:basedOn w:val="10"/>
    <w:next w:val="10"/>
    <w:link w:val="55"/>
    <w:autoRedefine/>
    <w:semiHidden/>
    <w:qFormat/>
    <w:uiPriority w:val="0"/>
    <w:rPr>
      <w:b/>
      <w:bCs/>
      <w:kern w:val="2"/>
      <w:sz w:val="20"/>
      <w:szCs w:val="24"/>
    </w:rPr>
  </w:style>
  <w:style w:type="paragraph" w:styleId="30">
    <w:name w:val="Body Text First Indent"/>
    <w:basedOn w:val="11"/>
    <w:next w:val="1"/>
    <w:autoRedefine/>
    <w:qFormat/>
    <w:uiPriority w:val="0"/>
    <w:pPr>
      <w:ind w:firstLine="420" w:firstLineChars="100"/>
    </w:pPr>
  </w:style>
  <w:style w:type="paragraph" w:styleId="31">
    <w:name w:val="Body Text First Indent 2"/>
    <w:basedOn w:val="13"/>
    <w:autoRedefine/>
    <w:qFormat/>
    <w:uiPriority w:val="0"/>
    <w:pPr>
      <w:ind w:firstLine="420" w:firstLineChars="200"/>
    </w:pPr>
    <w:rPr>
      <w:rFonts w:hint="eastAsia"/>
      <w:sz w:val="21"/>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autoRedefine/>
    <w:qFormat/>
    <w:locked/>
    <w:uiPriority w:val="0"/>
    <w:rPr>
      <w:b/>
    </w:rPr>
  </w:style>
  <w:style w:type="character" w:styleId="36">
    <w:name w:val="page number"/>
    <w:autoRedefine/>
    <w:qFormat/>
    <w:uiPriority w:val="0"/>
  </w:style>
  <w:style w:type="character" w:styleId="37">
    <w:name w:val="Emphasis"/>
    <w:autoRedefine/>
    <w:qFormat/>
    <w:locked/>
    <w:uiPriority w:val="0"/>
    <w:rPr>
      <w:i/>
    </w:rPr>
  </w:style>
  <w:style w:type="character" w:styleId="38">
    <w:name w:val="Hyperlink"/>
    <w:basedOn w:val="34"/>
    <w:autoRedefine/>
    <w:unhideWhenUsed/>
    <w:qFormat/>
    <w:uiPriority w:val="99"/>
    <w:rPr>
      <w:color w:val="0000FF"/>
      <w:u w:val="single"/>
    </w:rPr>
  </w:style>
  <w:style w:type="character" w:styleId="39">
    <w:name w:val="annotation reference"/>
    <w:autoRedefine/>
    <w:semiHidden/>
    <w:qFormat/>
    <w:uiPriority w:val="0"/>
    <w:rPr>
      <w:sz w:val="21"/>
    </w:rPr>
  </w:style>
  <w:style w:type="paragraph" w:customStyle="1" w:styleId="40">
    <w:name w:val="Default"/>
    <w:basedOn w:val="41"/>
    <w:next w:val="42"/>
    <w:autoRedefine/>
    <w:qFormat/>
    <w:uiPriority w:val="0"/>
    <w:pPr>
      <w:autoSpaceDE w:val="0"/>
      <w:autoSpaceDN w:val="0"/>
    </w:pPr>
    <w:rPr>
      <w:rFonts w:hAnsi="Times New Roman" w:cs="宋体"/>
      <w:color w:val="000000"/>
      <w:sz w:val="24"/>
    </w:rPr>
  </w:style>
  <w:style w:type="paragraph" w:customStyle="1" w:styleId="41">
    <w:name w:val="纯文本1"/>
    <w:basedOn w:val="1"/>
    <w:autoRedefine/>
    <w:qFormat/>
    <w:uiPriority w:val="0"/>
    <w:rPr>
      <w:rFonts w:ascii="宋体" w:hAnsi="Courier New"/>
    </w:rPr>
  </w:style>
  <w:style w:type="paragraph" w:customStyle="1" w:styleId="42">
    <w:name w:val="Char Char Char Char Char Char Char Char Char Char Char Char Char"/>
    <w:basedOn w:val="4"/>
    <w:next w:val="43"/>
    <w:autoRedefine/>
    <w:qFormat/>
    <w:uiPriority w:val="0"/>
    <w:pPr>
      <w:tabs>
        <w:tab w:val="left" w:pos="360"/>
        <w:tab w:val="left" w:pos="900"/>
      </w:tabs>
      <w:snapToGrid w:val="0"/>
      <w:spacing w:beforeLines="0" w:after="120" w:line="360" w:lineRule="auto"/>
      <w:ind w:left="542" w:leftChars="-12"/>
      <w:jc w:val="left"/>
    </w:pPr>
    <w:rPr>
      <w:snapToGrid w:val="0"/>
    </w:rPr>
  </w:style>
  <w:style w:type="paragraph" w:customStyle="1" w:styleId="43">
    <w:name w:val="报告正文"/>
    <w:basedOn w:val="1"/>
    <w:autoRedefine/>
    <w:qFormat/>
    <w:uiPriority w:val="0"/>
    <w:pPr>
      <w:spacing w:line="360" w:lineRule="auto"/>
      <w:ind w:firstLine="482"/>
    </w:pPr>
    <w:rPr>
      <w:rFonts w:ascii="”“Times New Roman”“" w:hAnsi="”“Times New Roman”“" w:eastAsia="Courier New"/>
      <w:kern w:val="0"/>
      <w:szCs w:val="21"/>
    </w:rPr>
  </w:style>
  <w:style w:type="paragraph" w:customStyle="1" w:styleId="44">
    <w:name w:val="point101"/>
    <w:basedOn w:val="1"/>
    <w:next w:val="45"/>
    <w:autoRedefine/>
    <w:qFormat/>
    <w:uiPriority w:val="0"/>
    <w:pPr>
      <w:widowControl/>
      <w:spacing w:before="100" w:beforeAutospacing="1" w:after="100" w:afterAutospacing="1" w:line="390" w:lineRule="atLeast"/>
      <w:jc w:val="left"/>
    </w:pPr>
    <w:rPr>
      <w:rFonts w:hAnsi="宋体" w:cs="宋体"/>
      <w:kern w:val="0"/>
      <w:sz w:val="18"/>
      <w:szCs w:val="18"/>
    </w:rPr>
  </w:style>
  <w:style w:type="paragraph" w:customStyle="1" w:styleId="45">
    <w:name w:val="样式1"/>
    <w:basedOn w:val="21"/>
    <w:next w:val="46"/>
    <w:autoRedefine/>
    <w:qFormat/>
    <w:uiPriority w:val="0"/>
    <w:pPr>
      <w:suppressAutoHyphens/>
      <w:spacing w:line="520" w:lineRule="atLeast"/>
      <w:ind w:firstLine="200" w:firstLineChars="200"/>
    </w:pPr>
    <w:rPr>
      <w:spacing w:val="18"/>
      <w:sz w:val="32"/>
    </w:rPr>
  </w:style>
  <w:style w:type="paragraph" w:customStyle="1" w:styleId="46">
    <w:name w:val="标题样式2"/>
    <w:basedOn w:val="3"/>
    <w:next w:val="27"/>
    <w:autoRedefine/>
    <w:qFormat/>
    <w:uiPriority w:val="0"/>
    <w:pPr>
      <w:adjustRightInd w:val="0"/>
      <w:spacing w:line="360" w:lineRule="auto"/>
      <w:jc w:val="left"/>
      <w:textAlignment w:val="baseline"/>
    </w:pPr>
    <w:rPr>
      <w:kern w:val="0"/>
      <w:sz w:val="24"/>
    </w:rPr>
  </w:style>
  <w:style w:type="character" w:customStyle="1" w:styleId="47">
    <w:name w:val="页眉 Char"/>
    <w:link w:val="21"/>
    <w:autoRedefine/>
    <w:qFormat/>
    <w:locked/>
    <w:uiPriority w:val="0"/>
    <w:rPr>
      <w:rFonts w:cs="Times New Roman"/>
      <w:sz w:val="18"/>
      <w:szCs w:val="18"/>
    </w:rPr>
  </w:style>
  <w:style w:type="character" w:customStyle="1" w:styleId="48">
    <w:name w:val="普通(网站) Char1"/>
    <w:link w:val="27"/>
    <w:autoRedefine/>
    <w:qFormat/>
    <w:locked/>
    <w:uiPriority w:val="0"/>
    <w:rPr>
      <w:rFonts w:ascii="宋体" w:hAnsi="宋体" w:eastAsia="宋体"/>
      <w:sz w:val="24"/>
    </w:rPr>
  </w:style>
  <w:style w:type="character" w:customStyle="1" w:styleId="49">
    <w:name w:val="批注文字 Char"/>
    <w:link w:val="10"/>
    <w:autoRedefine/>
    <w:qFormat/>
    <w:locked/>
    <w:uiPriority w:val="0"/>
    <w:rPr>
      <w:rFonts w:ascii="Times New Roman" w:hAnsi="Times New Roman" w:eastAsia="宋体"/>
      <w:sz w:val="24"/>
    </w:rPr>
  </w:style>
  <w:style w:type="character" w:customStyle="1" w:styleId="50">
    <w:name w:val="正文文本 Char"/>
    <w:link w:val="11"/>
    <w:autoRedefine/>
    <w:qFormat/>
    <w:locked/>
    <w:uiPriority w:val="0"/>
    <w:rPr>
      <w:sz w:val="18"/>
    </w:rPr>
  </w:style>
  <w:style w:type="character" w:customStyle="1" w:styleId="51">
    <w:name w:val="正文文本缩进 Char"/>
    <w:link w:val="13"/>
    <w:autoRedefine/>
    <w:semiHidden/>
    <w:qFormat/>
    <w:locked/>
    <w:uiPriority w:val="0"/>
    <w:rPr>
      <w:rFonts w:ascii="Times New Roman" w:hAnsi="Times New Roman" w:eastAsia="宋体" w:cs="Times New Roman"/>
      <w:sz w:val="24"/>
      <w:szCs w:val="24"/>
    </w:rPr>
  </w:style>
  <w:style w:type="character" w:customStyle="1" w:styleId="52">
    <w:name w:val="日期 Char"/>
    <w:link w:val="18"/>
    <w:autoRedefine/>
    <w:qFormat/>
    <w:locked/>
    <w:uiPriority w:val="0"/>
    <w:rPr>
      <w:rFonts w:ascii="Times New Roman" w:hAnsi="Times New Roman" w:eastAsia="宋体"/>
      <w:sz w:val="24"/>
    </w:rPr>
  </w:style>
  <w:style w:type="character" w:customStyle="1" w:styleId="53">
    <w:name w:val="批注框文本 Char"/>
    <w:link w:val="19"/>
    <w:autoRedefine/>
    <w:semiHidden/>
    <w:qFormat/>
    <w:locked/>
    <w:uiPriority w:val="0"/>
    <w:rPr>
      <w:rFonts w:ascii="Times New Roman" w:hAnsi="Times New Roman" w:eastAsia="宋体" w:cs="Times New Roman"/>
      <w:sz w:val="18"/>
      <w:szCs w:val="18"/>
    </w:rPr>
  </w:style>
  <w:style w:type="character" w:customStyle="1" w:styleId="54">
    <w:name w:val="页脚 Char"/>
    <w:link w:val="20"/>
    <w:autoRedefine/>
    <w:qFormat/>
    <w:locked/>
    <w:uiPriority w:val="99"/>
    <w:rPr>
      <w:rFonts w:cs="Times New Roman"/>
      <w:sz w:val="18"/>
      <w:szCs w:val="18"/>
    </w:rPr>
  </w:style>
  <w:style w:type="character" w:customStyle="1" w:styleId="55">
    <w:name w:val="批注主题 Char"/>
    <w:link w:val="29"/>
    <w:autoRedefine/>
    <w:semiHidden/>
    <w:qFormat/>
    <w:locked/>
    <w:uiPriority w:val="0"/>
    <w:rPr>
      <w:rFonts w:cs="Times New Roman"/>
      <w:b/>
      <w:bCs/>
      <w:kern w:val="2"/>
      <w:szCs w:val="24"/>
    </w:rPr>
  </w:style>
  <w:style w:type="paragraph" w:styleId="56">
    <w:name w:val="Quote"/>
    <w:basedOn w:val="1"/>
    <w:next w:val="1"/>
    <w:autoRedefine/>
    <w:qFormat/>
    <w:uiPriority w:val="0"/>
    <w:pPr>
      <w:wordWrap w:val="0"/>
      <w:spacing w:before="200" w:after="160"/>
      <w:ind w:left="864" w:right="864"/>
      <w:jc w:val="center"/>
    </w:pPr>
    <w:rPr>
      <w:i/>
    </w:rPr>
  </w:style>
  <w:style w:type="character" w:customStyle="1" w:styleId="57">
    <w:name w:val="日期 字符"/>
    <w:autoRedefine/>
    <w:semiHidden/>
    <w:qFormat/>
    <w:uiPriority w:val="0"/>
    <w:rPr>
      <w:rFonts w:ascii="Times New Roman" w:hAnsi="Times New Roman" w:eastAsia="宋体" w:cs="Times New Roman"/>
      <w:sz w:val="24"/>
      <w:szCs w:val="24"/>
    </w:rPr>
  </w:style>
  <w:style w:type="character" w:customStyle="1" w:styleId="58">
    <w:name w:val="普通(网站) Char"/>
    <w:autoRedefine/>
    <w:qFormat/>
    <w:locked/>
    <w:uiPriority w:val="0"/>
    <w:rPr>
      <w:rFonts w:ascii="宋体" w:hAnsi="宋体" w:eastAsia="宋体"/>
      <w:sz w:val="24"/>
    </w:rPr>
  </w:style>
  <w:style w:type="character" w:customStyle="1" w:styleId="59">
    <w:name w:val="表格 Char"/>
    <w:link w:val="60"/>
    <w:autoRedefine/>
    <w:qFormat/>
    <w:locked/>
    <w:uiPriority w:val="0"/>
    <w:rPr>
      <w:rFonts w:ascii="宋体"/>
      <w:sz w:val="21"/>
    </w:rPr>
  </w:style>
  <w:style w:type="paragraph" w:customStyle="1" w:styleId="60">
    <w:name w:val="表格"/>
    <w:basedOn w:val="41"/>
    <w:link w:val="59"/>
    <w:autoRedefine/>
    <w:qFormat/>
    <w:uiPriority w:val="0"/>
    <w:pPr>
      <w:adjustRightInd w:val="0"/>
      <w:snapToGrid w:val="0"/>
      <w:spacing w:beforeLines="10" w:afterLines="10" w:line="259" w:lineRule="auto"/>
      <w:jc w:val="center"/>
    </w:pPr>
    <w:rPr>
      <w:rFonts w:hAnsi="Times New Roman"/>
      <w:kern w:val="0"/>
      <w:szCs w:val="20"/>
    </w:rPr>
  </w:style>
  <w:style w:type="character" w:customStyle="1" w:styleId="61">
    <w:name w:val="批注文字 字符1"/>
    <w:autoRedefine/>
    <w:semiHidden/>
    <w:qFormat/>
    <w:uiPriority w:val="0"/>
    <w:rPr>
      <w:rFonts w:ascii="Times New Roman" w:hAnsi="Times New Roman" w:eastAsia="宋体" w:cs="Times New Roman"/>
      <w:sz w:val="24"/>
      <w:szCs w:val="24"/>
    </w:rPr>
  </w:style>
  <w:style w:type="character" w:customStyle="1" w:styleId="62">
    <w:name w:val="正文文本 字符1"/>
    <w:autoRedefine/>
    <w:semiHidden/>
    <w:qFormat/>
    <w:uiPriority w:val="0"/>
    <w:rPr>
      <w:rFonts w:ascii="Times New Roman" w:hAnsi="Times New Roman" w:eastAsia="宋体" w:cs="Times New Roman"/>
      <w:sz w:val="24"/>
      <w:szCs w:val="24"/>
    </w:rPr>
  </w:style>
  <w:style w:type="character" w:customStyle="1" w:styleId="63">
    <w:name w:val="fontstyle01"/>
    <w:autoRedefine/>
    <w:qFormat/>
    <w:uiPriority w:val="0"/>
    <w:rPr>
      <w:rFonts w:hint="eastAsia" w:ascii="宋体" w:hAnsi="宋体" w:eastAsia="宋体" w:cs="宋体"/>
      <w:color w:val="000000"/>
      <w:sz w:val="24"/>
      <w:szCs w:val="24"/>
    </w:rPr>
  </w:style>
  <w:style w:type="paragraph" w:customStyle="1" w:styleId="64">
    <w:name w:val="表"/>
    <w:basedOn w:val="28"/>
    <w:autoRedefine/>
    <w:qFormat/>
    <w:uiPriority w:val="0"/>
    <w:pPr>
      <w:spacing w:line="440" w:lineRule="exact"/>
      <w:ind w:firstLine="200" w:firstLineChars="200"/>
      <w:jc w:val="both"/>
    </w:pPr>
    <w:rPr>
      <w:sz w:val="24"/>
      <w:szCs w:val="22"/>
    </w:rPr>
  </w:style>
  <w:style w:type="paragraph" w:customStyle="1" w:styleId="65">
    <w:name w:val="表头"/>
    <w:basedOn w:val="1"/>
    <w:next w:val="7"/>
    <w:autoRedefine/>
    <w:qFormat/>
    <w:uiPriority w:val="0"/>
    <w:pPr>
      <w:adjustRightInd w:val="0"/>
      <w:snapToGrid w:val="0"/>
      <w:spacing w:before="60" w:after="60" w:line="480" w:lineRule="exact"/>
      <w:jc w:val="center"/>
    </w:pPr>
    <w:rPr>
      <w:rFonts w:eastAsia="华文中宋"/>
      <w:snapToGrid w:val="0"/>
      <w:kern w:val="0"/>
      <w:sz w:val="28"/>
      <w:szCs w:val="20"/>
    </w:rPr>
  </w:style>
  <w:style w:type="paragraph" w:customStyle="1" w:styleId="66">
    <w:name w:val="中文报告书样式"/>
    <w:basedOn w:val="1"/>
    <w:autoRedefine/>
    <w:qFormat/>
    <w:uiPriority w:val="0"/>
    <w:pPr>
      <w:spacing w:line="480" w:lineRule="atLeast"/>
      <w:ind w:firstLine="482"/>
      <w:textAlignment w:val="baseline"/>
    </w:pPr>
    <w:rPr>
      <w:kern w:val="24"/>
      <w:sz w:val="20"/>
      <w:szCs w:val="20"/>
    </w:rPr>
  </w:style>
  <w:style w:type="paragraph" w:customStyle="1" w:styleId="6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8">
    <w:name w:val="列出段落1"/>
    <w:basedOn w:val="1"/>
    <w:autoRedefine/>
    <w:qFormat/>
    <w:uiPriority w:val="0"/>
    <w:pPr>
      <w:ind w:firstLine="420" w:firstLineChars="200"/>
    </w:pPr>
  </w:style>
  <w:style w:type="paragraph" w:customStyle="1" w:styleId="69">
    <w:name w:val="表格标题"/>
    <w:basedOn w:val="1"/>
    <w:autoRedefine/>
    <w:qFormat/>
    <w:uiPriority w:val="0"/>
    <w:pPr>
      <w:spacing w:before="120" w:line="320" w:lineRule="atLeast"/>
      <w:jc w:val="center"/>
    </w:pPr>
  </w:style>
  <w:style w:type="paragraph" w:customStyle="1" w:styleId="70">
    <w:name w:val="样式2"/>
    <w:basedOn w:val="1"/>
    <w:autoRedefine/>
    <w:qFormat/>
    <w:uiPriority w:val="0"/>
    <w:pPr>
      <w:spacing w:line="400" w:lineRule="exact"/>
      <w:ind w:firstLine="200" w:firstLineChars="200"/>
    </w:pPr>
    <w:rPr>
      <w:sz w:val="24"/>
    </w:rPr>
  </w:style>
  <w:style w:type="paragraph" w:customStyle="1" w:styleId="71">
    <w:name w:val="表格文字"/>
    <w:basedOn w:val="1"/>
    <w:next w:val="1"/>
    <w:link w:val="101"/>
    <w:autoRedefine/>
    <w:qFormat/>
    <w:uiPriority w:val="0"/>
    <w:pPr>
      <w:snapToGrid w:val="0"/>
      <w:spacing w:line="360" w:lineRule="exact"/>
      <w:jc w:val="center"/>
    </w:pPr>
    <w:rPr>
      <w:spacing w:val="4"/>
      <w:szCs w:val="21"/>
    </w:rPr>
  </w:style>
  <w:style w:type="paragraph" w:customStyle="1" w:styleId="72">
    <w:name w:val="样式 文本正文 + 首行缩进:  2 字符"/>
    <w:basedOn w:val="1"/>
    <w:autoRedefine/>
    <w:qFormat/>
    <w:uiPriority w:val="0"/>
    <w:pPr>
      <w:spacing w:line="360" w:lineRule="auto"/>
      <w:ind w:firstLine="200" w:firstLineChars="200"/>
    </w:pPr>
    <w:rPr>
      <w:rFonts w:cs="宋体"/>
      <w:sz w:val="24"/>
      <w:szCs w:val="20"/>
    </w:rPr>
  </w:style>
  <w:style w:type="paragraph" w:customStyle="1" w:styleId="73">
    <w:name w:val="Table Paragraph"/>
    <w:basedOn w:val="1"/>
    <w:autoRedefine/>
    <w:qFormat/>
    <w:uiPriority w:val="1"/>
    <w:rPr>
      <w:rFonts w:ascii="宋体" w:hAnsi="宋体" w:cs="宋体"/>
      <w:lang w:val="zh-CN" w:bidi="zh-CN"/>
    </w:rPr>
  </w:style>
  <w:style w:type="paragraph" w:customStyle="1" w:styleId="74">
    <w:name w:val="表格1"/>
    <w:basedOn w:val="1"/>
    <w:autoRedefine/>
    <w:qFormat/>
    <w:uiPriority w:val="0"/>
    <w:pPr>
      <w:spacing w:line="360" w:lineRule="atLeast"/>
      <w:ind w:firstLine="200" w:firstLineChars="200"/>
      <w:jc w:val="center"/>
      <w:textAlignment w:val="baseline"/>
    </w:pPr>
    <w:rPr>
      <w:rFonts w:ascii="CG Times (WN)"/>
      <w:spacing w:val="6"/>
      <w:sz w:val="24"/>
      <w:szCs w:val="20"/>
    </w:rPr>
  </w:style>
  <w:style w:type="paragraph" w:customStyle="1" w:styleId="75">
    <w:name w:val="正文-自建"/>
    <w:basedOn w:val="7"/>
    <w:autoRedefine/>
    <w:qFormat/>
    <w:uiPriority w:val="0"/>
    <w:pPr>
      <w:widowControl w:val="0"/>
      <w:spacing w:before="0" w:beforeAutospacing="0" w:after="0" w:afterAutospacing="0" w:line="600" w:lineRule="exact"/>
      <w:ind w:firstLine="420"/>
      <w:jc w:val="both"/>
    </w:pPr>
    <w:rPr>
      <w:rFonts w:ascii="Times New Roman" w:hAnsi="Times New Roman"/>
      <w:kern w:val="2"/>
      <w:sz w:val="20"/>
      <w:szCs w:val="28"/>
    </w:rPr>
  </w:style>
  <w:style w:type="table" w:customStyle="1" w:styleId="76">
    <w:name w:val="Table Normal"/>
    <w:autoRedefine/>
    <w:unhideWhenUsed/>
    <w:qFormat/>
    <w:uiPriority w:val="0"/>
    <w:tblPr>
      <w:tblCellMar>
        <w:top w:w="0" w:type="dxa"/>
        <w:left w:w="0" w:type="dxa"/>
        <w:bottom w:w="0" w:type="dxa"/>
        <w:right w:w="0" w:type="dxa"/>
      </w:tblCellMar>
    </w:tblPr>
  </w:style>
  <w:style w:type="paragraph" w:customStyle="1" w:styleId="77">
    <w:name w:val="Other|1"/>
    <w:basedOn w:val="1"/>
    <w:autoRedefine/>
    <w:qFormat/>
    <w:uiPriority w:val="0"/>
    <w:rPr>
      <w:rFonts w:ascii="宋体" w:hAnsi="宋体" w:cs="宋体"/>
      <w:sz w:val="10"/>
      <w:szCs w:val="10"/>
      <w:lang w:val="zh-TW" w:eastAsia="zh-TW" w:bidi="zh-TW"/>
    </w:rPr>
  </w:style>
  <w:style w:type="paragraph" w:customStyle="1" w:styleId="78">
    <w:name w:val="Body text|1"/>
    <w:basedOn w:val="1"/>
    <w:autoRedefine/>
    <w:qFormat/>
    <w:uiPriority w:val="0"/>
    <w:pPr>
      <w:spacing w:line="437" w:lineRule="auto"/>
      <w:ind w:firstLine="400"/>
    </w:pPr>
    <w:rPr>
      <w:rFonts w:ascii="宋体" w:hAnsi="宋体" w:cs="宋体"/>
      <w:sz w:val="22"/>
      <w:szCs w:val="22"/>
      <w:lang w:val="zh-TW" w:eastAsia="zh-TW" w:bidi="zh-TW"/>
    </w:rPr>
  </w:style>
  <w:style w:type="paragraph" w:customStyle="1" w:styleId="79">
    <w:name w:val="样式 首行缩进:  2 字符"/>
    <w:basedOn w:val="1"/>
    <w:autoRedefine/>
    <w:qFormat/>
    <w:uiPriority w:val="0"/>
    <w:pPr>
      <w:spacing w:line="440" w:lineRule="exact"/>
      <w:ind w:firstLine="200" w:firstLineChars="200"/>
    </w:pPr>
    <w:rPr>
      <w:sz w:val="24"/>
      <w:szCs w:val="20"/>
    </w:rPr>
  </w:style>
  <w:style w:type="paragraph" w:customStyle="1" w:styleId="80">
    <w:name w:val="Body text|4"/>
    <w:basedOn w:val="1"/>
    <w:autoRedefine/>
    <w:qFormat/>
    <w:uiPriority w:val="0"/>
    <w:pPr>
      <w:spacing w:after="180" w:line="466" w:lineRule="exact"/>
      <w:ind w:firstLine="500"/>
    </w:pPr>
  </w:style>
  <w:style w:type="character" w:customStyle="1" w:styleId="81">
    <w:name w:val="font21"/>
    <w:autoRedefine/>
    <w:qFormat/>
    <w:uiPriority w:val="0"/>
    <w:rPr>
      <w:rFonts w:hint="default" w:ascii="Times New Roman" w:hAnsi="Times New Roman" w:cs="Times New Roman"/>
      <w:color w:val="000000"/>
      <w:sz w:val="21"/>
      <w:szCs w:val="21"/>
      <w:u w:val="none"/>
    </w:rPr>
  </w:style>
  <w:style w:type="character" w:customStyle="1" w:styleId="82">
    <w:name w:val="font11"/>
    <w:autoRedefine/>
    <w:qFormat/>
    <w:uiPriority w:val="0"/>
    <w:rPr>
      <w:rFonts w:hint="eastAsia" w:ascii="宋体" w:hAnsi="宋体" w:eastAsia="宋体" w:cs="宋体"/>
      <w:color w:val="000000"/>
      <w:sz w:val="21"/>
      <w:szCs w:val="21"/>
      <w:u w:val="none"/>
    </w:rPr>
  </w:style>
  <w:style w:type="character" w:customStyle="1" w:styleId="83">
    <w:name w:val="font01"/>
    <w:autoRedefine/>
    <w:qFormat/>
    <w:uiPriority w:val="0"/>
    <w:rPr>
      <w:rFonts w:hint="eastAsia" w:ascii="仿宋" w:hAnsi="仿宋" w:eastAsia="仿宋" w:cs="仿宋"/>
      <w:color w:val="000000"/>
      <w:sz w:val="21"/>
      <w:szCs w:val="21"/>
      <w:u w:val="none"/>
    </w:rPr>
  </w:style>
  <w:style w:type="paragraph" w:customStyle="1" w:styleId="84">
    <w:name w:val="表格内容"/>
    <w:basedOn w:val="1"/>
    <w:link w:val="107"/>
    <w:autoRedefine/>
    <w:qFormat/>
    <w:uiPriority w:val="0"/>
    <w:pPr>
      <w:adjustRightInd w:val="0"/>
      <w:snapToGrid w:val="0"/>
      <w:spacing w:line="240" w:lineRule="atLeast"/>
      <w:jc w:val="center"/>
    </w:pPr>
    <w:rPr>
      <w:kern w:val="0"/>
    </w:rPr>
  </w:style>
  <w:style w:type="paragraph" w:customStyle="1" w:styleId="85">
    <w:name w:val="表标题"/>
    <w:basedOn w:val="11"/>
    <w:next w:val="11"/>
    <w:autoRedefine/>
    <w:qFormat/>
    <w:uiPriority w:val="0"/>
    <w:pPr>
      <w:spacing w:line="240" w:lineRule="auto"/>
      <w:jc w:val="center"/>
    </w:pPr>
    <w:rPr>
      <w:b/>
      <w:bCs/>
    </w:rPr>
  </w:style>
  <w:style w:type="paragraph" w:customStyle="1" w:styleId="86">
    <w:name w:val="列出段落11"/>
    <w:basedOn w:val="1"/>
    <w:autoRedefine/>
    <w:qFormat/>
    <w:uiPriority w:val="0"/>
    <w:pPr>
      <w:ind w:firstLine="420" w:firstLineChars="200"/>
    </w:pPr>
  </w:style>
  <w:style w:type="character" w:customStyle="1" w:styleId="87">
    <w:name w:val="font31"/>
    <w:autoRedefine/>
    <w:qFormat/>
    <w:uiPriority w:val="0"/>
    <w:rPr>
      <w:rFonts w:hint="default" w:ascii="仿宋_GB2312" w:eastAsia="仿宋_GB2312" w:cs="仿宋_GB2312"/>
      <w:color w:val="000000"/>
      <w:sz w:val="21"/>
      <w:szCs w:val="21"/>
      <w:u w:val="none"/>
    </w:rPr>
  </w:style>
  <w:style w:type="table" w:customStyle="1" w:styleId="88">
    <w:name w:val="表2"/>
    <w:basedOn w:val="32"/>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表12"/>
    <w:basedOn w:val="32"/>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
    <w:name w:val="Table Text"/>
    <w:basedOn w:val="1"/>
    <w:autoRedefine/>
    <w:semiHidden/>
    <w:qFormat/>
    <w:uiPriority w:val="0"/>
    <w:rPr>
      <w:rFonts w:ascii="宋体" w:hAnsi="宋体" w:cs="宋体"/>
      <w:szCs w:val="21"/>
      <w:lang w:eastAsia="en-US"/>
    </w:rPr>
  </w:style>
  <w:style w:type="character" w:customStyle="1" w:styleId="91">
    <w:name w:val="fontstyle21"/>
    <w:autoRedefine/>
    <w:qFormat/>
    <w:uiPriority w:val="0"/>
    <w:rPr>
      <w:rFonts w:hint="eastAsia" w:ascii="TimesNewRomanPSMT" w:eastAsia="TimesNewRomanPSMT"/>
      <w:color w:val="000000"/>
      <w:sz w:val="24"/>
      <w:szCs w:val="24"/>
    </w:rPr>
  </w:style>
  <w:style w:type="paragraph" w:customStyle="1" w:styleId="92">
    <w:name w:val="content"/>
    <w:autoRedefine/>
    <w:qFormat/>
    <w:uiPriority w:val="0"/>
    <w:pPr>
      <w:adjustRightInd w:val="0"/>
      <w:snapToGrid w:val="0"/>
      <w:spacing w:line="360" w:lineRule="auto"/>
      <w:ind w:firstLine="480" w:firstLineChars="200"/>
      <w:jc w:val="both"/>
    </w:pPr>
    <w:rPr>
      <w:rFonts w:ascii="Times New Roman" w:hAnsi="Times New Roman" w:eastAsia="Times New Roman" w:cs="Times New Roman"/>
      <w:kern w:val="2"/>
      <w:sz w:val="24"/>
      <w:lang w:val="en-US" w:eastAsia="zh-CN" w:bidi="ar-SA"/>
    </w:rPr>
  </w:style>
  <w:style w:type="character" w:customStyle="1" w:styleId="93">
    <w:name w:val="文档结构图 Char"/>
    <w:basedOn w:val="34"/>
    <w:link w:val="9"/>
    <w:autoRedefine/>
    <w:qFormat/>
    <w:uiPriority w:val="0"/>
    <w:rPr>
      <w:rFonts w:ascii="宋体"/>
      <w:kern w:val="2"/>
      <w:sz w:val="18"/>
      <w:szCs w:val="18"/>
    </w:rPr>
  </w:style>
  <w:style w:type="paragraph" w:customStyle="1" w:styleId="94">
    <w:name w:val="样式 正文缩进正文缩进2正文缩进 Char Char正文缩进 Char Char Char Char正文缩进 Char ..."/>
    <w:basedOn w:val="7"/>
    <w:autoRedefine/>
    <w:qFormat/>
    <w:uiPriority w:val="0"/>
    <w:pPr>
      <w:widowControl w:val="0"/>
      <w:spacing w:before="0" w:beforeAutospacing="0" w:after="0" w:afterAutospacing="0" w:line="360" w:lineRule="auto"/>
      <w:ind w:firstLine="624"/>
      <w:jc w:val="both"/>
    </w:pPr>
    <w:rPr>
      <w:rFonts w:hAnsi="Times New Roman" w:eastAsia="Times New Roman" w:cs="宋体"/>
      <w:sz w:val="28"/>
      <w:szCs w:val="20"/>
    </w:rPr>
  </w:style>
  <w:style w:type="paragraph" w:customStyle="1" w:styleId="95">
    <w:name w:val="TOC 标题1"/>
    <w:basedOn w:val="2"/>
    <w:next w:val="1"/>
    <w:autoRedefine/>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96">
    <w:name w:val="新格式表"/>
    <w:basedOn w:val="1"/>
    <w:autoRedefine/>
    <w:qFormat/>
    <w:uiPriority w:val="0"/>
    <w:pPr>
      <w:jc w:val="center"/>
    </w:pPr>
    <w:rPr>
      <w:snapToGrid w:val="0"/>
      <w:kern w:val="0"/>
      <w:sz w:val="20"/>
      <w:szCs w:val="21"/>
    </w:rPr>
  </w:style>
  <w:style w:type="paragraph" w:customStyle="1" w:styleId="97">
    <w:name w:val="表内文字"/>
    <w:basedOn w:val="7"/>
    <w:autoRedefine/>
    <w:qFormat/>
    <w:uiPriority w:val="0"/>
    <w:pPr>
      <w:spacing w:line="280" w:lineRule="exact"/>
    </w:pPr>
    <w:rPr>
      <w:szCs w:val="20"/>
    </w:rPr>
  </w:style>
  <w:style w:type="character" w:customStyle="1" w:styleId="98">
    <w:name w:val="成容 Char"/>
    <w:link w:val="99"/>
    <w:autoRedefine/>
    <w:qFormat/>
    <w:uiPriority w:val="0"/>
    <w:rPr>
      <w:kern w:val="2"/>
      <w:sz w:val="24"/>
      <w:szCs w:val="24"/>
      <w:lang w:val="en-US" w:eastAsia="zh-CN" w:bidi="ar-SA"/>
    </w:rPr>
  </w:style>
  <w:style w:type="paragraph" w:customStyle="1" w:styleId="99">
    <w:name w:val="成容"/>
    <w:link w:val="98"/>
    <w:autoRedefine/>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100">
    <w:name w:val="标题 2 Char"/>
    <w:link w:val="3"/>
    <w:autoRedefine/>
    <w:qFormat/>
    <w:uiPriority w:val="0"/>
    <w:rPr>
      <w:rFonts w:ascii="黑体" w:hAnsi="宋体" w:eastAsia="黑体"/>
      <w:kern w:val="2"/>
      <w:sz w:val="28"/>
      <w:szCs w:val="24"/>
    </w:rPr>
  </w:style>
  <w:style w:type="character" w:customStyle="1" w:styleId="101">
    <w:name w:val="表格文字 Char"/>
    <w:link w:val="71"/>
    <w:autoRedefine/>
    <w:qFormat/>
    <w:uiPriority w:val="0"/>
    <w:rPr>
      <w:spacing w:val="4"/>
      <w:kern w:val="2"/>
      <w:sz w:val="21"/>
      <w:szCs w:val="21"/>
    </w:rPr>
  </w:style>
  <w:style w:type="character" w:customStyle="1" w:styleId="102">
    <w:name w:val="纯文本 Char"/>
    <w:link w:val="16"/>
    <w:autoRedefine/>
    <w:qFormat/>
    <w:uiPriority w:val="0"/>
    <w:rPr>
      <w:rFonts w:ascii="宋体" w:hAnsi="Courier New"/>
      <w:kern w:val="2"/>
      <w:sz w:val="21"/>
      <w:szCs w:val="24"/>
    </w:rPr>
  </w:style>
  <w:style w:type="character" w:customStyle="1" w:styleId="103">
    <w:name w:val="标题 1 Char"/>
    <w:link w:val="2"/>
    <w:autoRedefine/>
    <w:qFormat/>
    <w:uiPriority w:val="0"/>
    <w:rPr>
      <w:rFonts w:eastAsia="黑体"/>
      <w:b/>
      <w:bCs/>
      <w:color w:val="000000"/>
      <w:kern w:val="44"/>
      <w:sz w:val="30"/>
      <w:szCs w:val="30"/>
    </w:rPr>
  </w:style>
  <w:style w:type="character" w:customStyle="1" w:styleId="104">
    <w:name w:val="正文文本缩进 3 Char"/>
    <w:basedOn w:val="34"/>
    <w:link w:val="25"/>
    <w:autoRedefine/>
    <w:qFormat/>
    <w:uiPriority w:val="0"/>
    <w:rPr>
      <w:kern w:val="2"/>
      <w:sz w:val="16"/>
      <w:szCs w:val="16"/>
    </w:rPr>
  </w:style>
  <w:style w:type="paragraph" w:styleId="105">
    <w:name w:val="List Paragraph"/>
    <w:basedOn w:val="1"/>
    <w:link w:val="110"/>
    <w:autoRedefine/>
    <w:qFormat/>
    <w:uiPriority w:val="1"/>
    <w:pPr>
      <w:autoSpaceDE w:val="0"/>
      <w:autoSpaceDN w:val="0"/>
      <w:adjustRightInd w:val="0"/>
      <w:ind w:left="1027" w:hanging="420"/>
      <w:jc w:val="left"/>
    </w:pPr>
    <w:rPr>
      <w:rFonts w:ascii="宋体" w:cs="宋体"/>
      <w:kern w:val="0"/>
      <w:sz w:val="24"/>
    </w:rPr>
  </w:style>
  <w:style w:type="paragraph" w:customStyle="1" w:styleId="106">
    <w:name w:val="Heading 3"/>
    <w:basedOn w:val="1"/>
    <w:autoRedefine/>
    <w:qFormat/>
    <w:uiPriority w:val="1"/>
    <w:pPr>
      <w:autoSpaceDE w:val="0"/>
      <w:autoSpaceDN w:val="0"/>
      <w:adjustRightInd w:val="0"/>
      <w:ind w:left="1587" w:hanging="547"/>
      <w:jc w:val="left"/>
      <w:outlineLvl w:val="2"/>
    </w:pPr>
    <w:rPr>
      <w:rFonts w:ascii="微软雅黑" w:eastAsia="微软雅黑" w:cs="微软雅黑"/>
      <w:b/>
      <w:bCs/>
      <w:kern w:val="0"/>
      <w:sz w:val="24"/>
    </w:rPr>
  </w:style>
  <w:style w:type="character" w:customStyle="1" w:styleId="107">
    <w:name w:val="表格内容 Char"/>
    <w:link w:val="84"/>
    <w:autoRedefine/>
    <w:qFormat/>
    <w:locked/>
    <w:uiPriority w:val="0"/>
    <w:rPr>
      <w:sz w:val="21"/>
      <w:szCs w:val="24"/>
    </w:rPr>
  </w:style>
  <w:style w:type="paragraph" w:customStyle="1" w:styleId="108">
    <w:name w:val="文本"/>
    <w:basedOn w:val="13"/>
    <w:autoRedefine/>
    <w:qFormat/>
    <w:uiPriority w:val="0"/>
    <w:pPr>
      <w:adjustRightInd w:val="0"/>
      <w:snapToGrid w:val="0"/>
      <w:spacing w:line="520" w:lineRule="exact"/>
      <w:ind w:firstLine="200" w:firstLineChars="200"/>
    </w:pPr>
    <w:rPr>
      <w:rFonts w:ascii="宋体" w:eastAsia="仿宋_GB2312"/>
    </w:rPr>
  </w:style>
  <w:style w:type="paragraph" w:customStyle="1" w:styleId="109">
    <w:name w:val="正文格式"/>
    <w:basedOn w:val="1"/>
    <w:autoRedefine/>
    <w:qFormat/>
    <w:uiPriority w:val="0"/>
    <w:pPr>
      <w:spacing w:line="360" w:lineRule="auto"/>
      <w:ind w:firstLine="544" w:firstLineChars="200"/>
    </w:pPr>
    <w:rPr>
      <w:rFonts w:cs="宋体"/>
      <w:sz w:val="24"/>
    </w:rPr>
  </w:style>
  <w:style w:type="character" w:customStyle="1" w:styleId="110">
    <w:name w:val="列出段落 Char"/>
    <w:link w:val="105"/>
    <w:autoRedefine/>
    <w:qFormat/>
    <w:locked/>
    <w:uiPriority w:val="34"/>
    <w:rPr>
      <w:rFonts w:ascii="宋体" w:cs="宋体"/>
      <w:kern w:val="0"/>
      <w:sz w:val="24"/>
    </w:rPr>
  </w:style>
  <w:style w:type="paragraph" w:customStyle="1" w:styleId="111">
    <w:name w:val="List Paragraph1"/>
    <w:basedOn w:val="1"/>
    <w:autoRedefine/>
    <w:qFormat/>
    <w:uiPriority w:val="0"/>
    <w:pPr>
      <w:ind w:firstLine="420" w:firstLineChars="200"/>
    </w:pPr>
  </w:style>
  <w:style w:type="paragraph" w:customStyle="1" w:styleId="112">
    <w:name w:val="样式 样式 样式 四号 左侧:  1.53 厘米 + 首行缩进:  2 字符 + 居中 左侧:  2 字符 首行缩进:  2..."/>
    <w:basedOn w:val="113"/>
    <w:autoRedefine/>
    <w:qFormat/>
    <w:uiPriority w:val="0"/>
    <w:pPr>
      <w:spacing w:line="360" w:lineRule="auto"/>
      <w:jc w:val="center"/>
    </w:pPr>
  </w:style>
  <w:style w:type="paragraph" w:customStyle="1" w:styleId="113">
    <w:name w:val="样式 样式 四号 左侧:  1.53 厘米 + 首行缩进:  2 字符"/>
    <w:basedOn w:val="114"/>
    <w:autoRedefine/>
    <w:qFormat/>
    <w:uiPriority w:val="99"/>
    <w:pPr>
      <w:ind w:left="200" w:leftChars="200"/>
    </w:pPr>
    <w:rPr>
      <w:szCs w:val="20"/>
    </w:rPr>
  </w:style>
  <w:style w:type="paragraph" w:customStyle="1" w:styleId="114">
    <w:name w:val="样式 四号 左侧:  1.53 厘米"/>
    <w:basedOn w:val="1"/>
    <w:autoRedefine/>
    <w:qFormat/>
    <w:uiPriority w:val="99"/>
    <w:rPr>
      <w:w w:val="9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customXml" Target="../customXml/item1.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5E0F9-221F-49BC-8689-B2E9F8366E6D}">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154</Pages>
  <Words>15246</Words>
  <Characters>17333</Characters>
  <Lines>798</Lines>
  <Paragraphs>224</Paragraphs>
  <TotalTime>11</TotalTime>
  <ScaleCrop>false</ScaleCrop>
  <LinksUpToDate>false</LinksUpToDate>
  <CharactersWithSpaces>17472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2024-04-22T09:12:00Z</dcterms:created>
  <dc:creator>lhj</dc:creator>
  <cp:lastModifiedBy>瑞雪</cp:lastModifiedBy>
  <cp:lastPrinted>2025-03-10T03:09:00Z</cp:lastPrinted>
  <dcterms:modified xsi:type="dcterms:W3CDTF">2025-03-25T08:27:08Z</dcterms:modified>
  <cp:revision>5052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6C82F439585B4726BE25875FE05E293E_13</vt:lpwstr>
  </property>
  <property fmtid="{D5CDD505-2E9C-101B-9397-08002B2CF9AE}" pid="4" name="KSOTemplateDocerSaveRecord">
    <vt:lpwstr>eyJoZGlkIjoiZmQ5NmQ2MThmYzI5ZmJjMDc4MmQ4ZWRmYzA1NjUzM2IiLCJ1c2VySWQiOiIzMzE5NzU2ODUifQ==</vt:lpwstr>
  </property>
</Properties>
</file>