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1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B7CA0ED">
            <w:pPr>
              <w:spacing w:line="480" w:lineRule="exact"/>
              <w:rPr>
                <w:rFonts w:ascii="宋体" w:hAnsi="宋体"/>
                <w:color w:val="auto"/>
                <w:sz w:val="32"/>
              </w:rPr>
            </w:pPr>
            <w:r>
              <w:rPr>
                <w:rFonts w:hint="eastAsia" w:ascii="宋体" w:hAnsi="宋体"/>
                <w:color w:val="auto"/>
                <w:sz w:val="32"/>
              </w:rPr>
              <w:t>审批意见：</w:t>
            </w:r>
          </w:p>
          <w:p w14:paraId="313C7E1B">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19</w:t>
            </w:r>
            <w:r>
              <w:rPr>
                <w:rFonts w:hint="eastAsia" w:ascii="仿宋" w:hAnsi="仿宋" w:eastAsia="仿宋" w:cs="仿宋"/>
                <w:color w:val="auto"/>
                <w:spacing w:val="-16"/>
                <w:sz w:val="30"/>
                <w:szCs w:val="30"/>
                <w:highlight w:val="none"/>
              </w:rPr>
              <w:t>号</w:t>
            </w:r>
          </w:p>
          <w:bookmarkEnd w:id="0"/>
          <w:p w14:paraId="7B0E10F8">
            <w:pPr>
              <w:adjustRightInd w:val="0"/>
              <w:snapToGrid w:val="0"/>
              <w:spacing w:line="288" w:lineRule="auto"/>
              <w:ind w:firstLine="496" w:firstLineChars="200"/>
              <w:rPr>
                <w:rFonts w:ascii="仿宋" w:hAnsi="仿宋" w:eastAsia="仿宋" w:cs="仿宋"/>
                <w:color w:val="auto"/>
                <w:spacing w:val="-16"/>
                <w:sz w:val="28"/>
                <w:szCs w:val="28"/>
              </w:rPr>
            </w:pPr>
          </w:p>
          <w:p w14:paraId="7EF6447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7A5C465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仿宋" w:hAnsi="仿宋" w:eastAsia="仿宋" w:cs="仿宋"/>
                <w:color w:val="auto"/>
                <w:spacing w:val="-16"/>
                <w:sz w:val="30"/>
                <w:szCs w:val="30"/>
              </w:rPr>
              <w:t>一、</w:t>
            </w:r>
            <w:r>
              <w:rPr>
                <w:rFonts w:hint="eastAsia" w:ascii="仿宋" w:hAnsi="仿宋" w:eastAsia="仿宋" w:cs="仿宋"/>
                <w:color w:val="auto"/>
                <w:spacing w:val="-16"/>
                <w:sz w:val="30"/>
                <w:szCs w:val="30"/>
                <w:lang w:val="en-US" w:eastAsia="zh-CN"/>
              </w:rPr>
              <w:t>唐山市曹妃甸区余兴动物无害化处理有限公司余兴病死动物无害化处理项目位于唐山市曹妃甸第九农场，厂址中心坐标E118°40′54.735″，N39°14′33.708″，占地面积2666.67m</w:t>
            </w:r>
            <w:r>
              <w:rPr>
                <w:rFonts w:hint="eastAsia" w:ascii="仿宋" w:hAnsi="仿宋" w:eastAsia="仿宋" w:cs="仿宋"/>
                <w:color w:val="auto"/>
                <w:spacing w:val="-16"/>
                <w:sz w:val="30"/>
                <w:szCs w:val="30"/>
                <w:vertAlign w:val="superscript"/>
                <w:lang w:val="en-US" w:eastAsia="zh-CN"/>
              </w:rPr>
              <w:t>2</w:t>
            </w:r>
            <w:r>
              <w:rPr>
                <w:rFonts w:hint="eastAsia" w:ascii="仿宋" w:hAnsi="仿宋" w:eastAsia="仿宋" w:cs="仿宋"/>
                <w:color w:val="auto"/>
                <w:spacing w:val="-16"/>
                <w:sz w:val="30"/>
                <w:szCs w:val="30"/>
                <w:lang w:val="en-US" w:eastAsia="zh-CN"/>
              </w:rPr>
              <w:t>（4亩），总</w:t>
            </w:r>
            <w:r>
              <w:rPr>
                <w:rFonts w:hint="eastAsia" w:ascii="仿宋" w:hAnsi="仿宋" w:eastAsia="仿宋" w:cs="仿宋"/>
                <w:color w:val="auto"/>
                <w:spacing w:val="-16"/>
                <w:sz w:val="30"/>
                <w:szCs w:val="30"/>
              </w:rPr>
              <w:t>投资</w:t>
            </w:r>
            <w:r>
              <w:rPr>
                <w:rFonts w:hint="eastAsia" w:ascii="仿宋" w:hAnsi="仿宋" w:eastAsia="仿宋" w:cs="仿宋"/>
                <w:color w:val="auto"/>
                <w:spacing w:val="-16"/>
                <w:sz w:val="30"/>
                <w:szCs w:val="30"/>
                <w:lang w:val="en-US" w:eastAsia="zh-CN"/>
              </w:rPr>
              <w:t>600</w:t>
            </w:r>
            <w:r>
              <w:rPr>
                <w:rFonts w:hint="eastAsia" w:ascii="仿宋" w:hAnsi="仿宋" w:eastAsia="仿宋" w:cs="仿宋"/>
                <w:color w:val="auto"/>
                <w:spacing w:val="-16"/>
                <w:sz w:val="30"/>
                <w:szCs w:val="30"/>
              </w:rPr>
              <w:t>万元（其中环保投资</w:t>
            </w:r>
            <w:r>
              <w:rPr>
                <w:rFonts w:hint="eastAsia" w:ascii="仿宋" w:hAnsi="仿宋" w:eastAsia="仿宋" w:cs="仿宋"/>
                <w:color w:val="auto"/>
                <w:spacing w:val="-16"/>
                <w:sz w:val="30"/>
                <w:szCs w:val="30"/>
                <w:lang w:val="en-US" w:eastAsia="zh-CN"/>
              </w:rPr>
              <w:t>15</w:t>
            </w:r>
            <w:r>
              <w:rPr>
                <w:rFonts w:hint="eastAsia" w:ascii="仿宋" w:hAnsi="仿宋" w:eastAsia="仿宋" w:cs="仿宋"/>
                <w:color w:val="auto"/>
                <w:spacing w:val="-16"/>
                <w:sz w:val="30"/>
                <w:szCs w:val="30"/>
              </w:rPr>
              <w:t>万元）。项目建设办公用房、无害化处理车间、车辆消毒区等</w:t>
            </w:r>
            <w:r>
              <w:rPr>
                <w:rFonts w:hint="eastAsia" w:ascii="仿宋" w:hAnsi="仿宋" w:eastAsia="仿宋" w:cs="仿宋"/>
                <w:color w:val="auto"/>
                <w:spacing w:val="-16"/>
                <w:sz w:val="30"/>
                <w:szCs w:val="30"/>
                <w:lang w:val="en-US" w:eastAsia="zh-CN"/>
              </w:rPr>
              <w:t>及</w:t>
            </w:r>
            <w:r>
              <w:rPr>
                <w:rFonts w:hint="eastAsia" w:ascii="仿宋" w:hAnsi="仿宋" w:eastAsia="仿宋" w:cs="仿宋"/>
                <w:color w:val="auto"/>
                <w:spacing w:val="-16"/>
                <w:sz w:val="30"/>
                <w:szCs w:val="30"/>
              </w:rPr>
              <w:t>相关配套辅助设施</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购置双轴破碎机、冷凝器、双轮螺旋输送机、高温熟化灭菌罐等设备。项目建成后</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达到年无害化处理病死动物2190吨的规模。项</w:t>
            </w:r>
            <w:r>
              <w:rPr>
                <w:rFonts w:hint="default" w:ascii="仿宋" w:hAnsi="仿宋" w:eastAsia="仿宋" w:cs="仿宋"/>
                <w:color w:val="auto"/>
                <w:spacing w:val="-16"/>
                <w:sz w:val="30"/>
                <w:szCs w:val="30"/>
              </w:rPr>
              <w:t>目实施将对生态环境产生一定不利影响，在全面落实环</w:t>
            </w:r>
            <w:r>
              <w:rPr>
                <w:rFonts w:hint="default" w:ascii="Times New Roman" w:hAnsi="Times New Roman" w:eastAsia="仿宋" w:cs="Times New Roman"/>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E61B6C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0B1F8DA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483EF9B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sz w:val="30"/>
                <w:szCs w:val="30"/>
                <w:lang w:val="en-US" w:eastAsia="zh-CN"/>
              </w:rPr>
              <w:t>（二）运营期，化制废气经“冷凝+汽水分离”后与无害化处理车间废气共同引入“碱喷淋+活性炭吸附+15米高排气筒”处理，非甲烷总烃排放须满足《工业企业挥发性有机物排放控制标准》（DB 13/ 2322—2016）表1中其他行业限值要求，臭气浓度、H</w:t>
            </w:r>
            <w:r>
              <w:rPr>
                <w:rFonts w:hint="eastAsia" w:ascii="仿宋" w:hAnsi="仿宋" w:eastAsia="仿宋" w:cs="仿宋"/>
                <w:color w:val="auto"/>
                <w:spacing w:val="-16"/>
                <w:sz w:val="30"/>
                <w:szCs w:val="30"/>
                <w:vertAlign w:val="subscript"/>
                <w:lang w:val="en-US" w:eastAsia="zh-CN"/>
              </w:rPr>
              <w:t>2</w:t>
            </w:r>
            <w:r>
              <w:rPr>
                <w:rFonts w:hint="eastAsia" w:ascii="仿宋" w:hAnsi="仿宋" w:eastAsia="仿宋" w:cs="仿宋"/>
                <w:color w:val="auto"/>
                <w:spacing w:val="-16"/>
                <w:sz w:val="30"/>
                <w:szCs w:val="30"/>
                <w:lang w:val="en-US" w:eastAsia="zh-CN"/>
              </w:rPr>
              <w:t>S、NH</w:t>
            </w:r>
            <w:r>
              <w:rPr>
                <w:rFonts w:hint="eastAsia" w:ascii="仿宋" w:hAnsi="仿宋" w:eastAsia="仿宋" w:cs="仿宋"/>
                <w:color w:val="auto"/>
                <w:spacing w:val="-16"/>
                <w:sz w:val="30"/>
                <w:szCs w:val="30"/>
                <w:vertAlign w:val="subscript"/>
                <w:lang w:val="en-US" w:eastAsia="zh-CN"/>
              </w:rPr>
              <w:t>3</w:t>
            </w:r>
            <w:r>
              <w:rPr>
                <w:rFonts w:hint="eastAsia" w:ascii="仿宋" w:hAnsi="仿宋" w:eastAsia="仿宋" w:cs="仿宋"/>
                <w:color w:val="auto"/>
                <w:spacing w:val="-16"/>
                <w:sz w:val="30"/>
                <w:szCs w:val="30"/>
                <w:lang w:val="en-US" w:eastAsia="zh-CN"/>
              </w:rPr>
              <w:t>排放须满足《恶臭污染物排放标准》（GB 14554-1993）表2中限值要求。加强生产各环节污染物无组织排放管理，加强车间及设备密封密闭，有机废气无组织排放须满足《工业企业挥发性有机物排放控制标准》（DB13/2322-2016）及《挥发性有机物无组织排放控制标准》（GB37822-2019）中排放控制及排放管理要求，恶臭气体无组织排放须满足《恶臭污染物排放标准》（GB14554-93）表1中限值要求。</w:t>
            </w:r>
          </w:p>
          <w:p w14:paraId="085D974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车辆、设备及车间清洗废排入污水缓存罐，消毒后与高温蒸汽冷凝废水经管道排入唐山曹妃甸区兴农农业科技有限公司综合利用，严禁外排至外环境。车辆消毒废水、冷凝器间接冷却废水、喷淋塔用水循环使用，不外排。严格按要求落实防渗措施,防止对地下水造成污染。</w:t>
            </w:r>
          </w:p>
          <w:p w14:paraId="3FDBE49B">
            <w:pPr>
              <w:pStyle w:val="5"/>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严格按照有关规定，对固体废物实施分类收集和处理、处置，做到资源化、减量化、无害化。一般工业固废妥善处理，最大限度回收利用。废润滑油、废油桶、废活性炭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C2772C3">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7A394A91">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w:t>
            </w:r>
            <w:r>
              <w:rPr>
                <w:rFonts w:hint="eastAsia" w:ascii="仿宋" w:hAnsi="仿宋" w:eastAsia="仿宋" w:cs="仿宋"/>
                <w:spacing w:val="-16"/>
                <w:sz w:val="30"/>
                <w:szCs w:val="30"/>
              </w:rPr>
              <w:t>加强环境风险防范，落实环境风险应急措施。制定和完善突发环境事件应急预案，与我地政府等应急预案做好衔接，按照规定报相关部门备案。配备必要的应急设备和物资，加大风险监测和监控力度，定期进行应急培训和演练，有效防范和应对环境风险。</w:t>
            </w:r>
          </w:p>
          <w:p w14:paraId="3A1555A8">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（七）其他环境管理内容严格按环境影响报告表规定的措施进行落实。</w:t>
            </w:r>
          </w:p>
          <w:p w14:paraId="490C75C0">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C68A07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36E4850">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6DDC3C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4B01194A">
            <w:pPr>
              <w:pStyle w:val="5"/>
              <w:rPr>
                <w:rFonts w:hint="eastAsia"/>
                <w:color w:val="auto"/>
              </w:rPr>
            </w:pPr>
          </w:p>
          <w:p w14:paraId="759931AB">
            <w:pPr>
              <w:rPr>
                <w:rFonts w:hint="eastAsia"/>
                <w:color w:val="auto"/>
              </w:rPr>
            </w:pPr>
          </w:p>
          <w:p w14:paraId="282DEC07">
            <w:pPr>
              <w:pStyle w:val="2"/>
              <w:rPr>
                <w:rFonts w:hint="eastAsia"/>
                <w:color w:val="auto"/>
              </w:rPr>
            </w:pPr>
          </w:p>
          <w:p w14:paraId="70770A67">
            <w:pPr>
              <w:rPr>
                <w:rFonts w:hint="eastAsia"/>
                <w:color w:val="auto"/>
              </w:rPr>
            </w:pPr>
          </w:p>
          <w:p w14:paraId="5554740B">
            <w:pPr>
              <w:pStyle w:val="2"/>
              <w:rPr>
                <w:rFonts w:hint="eastAsia"/>
                <w:color w:val="auto"/>
              </w:rPr>
            </w:pPr>
          </w:p>
          <w:p w14:paraId="54826780">
            <w:pPr>
              <w:rPr>
                <w:rFonts w:hint="eastAsia"/>
              </w:rPr>
            </w:pPr>
          </w:p>
          <w:p w14:paraId="62226557">
            <w:pPr>
              <w:pStyle w:val="5"/>
              <w:rPr>
                <w:rFonts w:hint="eastAsia"/>
                <w:color w:val="auto"/>
              </w:rPr>
            </w:pPr>
          </w:p>
          <w:p w14:paraId="0D851744">
            <w:pPr>
              <w:adjustRightInd w:val="0"/>
              <w:snapToGrid w:val="0"/>
              <w:ind w:left="5670" w:leftChars="2700"/>
              <w:rPr>
                <w:rFonts w:hint="default" w:ascii="Times New Roman" w:hAnsi="Times New Roman" w:eastAsia="仿宋" w:cs="Times New Roman"/>
                <w:color w:val="auto"/>
                <w:szCs w:val="21"/>
              </w:rPr>
            </w:pPr>
          </w:p>
          <w:p w14:paraId="5FF6A577">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34ACE910">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bookmarkStart w:id="1" w:name="_GoBack"/>
            <w:r>
              <w:rPr>
                <w:rFonts w:hint="eastAsia" w:ascii="仿宋" w:hAnsi="仿宋" w:eastAsia="仿宋" w:cs="仿宋"/>
                <w:color w:val="auto"/>
                <w:sz w:val="30"/>
                <w:szCs w:val="30"/>
                <w:highlight w:val="none"/>
                <w:lang w:val="en-US" w:eastAsia="zh-CN"/>
              </w:rPr>
              <w:t>7</w:t>
            </w:r>
            <w:bookmarkEnd w:id="1"/>
            <w:r>
              <w:rPr>
                <w:rFonts w:hint="eastAsia" w:ascii="仿宋" w:hAnsi="仿宋" w:eastAsia="仿宋" w:cs="仿宋"/>
                <w:color w:val="auto"/>
                <w:sz w:val="30"/>
                <w:szCs w:val="30"/>
                <w:highlight w:val="none"/>
              </w:rPr>
              <w:t>日</w:t>
            </w:r>
          </w:p>
        </w:tc>
      </w:tr>
    </w:tbl>
    <w:p w14:paraId="31A3E10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82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I5YzA5ZTUyN2ZkOTBhYjBlYWQ3Yjc2ZjM3MzQ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1F7DC1"/>
    <w:rsid w:val="02B56110"/>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0858DF"/>
    <w:rsid w:val="12966C0E"/>
    <w:rsid w:val="13584916"/>
    <w:rsid w:val="139A37C1"/>
    <w:rsid w:val="13F955A3"/>
    <w:rsid w:val="1476634D"/>
    <w:rsid w:val="14A024D2"/>
    <w:rsid w:val="14B67AD2"/>
    <w:rsid w:val="14C20F1C"/>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28069B0"/>
    <w:rsid w:val="234409B3"/>
    <w:rsid w:val="23605AD7"/>
    <w:rsid w:val="236132B3"/>
    <w:rsid w:val="23F06FB4"/>
    <w:rsid w:val="24CC6FEB"/>
    <w:rsid w:val="25014124"/>
    <w:rsid w:val="25160B9E"/>
    <w:rsid w:val="25422EB1"/>
    <w:rsid w:val="25451EFC"/>
    <w:rsid w:val="25C478B6"/>
    <w:rsid w:val="25FF31AB"/>
    <w:rsid w:val="26D33BB6"/>
    <w:rsid w:val="26D826F4"/>
    <w:rsid w:val="27291A5F"/>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3008FF"/>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C059A3"/>
    <w:rsid w:val="726C7A98"/>
    <w:rsid w:val="72710C91"/>
    <w:rsid w:val="72CB7893"/>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531696"/>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autoRedefine/>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8"/>
    <w:autoRedefine/>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autoRedefine/>
    <w:qFormat/>
    <w:uiPriority w:val="0"/>
    <w:rPr>
      <w:rFonts w:ascii="Times New Roman" w:hAnsi="Times New Roman"/>
      <w:snapToGrid w:val="0"/>
      <w:kern w:val="0"/>
      <w:sz w:val="24"/>
    </w:rPr>
  </w:style>
  <w:style w:type="paragraph" w:customStyle="1" w:styleId="22">
    <w:name w:val="正常格式"/>
    <w:basedOn w:val="1"/>
    <w:link w:val="21"/>
    <w:autoRedefine/>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1896</Words>
  <Characters>2043</Characters>
  <Lines>8</Lines>
  <Paragraphs>2</Paragraphs>
  <TotalTime>200</TotalTime>
  <ScaleCrop>false</ScaleCrop>
  <LinksUpToDate>false</LinksUpToDate>
  <CharactersWithSpaces>2114</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2025-03-26T07:10:52Z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