
<file path=[Content_Types].xml><?xml version="1.0" encoding="utf-8"?>
<Types xmlns="http://schemas.openxmlformats.org/package/2006/content-types">
  <Default Extension="xml" ContentType="application/xml"/>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C99043E">
      <w:pPr>
        <w:ind w:firstLine="720"/>
        <w:rPr>
          <w:rFonts w:ascii="仿宋_GB2312" w:hAnsi="仿宋_GB2312" w:eastAsia="仿宋_GB2312" w:cs="仿宋_GB2312"/>
          <w:color w:val="000000"/>
          <w:sz w:val="36"/>
          <w:szCs w:val="36"/>
        </w:rPr>
      </w:pPr>
      <w:bookmarkStart w:id="11" w:name="_GoBack"/>
      <w:bookmarkEnd w:id="11"/>
    </w:p>
    <w:p w14:paraId="6DCEFB95">
      <w:pPr>
        <w:ind w:firstLine="720"/>
        <w:rPr>
          <w:rFonts w:ascii="仿宋_GB2312" w:hAnsi="仿宋_GB2312" w:eastAsia="仿宋_GB2312" w:cs="仿宋_GB2312"/>
          <w:color w:val="000000"/>
          <w:sz w:val="36"/>
          <w:szCs w:val="36"/>
        </w:rPr>
      </w:pPr>
    </w:p>
    <w:p w14:paraId="15FB3779">
      <w:pPr>
        <w:ind w:firstLine="720"/>
        <w:rPr>
          <w:rFonts w:ascii="仿宋_GB2312" w:hAnsi="仿宋_GB2312" w:eastAsia="仿宋_GB2312" w:cs="仿宋_GB2312"/>
          <w:color w:val="000000"/>
          <w:sz w:val="36"/>
          <w:szCs w:val="36"/>
        </w:rPr>
      </w:pPr>
    </w:p>
    <w:p w14:paraId="354386E1">
      <w:pPr>
        <w:ind w:firstLine="720"/>
        <w:rPr>
          <w:rFonts w:ascii="仿宋_GB2312" w:hAnsi="仿宋_GB2312" w:eastAsia="仿宋_GB2312" w:cs="仿宋_GB2312"/>
          <w:color w:val="000000"/>
          <w:sz w:val="36"/>
          <w:szCs w:val="36"/>
        </w:rPr>
      </w:pPr>
    </w:p>
    <w:p w14:paraId="70BE42BB">
      <w:pPr>
        <w:ind w:firstLine="720"/>
        <w:rPr>
          <w:rFonts w:ascii="仿宋_GB2312" w:hAnsi="仿宋_GB2312" w:eastAsia="仿宋_GB2312" w:cs="仿宋_GB2312"/>
          <w:color w:val="000000"/>
          <w:sz w:val="36"/>
          <w:szCs w:val="36"/>
        </w:rPr>
      </w:pPr>
    </w:p>
    <w:p w14:paraId="282E77F0">
      <w:pPr>
        <w:adjustRightInd w:val="0"/>
        <w:snapToGrid w:val="0"/>
        <w:jc w:val="center"/>
        <w:outlineLvl w:val="0"/>
        <w:rPr>
          <w:rFonts w:ascii="方正小标宋_GBK" w:eastAsia="方正小标宋_GBK"/>
          <w:bCs/>
          <w:color w:val="000000"/>
          <w:sz w:val="72"/>
          <w:szCs w:val="72"/>
        </w:rPr>
      </w:pPr>
      <w:r>
        <w:rPr>
          <w:rFonts w:hint="eastAsia" w:ascii="方正小标宋_GBK" w:eastAsia="方正小标宋_GBK"/>
          <w:bCs/>
          <w:color w:val="000000"/>
          <w:sz w:val="72"/>
          <w:szCs w:val="72"/>
        </w:rPr>
        <w:t>建设项目环境影响报告表</w:t>
      </w:r>
    </w:p>
    <w:p w14:paraId="2E94DBE1">
      <w:pPr>
        <w:adjustRightInd w:val="0"/>
        <w:snapToGrid w:val="0"/>
        <w:spacing w:beforeLines="80"/>
        <w:jc w:val="center"/>
        <w:rPr>
          <w:rFonts w:ascii="楷体_GB2312" w:eastAsia="楷体_GB2312"/>
          <w:bCs/>
          <w:color w:val="000000"/>
          <w:sz w:val="48"/>
          <w:szCs w:val="48"/>
        </w:rPr>
      </w:pPr>
      <w:r>
        <w:rPr>
          <w:rFonts w:hint="eastAsia" w:ascii="楷体_GB2312" w:eastAsia="楷体_GB2312"/>
          <w:bCs/>
          <w:color w:val="000000"/>
          <w:sz w:val="48"/>
          <w:szCs w:val="48"/>
        </w:rPr>
        <w:t>（污染影响类）</w:t>
      </w:r>
    </w:p>
    <w:p w14:paraId="4780B306">
      <w:pPr>
        <w:jc w:val="center"/>
        <w:rPr>
          <w:color w:val="000000"/>
          <w:sz w:val="52"/>
          <w:szCs w:val="52"/>
        </w:rPr>
      </w:pPr>
    </w:p>
    <w:p w14:paraId="2D5E94F5">
      <w:pPr>
        <w:jc w:val="center"/>
        <w:rPr>
          <w:rFonts w:eastAsia="仿宋"/>
          <w:color w:val="000000"/>
          <w:sz w:val="52"/>
          <w:szCs w:val="52"/>
        </w:rPr>
      </w:pPr>
    </w:p>
    <w:p w14:paraId="7D7BED9E">
      <w:pPr>
        <w:rPr>
          <w:rFonts w:eastAsia="仿宋"/>
          <w:color w:val="000000"/>
          <w:sz w:val="44"/>
          <w:szCs w:val="44"/>
        </w:rPr>
      </w:pPr>
    </w:p>
    <w:p w14:paraId="35105B89">
      <w:pPr>
        <w:rPr>
          <w:rFonts w:eastAsia="仿宋"/>
          <w:color w:val="000000"/>
          <w:sz w:val="44"/>
          <w:szCs w:val="44"/>
        </w:rPr>
      </w:pPr>
    </w:p>
    <w:p w14:paraId="7916F974">
      <w:pPr>
        <w:rPr>
          <w:rFonts w:eastAsia="仿宋"/>
          <w:color w:val="000000"/>
          <w:sz w:val="44"/>
          <w:szCs w:val="44"/>
        </w:rPr>
      </w:pPr>
    </w:p>
    <w:p w14:paraId="7A34DE85">
      <w:pPr>
        <w:rPr>
          <w:rFonts w:eastAsia="仿宋"/>
          <w:color w:val="000000"/>
          <w:sz w:val="44"/>
          <w:szCs w:val="44"/>
        </w:rPr>
      </w:pPr>
    </w:p>
    <w:p w14:paraId="5CD2A653">
      <w:pPr>
        <w:adjustRightInd w:val="0"/>
        <w:snapToGrid w:val="0"/>
        <w:spacing w:line="288" w:lineRule="auto"/>
        <w:rPr>
          <w:rFonts w:ascii="仿宋_GB2312" w:eastAsia="仿宋_GB2312"/>
          <w:color w:val="000000"/>
          <w:sz w:val="36"/>
          <w:szCs w:val="36"/>
          <w:u w:val="single"/>
        </w:rPr>
      </w:pPr>
      <w:r>
        <w:rPr>
          <w:rFonts w:hint="eastAsia" w:ascii="仿宋_GB2312" w:eastAsia="仿宋_GB2312"/>
          <w:color w:val="000000"/>
          <w:sz w:val="36"/>
          <w:szCs w:val="36"/>
        </w:rPr>
        <w:t>项目名称：</w:t>
      </w:r>
      <w:r>
        <w:rPr>
          <w:rFonts w:hint="eastAsia" w:ascii="仿宋_GB2312" w:eastAsia="仿宋_GB2312"/>
          <w:color w:val="000000"/>
          <w:sz w:val="36"/>
          <w:szCs w:val="36"/>
          <w:u w:val="single"/>
        </w:rPr>
        <w:t>文丰新材料危险废物贮存间建设项目</w:t>
      </w:r>
    </w:p>
    <w:p w14:paraId="4AAA7234">
      <w:pPr>
        <w:adjustRightInd w:val="0"/>
        <w:snapToGrid w:val="0"/>
        <w:spacing w:line="288" w:lineRule="auto"/>
        <w:rPr>
          <w:rFonts w:ascii="仿宋_GB2312" w:eastAsia="仿宋_GB2312"/>
          <w:color w:val="000000"/>
          <w:sz w:val="36"/>
          <w:szCs w:val="36"/>
          <w:u w:val="single"/>
        </w:rPr>
      </w:pPr>
      <w:r>
        <w:rPr>
          <w:rFonts w:hint="eastAsia" w:ascii="仿宋_GB2312" w:eastAsia="仿宋_GB2312"/>
          <w:color w:val="000000"/>
          <w:sz w:val="36"/>
          <w:szCs w:val="36"/>
        </w:rPr>
        <w:t>建设单位（盖章）：</w:t>
      </w:r>
      <w:r>
        <w:rPr>
          <w:rFonts w:hint="eastAsia" w:ascii="仿宋_GB2312" w:eastAsia="仿宋_GB2312"/>
          <w:color w:val="000000"/>
          <w:sz w:val="36"/>
          <w:szCs w:val="36"/>
          <w:u w:val="single"/>
        </w:rPr>
        <w:t>河北文丰新材料有限公司</w:t>
      </w:r>
    </w:p>
    <w:p w14:paraId="5B5EB682">
      <w:pPr>
        <w:adjustRightInd w:val="0"/>
        <w:snapToGrid w:val="0"/>
        <w:spacing w:line="288" w:lineRule="auto"/>
        <w:rPr>
          <w:rFonts w:ascii="仿宋_GB2312" w:eastAsia="仿宋_GB2312"/>
          <w:color w:val="000000"/>
          <w:sz w:val="36"/>
          <w:szCs w:val="36"/>
          <w:u w:val="single"/>
        </w:rPr>
      </w:pPr>
      <w:r>
        <w:rPr>
          <w:rFonts w:hint="eastAsia" w:ascii="仿宋_GB2312" w:eastAsia="仿宋_GB2312"/>
          <w:color w:val="000000"/>
          <w:sz w:val="36"/>
          <w:szCs w:val="36"/>
        </w:rPr>
        <w:t xml:space="preserve">编制日期： </w:t>
      </w:r>
      <w:r>
        <w:rPr>
          <w:rFonts w:ascii="仿宋_GB2312" w:eastAsia="仿宋_GB2312"/>
          <w:color w:val="000000"/>
          <w:sz w:val="36"/>
          <w:szCs w:val="36"/>
          <w:u w:val="single"/>
        </w:rPr>
        <w:t xml:space="preserve">           </w:t>
      </w:r>
      <w:r>
        <w:rPr>
          <w:rFonts w:hint="eastAsia" w:ascii="仿宋_GB2312" w:eastAsia="仿宋_GB2312"/>
          <w:color w:val="000000"/>
          <w:sz w:val="36"/>
          <w:szCs w:val="36"/>
          <w:u w:val="single"/>
        </w:rPr>
        <w:t xml:space="preserve">2025年3月 </w:t>
      </w:r>
      <w:r>
        <w:rPr>
          <w:rFonts w:ascii="仿宋_GB2312" w:eastAsia="仿宋_GB2312"/>
          <w:color w:val="000000"/>
          <w:sz w:val="36"/>
          <w:szCs w:val="36"/>
          <w:u w:val="single"/>
        </w:rPr>
        <w:t xml:space="preserve">        </w:t>
      </w:r>
      <w:r>
        <w:rPr>
          <w:rFonts w:ascii="仿宋_GB2312" w:eastAsia="仿宋_GB2312"/>
          <w:color w:val="FFFFFF"/>
          <w:sz w:val="36"/>
          <w:szCs w:val="36"/>
          <w:u w:val="single"/>
        </w:rPr>
        <w:t>1</w:t>
      </w:r>
    </w:p>
    <w:p w14:paraId="2E6207EB">
      <w:pPr>
        <w:adjustRightInd w:val="0"/>
        <w:snapToGrid w:val="0"/>
        <w:spacing w:line="288" w:lineRule="auto"/>
        <w:rPr>
          <w:rFonts w:ascii="仿宋_GB2312" w:eastAsia="仿宋_GB2312"/>
          <w:color w:val="000000"/>
          <w:sz w:val="36"/>
          <w:szCs w:val="36"/>
        </w:rPr>
      </w:pPr>
      <w:bookmarkStart w:id="0" w:name="_Hlk57884087"/>
    </w:p>
    <w:p w14:paraId="0BCBC200">
      <w:pPr>
        <w:adjustRightInd w:val="0"/>
        <w:snapToGrid w:val="0"/>
        <w:spacing w:line="288" w:lineRule="auto"/>
        <w:rPr>
          <w:rFonts w:ascii="仿宋_GB2312" w:eastAsia="仿宋_GB2312"/>
          <w:color w:val="000000"/>
          <w:sz w:val="36"/>
          <w:szCs w:val="36"/>
        </w:rPr>
      </w:pPr>
    </w:p>
    <w:p w14:paraId="53766539">
      <w:pPr>
        <w:adjustRightInd w:val="0"/>
        <w:snapToGrid w:val="0"/>
        <w:spacing w:line="288" w:lineRule="auto"/>
        <w:rPr>
          <w:rFonts w:ascii="仿宋_GB2312" w:eastAsia="仿宋_GB2312"/>
          <w:color w:val="000000"/>
          <w:sz w:val="36"/>
          <w:szCs w:val="36"/>
        </w:rPr>
      </w:pPr>
    </w:p>
    <w:p w14:paraId="4485DFE0">
      <w:pPr>
        <w:adjustRightInd w:val="0"/>
        <w:snapToGrid w:val="0"/>
        <w:spacing w:line="288" w:lineRule="auto"/>
        <w:rPr>
          <w:rFonts w:ascii="仿宋_GB2312" w:eastAsia="仿宋_GB2312"/>
          <w:color w:val="000000"/>
          <w:sz w:val="36"/>
          <w:szCs w:val="36"/>
        </w:rPr>
      </w:pPr>
    </w:p>
    <w:p w14:paraId="28D55DDE">
      <w:pPr>
        <w:adjustRightInd w:val="0"/>
        <w:snapToGrid w:val="0"/>
        <w:spacing w:line="288" w:lineRule="auto"/>
        <w:rPr>
          <w:rFonts w:ascii="仿宋_GB2312" w:eastAsia="仿宋_GB2312"/>
          <w:color w:val="000000"/>
          <w:sz w:val="36"/>
          <w:szCs w:val="36"/>
        </w:rPr>
      </w:pPr>
    </w:p>
    <w:bookmarkEnd w:id="0"/>
    <w:p w14:paraId="71A93A68">
      <w:pPr>
        <w:adjustRightInd w:val="0"/>
        <w:snapToGrid w:val="0"/>
        <w:spacing w:line="288" w:lineRule="auto"/>
        <w:jc w:val="center"/>
        <w:rPr>
          <w:rFonts w:ascii="楷体_GB2312" w:eastAsia="楷体_GB2312"/>
          <w:color w:val="000000"/>
          <w:sz w:val="36"/>
          <w:szCs w:val="36"/>
        </w:rPr>
      </w:pPr>
      <w:r>
        <w:rPr>
          <w:rFonts w:hint="eastAsia" w:ascii="楷体_GB2312" w:eastAsia="楷体_GB2312"/>
          <w:color w:val="000000"/>
          <w:sz w:val="36"/>
          <w:szCs w:val="36"/>
        </w:rPr>
        <w:t>中华人民共和国生态环境部制</w:t>
      </w:r>
    </w:p>
    <w:p w14:paraId="00A12A44">
      <w:pPr>
        <w:adjustRightInd w:val="0"/>
        <w:snapToGrid w:val="0"/>
        <w:spacing w:line="288" w:lineRule="auto"/>
        <w:ind w:firstLine="720"/>
        <w:rPr>
          <w:rFonts w:ascii="仿宋_GB2312" w:eastAsia="仿宋_GB2312"/>
          <w:color w:val="000000"/>
          <w:sz w:val="36"/>
          <w:szCs w:val="36"/>
        </w:rPr>
        <w:sectPr>
          <w:headerReference r:id="rId3" w:type="default"/>
          <w:footerReference r:id="rId4" w:type="default"/>
          <w:footerReference r:id="rId5" w:type="even"/>
          <w:pgSz w:w="11906" w:h="16838"/>
          <w:pgMar w:top="1701" w:right="1531" w:bottom="1701" w:left="1531" w:header="851" w:footer="1077" w:gutter="0"/>
          <w:pgNumType w:start="3"/>
          <w:cols w:space="720" w:num="1"/>
          <w:docGrid w:linePitch="312" w:charSpace="0"/>
        </w:sectPr>
      </w:pPr>
    </w:p>
    <w:p w14:paraId="5798DC6E">
      <w:pPr>
        <w:pStyle w:val="24"/>
        <w:jc w:val="center"/>
        <w:outlineLvl w:val="0"/>
        <w:rPr>
          <w:rFonts w:ascii="黑体" w:hAnsi="黑体" w:eastAsia="黑体"/>
          <w:snapToGrid w:val="0"/>
          <w:color w:val="000000"/>
          <w:sz w:val="30"/>
          <w:szCs w:val="30"/>
        </w:rPr>
      </w:pPr>
      <w:r>
        <w:rPr>
          <w:rFonts w:hint="eastAsia" w:ascii="黑体" w:hAnsi="黑体" w:eastAsia="黑体"/>
          <w:snapToGrid w:val="0"/>
          <w:color w:val="000000"/>
          <w:sz w:val="30"/>
          <w:szCs w:val="30"/>
        </w:rPr>
        <w:t>一、建设项目基本情况</w:t>
      </w:r>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608"/>
        <w:gridCol w:w="1230"/>
        <w:gridCol w:w="2181"/>
        <w:gridCol w:w="2212"/>
        <w:gridCol w:w="2639"/>
      </w:tblGrid>
      <w:tr w14:paraId="49FCDF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38" w:type="dxa"/>
            <w:gridSpan w:val="2"/>
            <w:tcMar>
              <w:top w:w="16" w:type="dxa"/>
              <w:left w:w="16" w:type="dxa"/>
              <w:right w:w="16" w:type="dxa"/>
            </w:tcMar>
            <w:vAlign w:val="center"/>
          </w:tcPr>
          <w:p w14:paraId="0BBE1277">
            <w:pPr>
              <w:adjustRightInd w:val="0"/>
              <w:snapToGrid w:val="0"/>
              <w:jc w:val="center"/>
              <w:rPr>
                <w:rFonts w:cs="宋体"/>
                <w:color w:val="000000"/>
                <w:szCs w:val="21"/>
              </w:rPr>
            </w:pPr>
            <w:r>
              <w:rPr>
                <w:rFonts w:hint="eastAsia" w:cs="宋体"/>
                <w:color w:val="000000"/>
                <w:szCs w:val="21"/>
              </w:rPr>
              <w:t>建设项目名称</w:t>
            </w:r>
          </w:p>
        </w:tc>
        <w:tc>
          <w:tcPr>
            <w:tcW w:w="7032" w:type="dxa"/>
            <w:gridSpan w:val="3"/>
            <w:vAlign w:val="center"/>
          </w:tcPr>
          <w:p w14:paraId="302375E2">
            <w:pPr>
              <w:adjustRightInd w:val="0"/>
              <w:snapToGrid w:val="0"/>
              <w:jc w:val="center"/>
              <w:rPr>
                <w:rFonts w:cs="宋体"/>
                <w:color w:val="000000"/>
                <w:szCs w:val="21"/>
              </w:rPr>
            </w:pPr>
            <w:r>
              <w:rPr>
                <w:rFonts w:hint="eastAsia" w:cs="宋体"/>
                <w:color w:val="000000"/>
                <w:szCs w:val="21"/>
              </w:rPr>
              <w:t>文丰新材料危险废物贮存间建设项目</w:t>
            </w:r>
          </w:p>
        </w:tc>
      </w:tr>
      <w:tr w14:paraId="36A90A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38" w:type="dxa"/>
            <w:gridSpan w:val="2"/>
            <w:tcMar>
              <w:top w:w="16" w:type="dxa"/>
              <w:left w:w="16" w:type="dxa"/>
              <w:right w:w="16" w:type="dxa"/>
            </w:tcMar>
            <w:vAlign w:val="center"/>
          </w:tcPr>
          <w:p w14:paraId="6541DA4E">
            <w:pPr>
              <w:adjustRightInd w:val="0"/>
              <w:snapToGrid w:val="0"/>
              <w:jc w:val="center"/>
              <w:rPr>
                <w:rFonts w:cs="宋体"/>
                <w:color w:val="000000"/>
                <w:szCs w:val="21"/>
              </w:rPr>
            </w:pPr>
            <w:r>
              <w:rPr>
                <w:rFonts w:hint="eastAsia" w:cs="宋体"/>
                <w:color w:val="000000"/>
                <w:szCs w:val="21"/>
              </w:rPr>
              <w:t>项目代码</w:t>
            </w:r>
          </w:p>
        </w:tc>
        <w:tc>
          <w:tcPr>
            <w:tcW w:w="7032" w:type="dxa"/>
            <w:gridSpan w:val="3"/>
            <w:vAlign w:val="center"/>
          </w:tcPr>
          <w:p w14:paraId="2E3254B3">
            <w:pPr>
              <w:adjustRightInd w:val="0"/>
              <w:snapToGrid w:val="0"/>
              <w:jc w:val="center"/>
              <w:rPr>
                <w:rFonts w:cs="宋体"/>
                <w:color w:val="000000"/>
                <w:szCs w:val="21"/>
              </w:rPr>
            </w:pPr>
            <w:r>
              <w:rPr>
                <w:rFonts w:hint="eastAsia" w:cs="宋体"/>
                <w:color w:val="000000"/>
                <w:szCs w:val="21"/>
              </w:rPr>
              <w:t>2412</w:t>
            </w:r>
            <w:r>
              <w:rPr>
                <w:rFonts w:cs="宋体"/>
                <w:color w:val="000000"/>
                <w:szCs w:val="21"/>
              </w:rPr>
              <w:t>-130</w:t>
            </w:r>
            <w:r>
              <w:rPr>
                <w:rFonts w:hint="eastAsia" w:cs="宋体"/>
                <w:color w:val="000000"/>
                <w:szCs w:val="21"/>
              </w:rPr>
              <w:t>209</w:t>
            </w:r>
            <w:r>
              <w:rPr>
                <w:rFonts w:cs="宋体"/>
                <w:color w:val="000000"/>
                <w:szCs w:val="21"/>
              </w:rPr>
              <w:t>-89-0</w:t>
            </w:r>
            <w:r>
              <w:rPr>
                <w:rFonts w:hint="eastAsia" w:cs="宋体"/>
                <w:color w:val="000000"/>
                <w:szCs w:val="21"/>
              </w:rPr>
              <w:t>2</w:t>
            </w:r>
            <w:r>
              <w:rPr>
                <w:rFonts w:cs="宋体"/>
                <w:color w:val="000000"/>
                <w:szCs w:val="21"/>
              </w:rPr>
              <w:t>-</w:t>
            </w:r>
            <w:r>
              <w:rPr>
                <w:rFonts w:hint="eastAsia" w:cs="宋体"/>
                <w:color w:val="000000"/>
                <w:szCs w:val="21"/>
              </w:rPr>
              <w:t>237074</w:t>
            </w:r>
          </w:p>
        </w:tc>
      </w:tr>
      <w:tr w14:paraId="4E25AA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38" w:type="dxa"/>
            <w:gridSpan w:val="2"/>
            <w:tcMar>
              <w:top w:w="16" w:type="dxa"/>
              <w:left w:w="16" w:type="dxa"/>
              <w:right w:w="16" w:type="dxa"/>
            </w:tcMar>
            <w:vAlign w:val="center"/>
          </w:tcPr>
          <w:p w14:paraId="7430BFB8">
            <w:pPr>
              <w:adjustRightInd w:val="0"/>
              <w:snapToGrid w:val="0"/>
              <w:jc w:val="center"/>
              <w:rPr>
                <w:rFonts w:cs="宋体"/>
                <w:color w:val="000000"/>
                <w:szCs w:val="21"/>
              </w:rPr>
            </w:pPr>
            <w:r>
              <w:rPr>
                <w:rFonts w:hint="eastAsia" w:cs="宋体"/>
                <w:color w:val="000000"/>
                <w:szCs w:val="21"/>
              </w:rPr>
              <w:t>建设单位联系人</w:t>
            </w:r>
          </w:p>
        </w:tc>
        <w:tc>
          <w:tcPr>
            <w:tcW w:w="2181" w:type="dxa"/>
            <w:vAlign w:val="center"/>
          </w:tcPr>
          <w:p w14:paraId="17D0FB07">
            <w:pPr>
              <w:adjustRightInd w:val="0"/>
              <w:snapToGrid w:val="0"/>
              <w:jc w:val="center"/>
              <w:rPr>
                <w:rFonts w:cs="宋体"/>
                <w:color w:val="000000"/>
                <w:szCs w:val="21"/>
              </w:rPr>
            </w:pPr>
            <w:r>
              <w:rPr>
                <w:rFonts w:hint="eastAsia" w:cs="宋体"/>
                <w:color w:val="000000"/>
                <w:szCs w:val="21"/>
              </w:rPr>
              <w:t>胡丽娜</w:t>
            </w:r>
          </w:p>
        </w:tc>
        <w:tc>
          <w:tcPr>
            <w:tcW w:w="2212" w:type="dxa"/>
            <w:vAlign w:val="center"/>
          </w:tcPr>
          <w:p w14:paraId="55F91866">
            <w:pPr>
              <w:adjustRightInd w:val="0"/>
              <w:snapToGrid w:val="0"/>
              <w:jc w:val="center"/>
              <w:rPr>
                <w:rFonts w:cs="宋体"/>
                <w:color w:val="000000"/>
                <w:szCs w:val="21"/>
              </w:rPr>
            </w:pPr>
            <w:r>
              <w:rPr>
                <w:rFonts w:hint="eastAsia" w:cs="宋体"/>
                <w:color w:val="000000"/>
                <w:szCs w:val="21"/>
              </w:rPr>
              <w:t>联系方式</w:t>
            </w:r>
          </w:p>
        </w:tc>
        <w:tc>
          <w:tcPr>
            <w:tcW w:w="2639" w:type="dxa"/>
            <w:vAlign w:val="center"/>
          </w:tcPr>
          <w:p w14:paraId="57B095CD">
            <w:pPr>
              <w:adjustRightInd w:val="0"/>
              <w:snapToGrid w:val="0"/>
              <w:jc w:val="center"/>
              <w:rPr>
                <w:rFonts w:cs="宋体"/>
                <w:color w:val="000000"/>
                <w:szCs w:val="21"/>
              </w:rPr>
            </w:pPr>
            <w:r>
              <w:rPr>
                <w:rFonts w:hint="eastAsia" w:cs="宋体"/>
                <w:color w:val="000000"/>
                <w:szCs w:val="21"/>
              </w:rPr>
              <w:t>19131539878</w:t>
            </w:r>
          </w:p>
        </w:tc>
      </w:tr>
      <w:tr w14:paraId="340BED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38" w:type="dxa"/>
            <w:gridSpan w:val="2"/>
            <w:tcMar>
              <w:top w:w="16" w:type="dxa"/>
              <w:left w:w="16" w:type="dxa"/>
              <w:right w:w="16" w:type="dxa"/>
            </w:tcMar>
            <w:vAlign w:val="center"/>
          </w:tcPr>
          <w:p w14:paraId="2C59E8D4">
            <w:pPr>
              <w:adjustRightInd w:val="0"/>
              <w:snapToGrid w:val="0"/>
              <w:jc w:val="center"/>
              <w:rPr>
                <w:rFonts w:cs="宋体"/>
                <w:color w:val="000000"/>
                <w:szCs w:val="21"/>
              </w:rPr>
            </w:pPr>
            <w:r>
              <w:rPr>
                <w:rFonts w:hint="eastAsia" w:cs="宋体"/>
                <w:color w:val="000000"/>
                <w:szCs w:val="21"/>
              </w:rPr>
              <w:t>建设地点</w:t>
            </w:r>
          </w:p>
        </w:tc>
        <w:tc>
          <w:tcPr>
            <w:tcW w:w="7032" w:type="dxa"/>
            <w:gridSpan w:val="3"/>
            <w:vAlign w:val="center"/>
          </w:tcPr>
          <w:p w14:paraId="583BB03D">
            <w:pPr>
              <w:adjustRightInd w:val="0"/>
              <w:snapToGrid w:val="0"/>
              <w:jc w:val="center"/>
              <w:rPr>
                <w:rFonts w:ascii="宋体" w:hAnsi="宋体" w:cs="宋体"/>
                <w:sz w:val="21"/>
                <w:szCs w:val="21"/>
              </w:rPr>
            </w:pPr>
            <w:r>
              <w:rPr>
                <w:rFonts w:hint="eastAsia" w:ascii="宋体" w:hAnsi="宋体" w:cs="宋体"/>
                <w:szCs w:val="21"/>
              </w:rPr>
              <w:t>河北省唐山市曹妃甸装备制造园区河北文丰新材料有限公司现有厂区内</w:t>
            </w:r>
          </w:p>
        </w:tc>
      </w:tr>
      <w:tr w14:paraId="7A35D0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38" w:type="dxa"/>
            <w:gridSpan w:val="2"/>
            <w:tcMar>
              <w:top w:w="16" w:type="dxa"/>
              <w:left w:w="16" w:type="dxa"/>
              <w:right w:w="16" w:type="dxa"/>
            </w:tcMar>
            <w:vAlign w:val="center"/>
          </w:tcPr>
          <w:p w14:paraId="15FEAAFB">
            <w:pPr>
              <w:adjustRightInd w:val="0"/>
              <w:snapToGrid w:val="0"/>
              <w:jc w:val="center"/>
              <w:rPr>
                <w:rFonts w:cs="宋体"/>
                <w:color w:val="000000"/>
                <w:szCs w:val="21"/>
              </w:rPr>
            </w:pPr>
            <w:r>
              <w:rPr>
                <w:rFonts w:hint="eastAsia" w:cs="宋体"/>
                <w:color w:val="000000"/>
                <w:szCs w:val="21"/>
              </w:rPr>
              <w:t>地理坐标</w:t>
            </w:r>
          </w:p>
        </w:tc>
        <w:tc>
          <w:tcPr>
            <w:tcW w:w="7032" w:type="dxa"/>
            <w:gridSpan w:val="3"/>
            <w:vAlign w:val="center"/>
          </w:tcPr>
          <w:p w14:paraId="37EEDE7F">
            <w:pPr>
              <w:jc w:val="center"/>
              <w:rPr>
                <w:rFonts w:cs="宋体"/>
                <w:color w:val="000000"/>
                <w:szCs w:val="21"/>
              </w:rPr>
            </w:pPr>
            <w:r>
              <w:rPr>
                <w:rFonts w:hint="eastAsia" w:cs="宋体"/>
                <w:color w:val="000000"/>
                <w:szCs w:val="21"/>
              </w:rPr>
              <w:t>（</w:t>
            </w:r>
            <w:r>
              <w:rPr>
                <w:rFonts w:cs="宋体"/>
                <w:color w:val="000000"/>
                <w:szCs w:val="21"/>
                <w:u w:val="single"/>
              </w:rPr>
              <w:t xml:space="preserve"> 11</w:t>
            </w:r>
            <w:r>
              <w:rPr>
                <w:rFonts w:hint="eastAsia" w:cs="宋体"/>
                <w:color w:val="000000"/>
                <w:szCs w:val="21"/>
                <w:u w:val="single"/>
              </w:rPr>
              <w:t>8</w:t>
            </w:r>
            <w:r>
              <w:rPr>
                <w:rFonts w:hint="eastAsia" w:cs="宋体"/>
                <w:color w:val="000000"/>
                <w:szCs w:val="21"/>
              </w:rPr>
              <w:t>度</w:t>
            </w:r>
            <w:r>
              <w:rPr>
                <w:rFonts w:cs="宋体"/>
                <w:color w:val="000000"/>
                <w:szCs w:val="21"/>
                <w:u w:val="single"/>
              </w:rPr>
              <w:t xml:space="preserve"> </w:t>
            </w:r>
            <w:r>
              <w:rPr>
                <w:rFonts w:hint="eastAsia" w:cs="宋体"/>
                <w:color w:val="000000"/>
                <w:szCs w:val="21"/>
                <w:u w:val="single"/>
              </w:rPr>
              <w:t>25</w:t>
            </w:r>
            <w:r>
              <w:rPr>
                <w:rFonts w:cs="宋体"/>
                <w:color w:val="000000"/>
                <w:szCs w:val="21"/>
                <w:u w:val="single"/>
              </w:rPr>
              <w:t xml:space="preserve"> </w:t>
            </w:r>
            <w:r>
              <w:rPr>
                <w:rFonts w:hint="eastAsia" w:cs="宋体"/>
                <w:color w:val="000000"/>
                <w:szCs w:val="21"/>
              </w:rPr>
              <w:t>分</w:t>
            </w:r>
            <w:r>
              <w:rPr>
                <w:rFonts w:cs="宋体"/>
                <w:color w:val="000000"/>
                <w:szCs w:val="21"/>
                <w:u w:val="single"/>
              </w:rPr>
              <w:t xml:space="preserve"> </w:t>
            </w:r>
            <w:r>
              <w:rPr>
                <w:rFonts w:hint="eastAsia" w:cs="宋体"/>
                <w:color w:val="000000"/>
                <w:szCs w:val="21"/>
                <w:u w:val="single"/>
              </w:rPr>
              <w:t>47.701</w:t>
            </w:r>
            <w:r>
              <w:rPr>
                <w:rFonts w:cs="宋体"/>
                <w:color w:val="000000"/>
                <w:szCs w:val="21"/>
                <w:u w:val="single"/>
              </w:rPr>
              <w:t xml:space="preserve"> </w:t>
            </w:r>
            <w:r>
              <w:rPr>
                <w:rFonts w:hint="eastAsia" w:cs="宋体"/>
                <w:color w:val="000000"/>
                <w:szCs w:val="21"/>
              </w:rPr>
              <w:t>秒（东经），</w:t>
            </w:r>
            <w:r>
              <w:rPr>
                <w:rFonts w:cs="宋体"/>
                <w:color w:val="000000"/>
                <w:szCs w:val="21"/>
                <w:u w:val="single"/>
              </w:rPr>
              <w:t xml:space="preserve"> 3</w:t>
            </w:r>
            <w:r>
              <w:rPr>
                <w:rFonts w:hint="eastAsia" w:cs="宋体"/>
                <w:color w:val="000000"/>
                <w:szCs w:val="21"/>
                <w:u w:val="single"/>
              </w:rPr>
              <w:t>9</w:t>
            </w:r>
            <w:r>
              <w:rPr>
                <w:rFonts w:cs="宋体"/>
                <w:color w:val="000000"/>
                <w:szCs w:val="21"/>
                <w:u w:val="single"/>
              </w:rPr>
              <w:t xml:space="preserve"> </w:t>
            </w:r>
            <w:r>
              <w:rPr>
                <w:rFonts w:hint="eastAsia" w:cs="宋体"/>
                <w:color w:val="000000"/>
                <w:szCs w:val="21"/>
              </w:rPr>
              <w:t>度</w:t>
            </w:r>
            <w:r>
              <w:rPr>
                <w:rFonts w:cs="宋体"/>
                <w:color w:val="000000"/>
                <w:szCs w:val="21"/>
                <w:u w:val="single"/>
              </w:rPr>
              <w:t xml:space="preserve"> </w:t>
            </w:r>
            <w:r>
              <w:rPr>
                <w:rFonts w:hint="eastAsia" w:cs="宋体"/>
                <w:color w:val="000000"/>
                <w:szCs w:val="21"/>
                <w:u w:val="single"/>
              </w:rPr>
              <w:t>9</w:t>
            </w:r>
            <w:r>
              <w:rPr>
                <w:rFonts w:cs="宋体"/>
                <w:color w:val="000000"/>
                <w:szCs w:val="21"/>
                <w:u w:val="single"/>
              </w:rPr>
              <w:t xml:space="preserve"> </w:t>
            </w:r>
            <w:r>
              <w:rPr>
                <w:rFonts w:hint="eastAsia" w:cs="宋体"/>
                <w:color w:val="000000"/>
                <w:szCs w:val="21"/>
              </w:rPr>
              <w:t>分</w:t>
            </w:r>
            <w:r>
              <w:rPr>
                <w:rFonts w:cs="宋体"/>
                <w:color w:val="000000"/>
                <w:szCs w:val="21"/>
                <w:u w:val="single"/>
              </w:rPr>
              <w:t xml:space="preserve"> </w:t>
            </w:r>
            <w:r>
              <w:rPr>
                <w:rFonts w:hint="eastAsia" w:cs="宋体"/>
                <w:color w:val="000000"/>
                <w:szCs w:val="21"/>
                <w:u w:val="single"/>
              </w:rPr>
              <w:t>16.899</w:t>
            </w:r>
            <w:r>
              <w:rPr>
                <w:rFonts w:cs="宋体"/>
                <w:color w:val="000000"/>
                <w:szCs w:val="21"/>
                <w:u w:val="single"/>
              </w:rPr>
              <w:t xml:space="preserve"> </w:t>
            </w:r>
            <w:r>
              <w:rPr>
                <w:rFonts w:hint="eastAsia" w:cs="宋体"/>
                <w:color w:val="000000"/>
                <w:szCs w:val="21"/>
              </w:rPr>
              <w:t>秒（北纬））</w:t>
            </w:r>
          </w:p>
        </w:tc>
      </w:tr>
      <w:tr w14:paraId="42DE2B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838" w:type="dxa"/>
            <w:gridSpan w:val="2"/>
            <w:tcMar>
              <w:top w:w="16" w:type="dxa"/>
              <w:left w:w="16" w:type="dxa"/>
              <w:right w:w="16" w:type="dxa"/>
            </w:tcMar>
            <w:vAlign w:val="center"/>
          </w:tcPr>
          <w:p w14:paraId="5D424E43">
            <w:pPr>
              <w:adjustRightInd w:val="0"/>
              <w:snapToGrid w:val="0"/>
              <w:jc w:val="center"/>
              <w:rPr>
                <w:rFonts w:cs="宋体"/>
                <w:color w:val="000000"/>
                <w:szCs w:val="21"/>
              </w:rPr>
            </w:pPr>
            <w:r>
              <w:rPr>
                <w:rFonts w:hint="eastAsia" w:cs="宋体"/>
                <w:color w:val="000000"/>
                <w:szCs w:val="21"/>
              </w:rPr>
              <w:t>国民经济</w:t>
            </w:r>
          </w:p>
          <w:p w14:paraId="1A97E4DD">
            <w:pPr>
              <w:adjustRightInd w:val="0"/>
              <w:snapToGrid w:val="0"/>
              <w:jc w:val="center"/>
              <w:rPr>
                <w:rFonts w:cs="宋体"/>
                <w:color w:val="000000"/>
                <w:szCs w:val="21"/>
              </w:rPr>
            </w:pPr>
            <w:r>
              <w:rPr>
                <w:rFonts w:hint="eastAsia" w:cs="宋体"/>
                <w:color w:val="000000"/>
                <w:szCs w:val="21"/>
              </w:rPr>
              <w:t>行业类别</w:t>
            </w:r>
          </w:p>
        </w:tc>
        <w:tc>
          <w:tcPr>
            <w:tcW w:w="2181" w:type="dxa"/>
            <w:vAlign w:val="center"/>
          </w:tcPr>
          <w:p w14:paraId="1E02CCA6">
            <w:pPr>
              <w:adjustRightInd w:val="0"/>
              <w:snapToGrid w:val="0"/>
              <w:jc w:val="center"/>
              <w:rPr>
                <w:rFonts w:cs="宋体"/>
                <w:color w:val="000000"/>
                <w:szCs w:val="21"/>
              </w:rPr>
            </w:pPr>
            <w:r>
              <w:rPr>
                <w:rFonts w:hint="eastAsia" w:cs="宋体"/>
                <w:color w:val="000000"/>
                <w:szCs w:val="21"/>
              </w:rPr>
              <w:t>N7724危险废物治理</w:t>
            </w:r>
          </w:p>
        </w:tc>
        <w:tc>
          <w:tcPr>
            <w:tcW w:w="2212" w:type="dxa"/>
            <w:vAlign w:val="center"/>
          </w:tcPr>
          <w:p w14:paraId="2F0C9747">
            <w:pPr>
              <w:adjustRightInd w:val="0"/>
              <w:snapToGrid w:val="0"/>
              <w:jc w:val="center"/>
              <w:rPr>
                <w:rFonts w:cs="宋体"/>
                <w:color w:val="000000"/>
                <w:szCs w:val="21"/>
              </w:rPr>
            </w:pPr>
            <w:bookmarkStart w:id="1" w:name="_Hlk49843745"/>
            <w:r>
              <w:rPr>
                <w:rFonts w:hint="eastAsia" w:cs="宋体"/>
                <w:color w:val="000000"/>
                <w:szCs w:val="21"/>
              </w:rPr>
              <w:t>建设项目</w:t>
            </w:r>
          </w:p>
          <w:p w14:paraId="5E8EDA4B">
            <w:pPr>
              <w:adjustRightInd w:val="0"/>
              <w:snapToGrid w:val="0"/>
              <w:jc w:val="center"/>
              <w:rPr>
                <w:rFonts w:cs="宋体"/>
                <w:color w:val="000000"/>
                <w:szCs w:val="21"/>
              </w:rPr>
            </w:pPr>
            <w:r>
              <w:rPr>
                <w:rFonts w:hint="eastAsia" w:cs="宋体"/>
                <w:color w:val="000000"/>
                <w:szCs w:val="21"/>
              </w:rPr>
              <w:t>行业类别</w:t>
            </w:r>
            <w:bookmarkEnd w:id="1"/>
          </w:p>
        </w:tc>
        <w:tc>
          <w:tcPr>
            <w:tcW w:w="2639" w:type="dxa"/>
            <w:vAlign w:val="center"/>
          </w:tcPr>
          <w:p w14:paraId="3F14C3B1">
            <w:pPr>
              <w:adjustRightInd w:val="0"/>
              <w:snapToGrid w:val="0"/>
              <w:jc w:val="center"/>
              <w:rPr>
                <w:rFonts w:cs="宋体"/>
                <w:color w:val="000000"/>
                <w:szCs w:val="21"/>
              </w:rPr>
            </w:pPr>
            <w:r>
              <w:rPr>
                <w:rFonts w:hint="eastAsia" w:cs="宋体"/>
                <w:color w:val="000000"/>
                <w:szCs w:val="21"/>
              </w:rPr>
              <w:t>四十七、生态保护和环境治理业，101危险废物（不含医疗废物）利用及处置-其他</w:t>
            </w:r>
          </w:p>
        </w:tc>
      </w:tr>
      <w:tr w14:paraId="62EE4D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838" w:type="dxa"/>
            <w:gridSpan w:val="2"/>
            <w:tcMar>
              <w:top w:w="16" w:type="dxa"/>
              <w:left w:w="16" w:type="dxa"/>
              <w:right w:w="16" w:type="dxa"/>
            </w:tcMar>
            <w:vAlign w:val="center"/>
          </w:tcPr>
          <w:p w14:paraId="6DC61195">
            <w:pPr>
              <w:adjustRightInd w:val="0"/>
              <w:snapToGrid w:val="0"/>
              <w:jc w:val="center"/>
              <w:rPr>
                <w:rFonts w:cs="宋体"/>
                <w:color w:val="000000"/>
                <w:szCs w:val="21"/>
              </w:rPr>
            </w:pPr>
            <w:r>
              <w:rPr>
                <w:rFonts w:hint="eastAsia" w:cs="宋体"/>
                <w:color w:val="000000"/>
                <w:szCs w:val="21"/>
              </w:rPr>
              <w:t>建设性质</w:t>
            </w:r>
          </w:p>
        </w:tc>
        <w:tc>
          <w:tcPr>
            <w:tcW w:w="2181" w:type="dxa"/>
            <w:vAlign w:val="center"/>
          </w:tcPr>
          <w:p w14:paraId="214B9D7A">
            <w:pPr>
              <w:jc w:val="left"/>
              <w:rPr>
                <w:rFonts w:cs="宋体"/>
                <w:color w:val="000000"/>
                <w:szCs w:val="21"/>
              </w:rPr>
            </w:pPr>
            <w:r>
              <w:rPr>
                <w:rFonts w:hint="eastAsia" w:cs="宋体"/>
                <w:color w:val="000000"/>
                <w:szCs w:val="21"/>
              </w:rPr>
              <w:t>□新建（迁建）</w:t>
            </w:r>
          </w:p>
          <w:p w14:paraId="72365963">
            <w:pPr>
              <w:jc w:val="left"/>
              <w:rPr>
                <w:rFonts w:cs="宋体"/>
                <w:color w:val="000000"/>
                <w:szCs w:val="21"/>
              </w:rPr>
            </w:pPr>
            <w:r>
              <w:rPr>
                <w:rFonts w:hint="eastAsia" w:cs="宋体"/>
                <w:color w:val="000000"/>
                <w:szCs w:val="21"/>
              </w:rPr>
              <w:t>☑改建</w:t>
            </w:r>
          </w:p>
          <w:p w14:paraId="6F721395">
            <w:pPr>
              <w:jc w:val="left"/>
              <w:rPr>
                <w:rFonts w:cs="宋体"/>
                <w:color w:val="000000"/>
                <w:szCs w:val="21"/>
              </w:rPr>
            </w:pPr>
            <w:r>
              <w:rPr>
                <w:rFonts w:cs="宋体"/>
                <w:color w:val="000000"/>
                <w:szCs w:val="21"/>
              </w:rPr>
              <w:fldChar w:fldCharType="begin"/>
            </w:r>
            <w:r>
              <w:rPr>
                <w:rFonts w:cs="宋体"/>
                <w:color w:val="000000"/>
                <w:szCs w:val="21"/>
              </w:rPr>
              <w:instrText xml:space="preserve"> </w:instrText>
            </w:r>
            <w:r>
              <w:rPr>
                <w:rFonts w:hint="eastAsia" w:cs="宋体"/>
                <w:color w:val="000000"/>
                <w:szCs w:val="21"/>
              </w:rPr>
              <w:instrText xml:space="preserve">eq \o\ac(□)</w:instrText>
            </w:r>
            <w:r>
              <w:rPr>
                <w:rFonts w:cs="宋体"/>
                <w:color w:val="000000"/>
                <w:szCs w:val="21"/>
              </w:rPr>
              <w:fldChar w:fldCharType="end"/>
            </w:r>
            <w:r>
              <w:rPr>
                <w:rFonts w:hint="eastAsia" w:cs="宋体"/>
                <w:color w:val="000000"/>
                <w:szCs w:val="21"/>
              </w:rPr>
              <w:t>扩建</w:t>
            </w:r>
          </w:p>
          <w:p w14:paraId="4954A324">
            <w:pPr>
              <w:jc w:val="left"/>
              <w:rPr>
                <w:rFonts w:cs="宋体"/>
                <w:color w:val="000000"/>
                <w:szCs w:val="21"/>
              </w:rPr>
            </w:pPr>
            <w:r>
              <w:rPr>
                <w:rFonts w:hint="eastAsia" w:cs="宋体"/>
                <w:color w:val="000000"/>
                <w:szCs w:val="21"/>
              </w:rPr>
              <w:t>□技术改造</w:t>
            </w:r>
          </w:p>
        </w:tc>
        <w:tc>
          <w:tcPr>
            <w:tcW w:w="2212" w:type="dxa"/>
            <w:vAlign w:val="center"/>
          </w:tcPr>
          <w:p w14:paraId="1D75F873">
            <w:pPr>
              <w:adjustRightInd w:val="0"/>
              <w:snapToGrid w:val="0"/>
              <w:jc w:val="center"/>
              <w:rPr>
                <w:rFonts w:cs="宋体"/>
                <w:color w:val="000000"/>
                <w:szCs w:val="21"/>
              </w:rPr>
            </w:pPr>
            <w:r>
              <w:rPr>
                <w:rFonts w:hint="eastAsia" w:cs="宋体"/>
                <w:color w:val="000000"/>
                <w:szCs w:val="21"/>
              </w:rPr>
              <w:t>建设项目</w:t>
            </w:r>
          </w:p>
          <w:p w14:paraId="2121975C">
            <w:pPr>
              <w:adjustRightInd w:val="0"/>
              <w:snapToGrid w:val="0"/>
              <w:jc w:val="center"/>
              <w:rPr>
                <w:rFonts w:cs="宋体"/>
                <w:color w:val="000000"/>
                <w:szCs w:val="21"/>
              </w:rPr>
            </w:pPr>
            <w:r>
              <w:rPr>
                <w:rFonts w:hint="eastAsia" w:cs="宋体"/>
                <w:color w:val="000000"/>
                <w:szCs w:val="21"/>
              </w:rPr>
              <w:t>申报情形</w:t>
            </w:r>
          </w:p>
        </w:tc>
        <w:tc>
          <w:tcPr>
            <w:tcW w:w="2639" w:type="dxa"/>
            <w:vAlign w:val="center"/>
          </w:tcPr>
          <w:p w14:paraId="055F9D92">
            <w:pPr>
              <w:jc w:val="left"/>
              <w:rPr>
                <w:rFonts w:cs="宋体"/>
                <w:color w:val="000000"/>
                <w:szCs w:val="21"/>
              </w:rPr>
            </w:pPr>
            <w:r>
              <w:rPr>
                <w:rFonts w:cs="宋体"/>
                <w:color w:val="000000"/>
                <w:szCs w:val="21"/>
              </w:rPr>
              <w:fldChar w:fldCharType="begin"/>
            </w:r>
            <w:r>
              <w:rPr>
                <w:rFonts w:cs="宋体"/>
                <w:color w:val="000000"/>
                <w:szCs w:val="21"/>
              </w:rPr>
              <w:instrText xml:space="preserve"> </w:instrText>
            </w:r>
            <w:r>
              <w:rPr>
                <w:rFonts w:hint="eastAsia" w:cs="宋体"/>
                <w:color w:val="000000"/>
                <w:szCs w:val="21"/>
              </w:rPr>
              <w:instrText xml:space="preserve">eq \o\ac(□,√)</w:instrText>
            </w:r>
            <w:r>
              <w:rPr>
                <w:rFonts w:cs="宋体"/>
                <w:color w:val="000000"/>
                <w:szCs w:val="21"/>
              </w:rPr>
              <w:fldChar w:fldCharType="end"/>
            </w:r>
            <w:r>
              <w:rPr>
                <w:rFonts w:hint="eastAsia" w:cs="宋体"/>
                <w:color w:val="000000"/>
                <w:szCs w:val="21"/>
              </w:rPr>
              <w:t>首次申报项目</w:t>
            </w:r>
            <w:r>
              <w:rPr>
                <w:rFonts w:cs="宋体"/>
                <w:color w:val="000000"/>
                <w:szCs w:val="21"/>
              </w:rPr>
              <w:t xml:space="preserve">  </w:t>
            </w:r>
          </w:p>
          <w:p w14:paraId="1E18CC83">
            <w:pPr>
              <w:jc w:val="left"/>
              <w:rPr>
                <w:rFonts w:cs="宋体"/>
                <w:color w:val="000000"/>
                <w:szCs w:val="21"/>
              </w:rPr>
            </w:pPr>
            <w:r>
              <w:rPr>
                <w:rFonts w:hint="eastAsia" w:cs="宋体"/>
                <w:color w:val="000000"/>
                <w:szCs w:val="21"/>
              </w:rPr>
              <w:t>□不予批准后再次申报项目</w:t>
            </w:r>
          </w:p>
          <w:p w14:paraId="4C06FE79">
            <w:pPr>
              <w:jc w:val="left"/>
              <w:rPr>
                <w:rFonts w:cs="宋体"/>
                <w:color w:val="000000"/>
                <w:szCs w:val="21"/>
              </w:rPr>
            </w:pPr>
            <w:r>
              <w:rPr>
                <w:rFonts w:hint="eastAsia" w:cs="宋体"/>
                <w:color w:val="000000"/>
                <w:szCs w:val="21"/>
              </w:rPr>
              <w:sym w:font="Wingdings 2" w:char="00A3"/>
            </w:r>
            <w:r>
              <w:rPr>
                <w:rFonts w:hint="eastAsia" w:cs="宋体"/>
                <w:color w:val="000000"/>
                <w:szCs w:val="21"/>
              </w:rPr>
              <w:t>超五年重新审核项目</w:t>
            </w:r>
            <w:r>
              <w:rPr>
                <w:rFonts w:cs="宋体"/>
                <w:color w:val="000000"/>
                <w:szCs w:val="21"/>
              </w:rPr>
              <w:t xml:space="preserve">     </w:t>
            </w:r>
          </w:p>
          <w:p w14:paraId="7D981BD4">
            <w:pPr>
              <w:jc w:val="left"/>
              <w:rPr>
                <w:rFonts w:cs="宋体"/>
                <w:color w:val="000000"/>
                <w:szCs w:val="21"/>
              </w:rPr>
            </w:pPr>
            <w:r>
              <w:rPr>
                <w:rFonts w:hint="eastAsia" w:cs="宋体"/>
                <w:color w:val="000000"/>
                <w:szCs w:val="21"/>
              </w:rPr>
              <w:t>□重大变动重新报批项目</w:t>
            </w:r>
          </w:p>
        </w:tc>
      </w:tr>
      <w:tr w14:paraId="76D61A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838" w:type="dxa"/>
            <w:gridSpan w:val="2"/>
            <w:tcMar>
              <w:top w:w="16" w:type="dxa"/>
              <w:left w:w="16" w:type="dxa"/>
              <w:right w:w="16" w:type="dxa"/>
            </w:tcMar>
            <w:vAlign w:val="center"/>
          </w:tcPr>
          <w:p w14:paraId="55F04496">
            <w:pPr>
              <w:adjustRightInd w:val="0"/>
              <w:snapToGrid w:val="0"/>
              <w:jc w:val="center"/>
              <w:rPr>
                <w:rFonts w:cs="宋体"/>
                <w:color w:val="000000"/>
                <w:szCs w:val="21"/>
              </w:rPr>
            </w:pPr>
            <w:r>
              <w:rPr>
                <w:rFonts w:hint="eastAsia" w:cs="宋体"/>
                <w:color w:val="000000"/>
                <w:szCs w:val="21"/>
              </w:rPr>
              <w:t>项目审批（核准</w:t>
            </w:r>
            <w:r>
              <w:rPr>
                <w:rFonts w:cs="宋体"/>
                <w:color w:val="000000"/>
                <w:szCs w:val="21"/>
              </w:rPr>
              <w:t>/</w:t>
            </w:r>
          </w:p>
          <w:p w14:paraId="650A0E9B">
            <w:pPr>
              <w:adjustRightInd w:val="0"/>
              <w:snapToGrid w:val="0"/>
              <w:jc w:val="center"/>
              <w:rPr>
                <w:rFonts w:cs="宋体"/>
                <w:color w:val="000000"/>
                <w:szCs w:val="21"/>
              </w:rPr>
            </w:pPr>
            <w:r>
              <w:rPr>
                <w:rFonts w:hint="eastAsia" w:cs="宋体"/>
                <w:color w:val="000000"/>
                <w:szCs w:val="21"/>
              </w:rPr>
              <w:t>备案）部门（选填）</w:t>
            </w:r>
          </w:p>
        </w:tc>
        <w:tc>
          <w:tcPr>
            <w:tcW w:w="2181" w:type="dxa"/>
            <w:vAlign w:val="center"/>
          </w:tcPr>
          <w:p w14:paraId="3EEE7BCA">
            <w:pPr>
              <w:adjustRightInd w:val="0"/>
              <w:snapToGrid w:val="0"/>
              <w:jc w:val="center"/>
              <w:rPr>
                <w:rFonts w:cs="宋体"/>
                <w:color w:val="000000"/>
                <w:szCs w:val="21"/>
              </w:rPr>
            </w:pPr>
            <w:r>
              <w:rPr>
                <w:rFonts w:hint="eastAsia" w:cs="宋体"/>
                <w:color w:val="000000"/>
                <w:szCs w:val="21"/>
              </w:rPr>
              <w:t>唐山市曹妃甸区行政审批局</w:t>
            </w:r>
          </w:p>
        </w:tc>
        <w:tc>
          <w:tcPr>
            <w:tcW w:w="2212" w:type="dxa"/>
            <w:vAlign w:val="center"/>
          </w:tcPr>
          <w:p w14:paraId="1F9AC63F">
            <w:pPr>
              <w:adjustRightInd w:val="0"/>
              <w:snapToGrid w:val="0"/>
              <w:jc w:val="center"/>
              <w:rPr>
                <w:rFonts w:cs="宋体"/>
                <w:color w:val="000000"/>
                <w:szCs w:val="21"/>
              </w:rPr>
            </w:pPr>
            <w:r>
              <w:rPr>
                <w:rFonts w:hint="eastAsia" w:cs="宋体"/>
                <w:color w:val="000000"/>
                <w:szCs w:val="21"/>
              </w:rPr>
              <w:t>项目审批（核准</w:t>
            </w:r>
            <w:r>
              <w:rPr>
                <w:rFonts w:cs="宋体"/>
                <w:color w:val="000000"/>
                <w:szCs w:val="21"/>
              </w:rPr>
              <w:t>/</w:t>
            </w:r>
          </w:p>
          <w:p w14:paraId="08F306AF">
            <w:pPr>
              <w:adjustRightInd w:val="0"/>
              <w:snapToGrid w:val="0"/>
              <w:jc w:val="center"/>
              <w:rPr>
                <w:rFonts w:cs="宋体"/>
                <w:color w:val="000000"/>
                <w:szCs w:val="21"/>
              </w:rPr>
            </w:pPr>
            <w:r>
              <w:rPr>
                <w:rFonts w:hint="eastAsia" w:cs="宋体"/>
                <w:color w:val="000000"/>
                <w:szCs w:val="21"/>
              </w:rPr>
              <w:t>备案）文号（选填）</w:t>
            </w:r>
          </w:p>
        </w:tc>
        <w:tc>
          <w:tcPr>
            <w:tcW w:w="2639" w:type="dxa"/>
            <w:vAlign w:val="center"/>
          </w:tcPr>
          <w:p w14:paraId="1D37AD59">
            <w:pPr>
              <w:adjustRightInd w:val="0"/>
              <w:snapToGrid w:val="0"/>
              <w:jc w:val="center"/>
              <w:rPr>
                <w:rFonts w:cs="宋体"/>
                <w:color w:val="000000"/>
                <w:szCs w:val="21"/>
              </w:rPr>
            </w:pPr>
            <w:r>
              <w:rPr>
                <w:rFonts w:hint="eastAsia" w:cs="宋体"/>
                <w:color w:val="000000"/>
                <w:szCs w:val="21"/>
              </w:rPr>
              <w:t>唐曹审批投资备〔2024〕382号</w:t>
            </w:r>
          </w:p>
        </w:tc>
      </w:tr>
      <w:tr w14:paraId="36A1A8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38" w:type="dxa"/>
            <w:gridSpan w:val="2"/>
            <w:tcMar>
              <w:top w:w="16" w:type="dxa"/>
              <w:left w:w="16" w:type="dxa"/>
              <w:right w:w="16" w:type="dxa"/>
            </w:tcMar>
            <w:vAlign w:val="center"/>
          </w:tcPr>
          <w:p w14:paraId="4EE6160E">
            <w:pPr>
              <w:adjustRightInd w:val="0"/>
              <w:snapToGrid w:val="0"/>
              <w:jc w:val="center"/>
              <w:rPr>
                <w:rFonts w:cs="宋体"/>
                <w:color w:val="000000"/>
                <w:szCs w:val="21"/>
              </w:rPr>
            </w:pPr>
            <w:r>
              <w:rPr>
                <w:rFonts w:hint="eastAsia" w:cs="宋体"/>
                <w:color w:val="000000"/>
                <w:szCs w:val="21"/>
              </w:rPr>
              <w:t>总投资（万元）</w:t>
            </w:r>
          </w:p>
        </w:tc>
        <w:tc>
          <w:tcPr>
            <w:tcW w:w="2181" w:type="dxa"/>
            <w:vAlign w:val="center"/>
          </w:tcPr>
          <w:p w14:paraId="2DB8D0B0">
            <w:pPr>
              <w:adjustRightInd w:val="0"/>
              <w:snapToGrid w:val="0"/>
              <w:jc w:val="center"/>
              <w:rPr>
                <w:rFonts w:cs="宋体"/>
                <w:color w:val="000000"/>
                <w:szCs w:val="21"/>
              </w:rPr>
            </w:pPr>
            <w:r>
              <w:rPr>
                <w:rFonts w:hint="eastAsia" w:cs="宋体"/>
                <w:color w:val="000000"/>
                <w:szCs w:val="21"/>
              </w:rPr>
              <w:t>100</w:t>
            </w:r>
          </w:p>
        </w:tc>
        <w:tc>
          <w:tcPr>
            <w:tcW w:w="2212" w:type="dxa"/>
            <w:tcMar>
              <w:top w:w="16" w:type="dxa"/>
              <w:left w:w="16" w:type="dxa"/>
              <w:right w:w="16" w:type="dxa"/>
            </w:tcMar>
            <w:vAlign w:val="center"/>
          </w:tcPr>
          <w:p w14:paraId="1C419BEE">
            <w:pPr>
              <w:adjustRightInd w:val="0"/>
              <w:snapToGrid w:val="0"/>
              <w:jc w:val="center"/>
              <w:rPr>
                <w:rFonts w:cs="宋体"/>
                <w:color w:val="000000"/>
                <w:szCs w:val="21"/>
              </w:rPr>
            </w:pPr>
            <w:r>
              <w:rPr>
                <w:rFonts w:hint="eastAsia" w:cs="宋体"/>
                <w:color w:val="000000"/>
                <w:szCs w:val="21"/>
              </w:rPr>
              <w:t>环保投资（万元）</w:t>
            </w:r>
          </w:p>
        </w:tc>
        <w:tc>
          <w:tcPr>
            <w:tcW w:w="2639" w:type="dxa"/>
            <w:vAlign w:val="center"/>
          </w:tcPr>
          <w:p w14:paraId="6B645033">
            <w:pPr>
              <w:adjustRightInd w:val="0"/>
              <w:snapToGrid w:val="0"/>
              <w:jc w:val="center"/>
              <w:rPr>
                <w:rFonts w:cs="宋体"/>
                <w:color w:val="000000"/>
                <w:szCs w:val="21"/>
              </w:rPr>
            </w:pPr>
            <w:r>
              <w:rPr>
                <w:rFonts w:hint="eastAsia" w:cs="宋体"/>
                <w:color w:val="000000"/>
                <w:szCs w:val="21"/>
              </w:rPr>
              <w:t>100</w:t>
            </w:r>
          </w:p>
        </w:tc>
      </w:tr>
      <w:tr w14:paraId="62E954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38" w:type="dxa"/>
            <w:gridSpan w:val="2"/>
            <w:tcMar>
              <w:top w:w="16" w:type="dxa"/>
              <w:left w:w="16" w:type="dxa"/>
              <w:right w:w="16" w:type="dxa"/>
            </w:tcMar>
            <w:vAlign w:val="center"/>
          </w:tcPr>
          <w:p w14:paraId="43170C00">
            <w:pPr>
              <w:adjustRightInd w:val="0"/>
              <w:snapToGrid w:val="0"/>
              <w:jc w:val="center"/>
              <w:rPr>
                <w:rFonts w:cs="宋体"/>
                <w:color w:val="000000"/>
                <w:szCs w:val="21"/>
              </w:rPr>
            </w:pPr>
            <w:r>
              <w:rPr>
                <w:rFonts w:hint="eastAsia" w:cs="宋体"/>
                <w:color w:val="000000"/>
                <w:szCs w:val="21"/>
              </w:rPr>
              <w:t>环保投资占比（</w:t>
            </w:r>
            <w:r>
              <w:rPr>
                <w:rFonts w:cs="宋体"/>
                <w:color w:val="000000"/>
                <w:szCs w:val="21"/>
              </w:rPr>
              <w:t>%</w:t>
            </w:r>
            <w:r>
              <w:rPr>
                <w:rFonts w:hint="eastAsia" w:cs="宋体"/>
                <w:color w:val="000000"/>
                <w:szCs w:val="21"/>
              </w:rPr>
              <w:t>）</w:t>
            </w:r>
          </w:p>
        </w:tc>
        <w:tc>
          <w:tcPr>
            <w:tcW w:w="2181" w:type="dxa"/>
            <w:vAlign w:val="center"/>
          </w:tcPr>
          <w:p w14:paraId="729A2AB9">
            <w:pPr>
              <w:adjustRightInd w:val="0"/>
              <w:snapToGrid w:val="0"/>
              <w:jc w:val="center"/>
              <w:rPr>
                <w:rFonts w:cs="宋体"/>
                <w:color w:val="000000"/>
                <w:szCs w:val="21"/>
              </w:rPr>
            </w:pPr>
            <w:r>
              <w:rPr>
                <w:rFonts w:hint="eastAsia" w:cs="宋体"/>
                <w:color w:val="000000"/>
                <w:szCs w:val="21"/>
              </w:rPr>
              <w:t>100</w:t>
            </w:r>
          </w:p>
        </w:tc>
        <w:tc>
          <w:tcPr>
            <w:tcW w:w="2212" w:type="dxa"/>
            <w:tcMar>
              <w:top w:w="16" w:type="dxa"/>
              <w:left w:w="16" w:type="dxa"/>
              <w:right w:w="16" w:type="dxa"/>
            </w:tcMar>
            <w:vAlign w:val="center"/>
          </w:tcPr>
          <w:p w14:paraId="0DF3284A">
            <w:pPr>
              <w:adjustRightInd w:val="0"/>
              <w:snapToGrid w:val="0"/>
              <w:jc w:val="center"/>
              <w:rPr>
                <w:rFonts w:cs="宋体"/>
                <w:color w:val="000000"/>
                <w:szCs w:val="21"/>
              </w:rPr>
            </w:pPr>
            <w:r>
              <w:rPr>
                <w:rFonts w:hint="eastAsia" w:cs="宋体"/>
                <w:color w:val="000000"/>
                <w:szCs w:val="21"/>
              </w:rPr>
              <w:t>施工工期</w:t>
            </w:r>
          </w:p>
        </w:tc>
        <w:tc>
          <w:tcPr>
            <w:tcW w:w="2639" w:type="dxa"/>
            <w:vAlign w:val="center"/>
          </w:tcPr>
          <w:p w14:paraId="3FCD3F48">
            <w:pPr>
              <w:adjustRightInd w:val="0"/>
              <w:snapToGrid w:val="0"/>
              <w:jc w:val="center"/>
              <w:rPr>
                <w:rFonts w:cs="宋体"/>
                <w:color w:val="000000"/>
                <w:szCs w:val="21"/>
              </w:rPr>
            </w:pPr>
            <w:r>
              <w:rPr>
                <w:rFonts w:hint="eastAsia" w:cs="宋体"/>
                <w:color w:val="000000"/>
                <w:szCs w:val="21"/>
              </w:rPr>
              <w:t>2个月</w:t>
            </w:r>
          </w:p>
        </w:tc>
      </w:tr>
      <w:tr w14:paraId="72612A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38" w:type="dxa"/>
            <w:gridSpan w:val="2"/>
            <w:tcMar>
              <w:top w:w="16" w:type="dxa"/>
              <w:left w:w="16" w:type="dxa"/>
              <w:right w:w="16" w:type="dxa"/>
            </w:tcMar>
            <w:vAlign w:val="center"/>
          </w:tcPr>
          <w:p w14:paraId="27194989">
            <w:pPr>
              <w:adjustRightInd w:val="0"/>
              <w:snapToGrid w:val="0"/>
              <w:jc w:val="center"/>
              <w:rPr>
                <w:rFonts w:cs="宋体"/>
                <w:color w:val="000000"/>
                <w:szCs w:val="21"/>
              </w:rPr>
            </w:pPr>
            <w:r>
              <w:rPr>
                <w:rFonts w:hint="eastAsia" w:cs="宋体"/>
                <w:color w:val="000000"/>
                <w:szCs w:val="21"/>
              </w:rPr>
              <w:t>是否开工建设</w:t>
            </w:r>
          </w:p>
        </w:tc>
        <w:tc>
          <w:tcPr>
            <w:tcW w:w="2181" w:type="dxa"/>
            <w:vAlign w:val="center"/>
          </w:tcPr>
          <w:p w14:paraId="10DF9E84">
            <w:pPr>
              <w:adjustRightInd w:val="0"/>
              <w:snapToGrid w:val="0"/>
              <w:rPr>
                <w:rFonts w:cs="宋体"/>
                <w:color w:val="000000"/>
                <w:szCs w:val="21"/>
              </w:rPr>
            </w:pPr>
            <w:r>
              <w:rPr>
                <w:rFonts w:cs="宋体"/>
                <w:color w:val="000000"/>
                <w:szCs w:val="21"/>
              </w:rPr>
              <w:fldChar w:fldCharType="begin"/>
            </w:r>
            <w:r>
              <w:rPr>
                <w:rFonts w:cs="宋体"/>
                <w:color w:val="000000"/>
                <w:szCs w:val="21"/>
              </w:rPr>
              <w:instrText xml:space="preserve"> </w:instrText>
            </w:r>
            <w:r>
              <w:rPr>
                <w:rFonts w:hint="eastAsia" w:cs="宋体"/>
                <w:color w:val="000000"/>
                <w:szCs w:val="21"/>
              </w:rPr>
              <w:instrText xml:space="preserve">eq \o\ac(□,√)</w:instrText>
            </w:r>
            <w:r>
              <w:rPr>
                <w:rFonts w:cs="宋体"/>
                <w:color w:val="000000"/>
                <w:szCs w:val="21"/>
              </w:rPr>
              <w:fldChar w:fldCharType="end"/>
            </w:r>
            <w:r>
              <w:rPr>
                <w:rFonts w:hint="eastAsia" w:cs="宋体"/>
                <w:color w:val="000000"/>
                <w:szCs w:val="21"/>
              </w:rPr>
              <w:t>否</w:t>
            </w:r>
          </w:p>
          <w:p w14:paraId="325E1D57">
            <w:pPr>
              <w:adjustRightInd w:val="0"/>
              <w:snapToGrid w:val="0"/>
              <w:rPr>
                <w:rFonts w:cs="宋体"/>
                <w:color w:val="000000"/>
                <w:szCs w:val="21"/>
              </w:rPr>
            </w:pPr>
            <w:r>
              <w:rPr>
                <w:rFonts w:hint="eastAsia" w:cs="宋体"/>
                <w:color w:val="000000"/>
                <w:szCs w:val="21"/>
              </w:rPr>
              <w:sym w:font="Wingdings 2" w:char="00A3"/>
            </w:r>
            <w:r>
              <w:rPr>
                <w:rFonts w:hint="eastAsia" w:cs="宋体"/>
                <w:color w:val="000000"/>
                <w:szCs w:val="21"/>
              </w:rPr>
              <w:t>是：</w:t>
            </w:r>
            <w:r>
              <w:rPr>
                <w:rFonts w:hint="eastAsia" w:cs="宋体"/>
                <w:color w:val="000000"/>
                <w:szCs w:val="21"/>
                <w:u w:val="single"/>
              </w:rPr>
              <w:t xml:space="preserve">             </w:t>
            </w:r>
          </w:p>
        </w:tc>
        <w:tc>
          <w:tcPr>
            <w:tcW w:w="2212" w:type="dxa"/>
            <w:tcMar>
              <w:top w:w="16" w:type="dxa"/>
              <w:left w:w="16" w:type="dxa"/>
              <w:right w:w="16" w:type="dxa"/>
            </w:tcMar>
            <w:vAlign w:val="center"/>
          </w:tcPr>
          <w:p w14:paraId="5C0E03F1">
            <w:pPr>
              <w:adjustRightInd w:val="0"/>
              <w:snapToGrid w:val="0"/>
              <w:jc w:val="center"/>
              <w:rPr>
                <w:rFonts w:cs="宋体"/>
                <w:color w:val="000000"/>
                <w:spacing w:val="-6"/>
                <w:szCs w:val="21"/>
              </w:rPr>
            </w:pPr>
            <w:r>
              <w:rPr>
                <w:rFonts w:hint="eastAsia" w:cs="宋体"/>
                <w:color w:val="000000"/>
                <w:spacing w:val="-6"/>
                <w:szCs w:val="21"/>
              </w:rPr>
              <w:t>用地（用海）</w:t>
            </w:r>
          </w:p>
          <w:p w14:paraId="78E59AC9">
            <w:pPr>
              <w:adjustRightInd w:val="0"/>
              <w:snapToGrid w:val="0"/>
              <w:jc w:val="center"/>
              <w:rPr>
                <w:rFonts w:cs="宋体"/>
                <w:color w:val="000000"/>
                <w:szCs w:val="21"/>
              </w:rPr>
            </w:pPr>
            <w:r>
              <w:rPr>
                <w:rFonts w:hint="eastAsia" w:cs="宋体"/>
                <w:color w:val="000000"/>
                <w:spacing w:val="-6"/>
                <w:szCs w:val="21"/>
              </w:rPr>
              <w:t>面积（</w:t>
            </w:r>
            <w:r>
              <w:rPr>
                <w:rFonts w:cs="宋体"/>
                <w:color w:val="000000"/>
                <w:spacing w:val="-6"/>
                <w:szCs w:val="21"/>
              </w:rPr>
              <w:t>m</w:t>
            </w:r>
            <w:r>
              <w:rPr>
                <w:rFonts w:cs="宋体"/>
                <w:color w:val="000000"/>
                <w:spacing w:val="-6"/>
                <w:szCs w:val="21"/>
                <w:vertAlign w:val="superscript"/>
              </w:rPr>
              <w:t>2</w:t>
            </w:r>
            <w:r>
              <w:rPr>
                <w:rFonts w:hint="eastAsia" w:cs="宋体"/>
                <w:color w:val="000000"/>
                <w:spacing w:val="-6"/>
                <w:szCs w:val="21"/>
              </w:rPr>
              <w:t>）</w:t>
            </w:r>
          </w:p>
        </w:tc>
        <w:tc>
          <w:tcPr>
            <w:tcW w:w="2639" w:type="dxa"/>
            <w:vAlign w:val="center"/>
          </w:tcPr>
          <w:p w14:paraId="33383873">
            <w:pPr>
              <w:adjustRightInd w:val="0"/>
              <w:snapToGrid w:val="0"/>
              <w:jc w:val="center"/>
              <w:rPr>
                <w:rFonts w:cs="宋体"/>
                <w:color w:val="000000"/>
                <w:szCs w:val="21"/>
              </w:rPr>
            </w:pPr>
            <w:r>
              <w:rPr>
                <w:rFonts w:hint="eastAsia" w:cs="宋体"/>
                <w:color w:val="000000"/>
                <w:szCs w:val="21"/>
              </w:rPr>
              <w:t>/（不新增占地）</w:t>
            </w:r>
          </w:p>
        </w:tc>
      </w:tr>
      <w:tr w14:paraId="67DA2C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838" w:type="dxa"/>
            <w:gridSpan w:val="2"/>
            <w:vAlign w:val="center"/>
          </w:tcPr>
          <w:p w14:paraId="7EEF1C36">
            <w:pPr>
              <w:autoSpaceDE w:val="0"/>
              <w:autoSpaceDN w:val="0"/>
              <w:adjustRightInd w:val="0"/>
              <w:snapToGrid w:val="0"/>
              <w:jc w:val="center"/>
              <w:rPr>
                <w:rFonts w:cs="宋体"/>
                <w:color w:val="000000"/>
                <w:kern w:val="0"/>
                <w:szCs w:val="21"/>
              </w:rPr>
            </w:pPr>
            <w:r>
              <w:rPr>
                <w:rFonts w:hint="eastAsia" w:cs="宋体"/>
                <w:color w:val="000000"/>
                <w:kern w:val="0"/>
                <w:szCs w:val="21"/>
              </w:rPr>
              <w:t>专项评价设置情况</w:t>
            </w:r>
          </w:p>
        </w:tc>
        <w:tc>
          <w:tcPr>
            <w:tcW w:w="7032" w:type="dxa"/>
            <w:gridSpan w:val="3"/>
            <w:vAlign w:val="center"/>
          </w:tcPr>
          <w:p w14:paraId="5CBB35F6">
            <w:pPr>
              <w:autoSpaceDE w:val="0"/>
              <w:autoSpaceDN w:val="0"/>
              <w:adjustRightInd w:val="0"/>
              <w:snapToGrid w:val="0"/>
              <w:spacing w:line="480" w:lineRule="exact"/>
              <w:ind w:firstLine="480" w:firstLineChars="200"/>
              <w:rPr>
                <w:rFonts w:cs="宋体"/>
                <w:color w:val="000000"/>
                <w:kern w:val="0"/>
                <w:szCs w:val="21"/>
              </w:rPr>
            </w:pPr>
            <w:r>
              <w:rPr>
                <w:rFonts w:hint="eastAsia" w:cs="宋体"/>
                <w:color w:val="000000"/>
                <w:kern w:val="0"/>
                <w:szCs w:val="21"/>
              </w:rPr>
              <w:t>无</w:t>
            </w:r>
          </w:p>
        </w:tc>
      </w:tr>
      <w:tr w14:paraId="35191D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838" w:type="dxa"/>
            <w:gridSpan w:val="2"/>
            <w:vAlign w:val="center"/>
          </w:tcPr>
          <w:p w14:paraId="1B2BA0E5">
            <w:pPr>
              <w:autoSpaceDE w:val="0"/>
              <w:autoSpaceDN w:val="0"/>
              <w:adjustRightInd w:val="0"/>
              <w:snapToGrid w:val="0"/>
              <w:jc w:val="center"/>
              <w:rPr>
                <w:rFonts w:cs="宋体"/>
                <w:color w:val="000000"/>
                <w:kern w:val="0"/>
                <w:szCs w:val="21"/>
              </w:rPr>
            </w:pPr>
            <w:r>
              <w:rPr>
                <w:rFonts w:hint="eastAsia" w:cs="宋体"/>
                <w:color w:val="000000"/>
                <w:szCs w:val="21"/>
              </w:rPr>
              <w:t>规划情况</w:t>
            </w:r>
          </w:p>
        </w:tc>
        <w:tc>
          <w:tcPr>
            <w:tcW w:w="7032" w:type="dxa"/>
            <w:gridSpan w:val="3"/>
            <w:vAlign w:val="center"/>
          </w:tcPr>
          <w:p w14:paraId="63309950">
            <w:pPr>
              <w:autoSpaceDE w:val="0"/>
              <w:autoSpaceDN w:val="0"/>
              <w:adjustRightInd w:val="0"/>
              <w:snapToGrid w:val="0"/>
              <w:spacing w:line="480" w:lineRule="exact"/>
              <w:ind w:firstLine="480" w:firstLineChars="200"/>
              <w:rPr>
                <w:rFonts w:cs="宋体"/>
                <w:color w:val="000000"/>
                <w:kern w:val="0"/>
                <w:szCs w:val="21"/>
              </w:rPr>
            </w:pPr>
            <w:r>
              <w:rPr>
                <w:rFonts w:hint="eastAsia" w:cs="宋体"/>
                <w:color w:val="000000"/>
                <w:kern w:val="0"/>
                <w:szCs w:val="21"/>
              </w:rPr>
              <w:t>《曹妃甸中小企业园区总体规划（2017-2030）》</w:t>
            </w:r>
          </w:p>
        </w:tc>
      </w:tr>
      <w:tr w14:paraId="2F261E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838" w:type="dxa"/>
            <w:gridSpan w:val="2"/>
            <w:vAlign w:val="center"/>
          </w:tcPr>
          <w:p w14:paraId="2D0BB4B7">
            <w:pPr>
              <w:adjustRightInd w:val="0"/>
              <w:snapToGrid w:val="0"/>
              <w:jc w:val="center"/>
              <w:rPr>
                <w:rFonts w:cs="宋体"/>
                <w:color w:val="000000"/>
                <w:kern w:val="0"/>
                <w:szCs w:val="21"/>
              </w:rPr>
            </w:pPr>
            <w:r>
              <w:rPr>
                <w:rFonts w:hint="eastAsia" w:cs="宋体"/>
                <w:color w:val="000000"/>
                <w:szCs w:val="21"/>
              </w:rPr>
              <w:t>规划环境影响评价情况</w:t>
            </w:r>
          </w:p>
        </w:tc>
        <w:tc>
          <w:tcPr>
            <w:tcW w:w="7032" w:type="dxa"/>
            <w:gridSpan w:val="3"/>
            <w:vAlign w:val="center"/>
          </w:tcPr>
          <w:p w14:paraId="72E028D2">
            <w:pPr>
              <w:spacing w:line="480" w:lineRule="exact"/>
              <w:ind w:firstLine="480" w:firstLineChars="200"/>
              <w:rPr>
                <w:color w:val="000000"/>
              </w:rPr>
            </w:pPr>
            <w:r>
              <w:rPr>
                <w:rFonts w:hint="eastAsia"/>
                <w:color w:val="000000"/>
              </w:rPr>
              <w:t>（1）规划环境影响评价文件：《</w:t>
            </w:r>
            <w:r>
              <w:rPr>
                <w:rFonts w:hint="eastAsia"/>
                <w:color w:val="000000" w:themeColor="text1"/>
              </w:rPr>
              <w:t>曹妃甸中小企业园区总体规划（2017-2030）环境影响补充报告书</w:t>
            </w:r>
            <w:r>
              <w:rPr>
                <w:rFonts w:hint="eastAsia"/>
                <w:color w:val="000000"/>
              </w:rPr>
              <w:t>》；</w:t>
            </w:r>
          </w:p>
          <w:p w14:paraId="27AAACE8">
            <w:pPr>
              <w:spacing w:line="480" w:lineRule="exact"/>
              <w:ind w:firstLine="480" w:firstLineChars="200"/>
              <w:rPr>
                <w:color w:val="000000"/>
              </w:rPr>
            </w:pPr>
            <w:r>
              <w:rPr>
                <w:rFonts w:hint="eastAsia"/>
                <w:color w:val="000000"/>
              </w:rPr>
              <w:t>（2）审查机关：</w:t>
            </w:r>
            <w:r>
              <w:rPr>
                <w:rFonts w:hint="eastAsia"/>
                <w:color w:val="000000" w:themeColor="text1"/>
              </w:rPr>
              <w:t>唐山市生态环境局</w:t>
            </w:r>
            <w:r>
              <w:rPr>
                <w:rFonts w:hint="eastAsia"/>
                <w:color w:val="000000"/>
              </w:rPr>
              <w:t>；</w:t>
            </w:r>
          </w:p>
          <w:p w14:paraId="7A8E8D43">
            <w:pPr>
              <w:spacing w:line="480" w:lineRule="exact"/>
              <w:ind w:firstLine="480" w:firstLineChars="200"/>
              <w:rPr>
                <w:color w:val="000000"/>
              </w:rPr>
            </w:pPr>
            <w:r>
              <w:rPr>
                <w:rFonts w:hint="eastAsia"/>
                <w:color w:val="000000"/>
              </w:rPr>
              <w:t>（3）审查文件：《关于转送</w:t>
            </w:r>
            <w:r>
              <w:rPr>
                <w:rFonts w:hint="eastAsia"/>
                <w:color w:val="000000" w:themeColor="text1"/>
              </w:rPr>
              <w:t>曹妃甸中小企业园区总体规划（2017-2030）环境影响补充报告书</w:t>
            </w:r>
            <w:r>
              <w:rPr>
                <w:rFonts w:hint="eastAsia"/>
                <w:color w:val="000000"/>
              </w:rPr>
              <w:t>审查意见的函》（唐环评函〔2023〕30号）。</w:t>
            </w:r>
          </w:p>
        </w:tc>
      </w:tr>
      <w:tr w14:paraId="6A32B0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838" w:type="dxa"/>
            <w:gridSpan w:val="2"/>
            <w:vAlign w:val="center"/>
          </w:tcPr>
          <w:p w14:paraId="005D4508">
            <w:pPr>
              <w:autoSpaceDE w:val="0"/>
              <w:autoSpaceDN w:val="0"/>
              <w:adjustRightInd w:val="0"/>
              <w:snapToGrid w:val="0"/>
              <w:jc w:val="center"/>
              <w:rPr>
                <w:rFonts w:cs="宋体"/>
                <w:color w:val="000000"/>
                <w:kern w:val="0"/>
                <w:szCs w:val="21"/>
              </w:rPr>
            </w:pPr>
            <w:r>
              <w:rPr>
                <w:rFonts w:hint="eastAsia" w:cs="宋体"/>
                <w:color w:val="000000"/>
                <w:kern w:val="0"/>
                <w:szCs w:val="21"/>
              </w:rPr>
              <w:t>规划及规划环境影响评价符合性分析</w:t>
            </w:r>
          </w:p>
        </w:tc>
        <w:tc>
          <w:tcPr>
            <w:tcW w:w="7032" w:type="dxa"/>
            <w:gridSpan w:val="3"/>
            <w:vAlign w:val="center"/>
          </w:tcPr>
          <w:p w14:paraId="2ACD682F">
            <w:pPr>
              <w:autoSpaceDE w:val="0"/>
              <w:autoSpaceDN w:val="0"/>
              <w:adjustRightInd w:val="0"/>
              <w:snapToGrid w:val="0"/>
              <w:spacing w:line="480" w:lineRule="exact"/>
              <w:ind w:firstLine="482" w:firstLineChars="200"/>
              <w:rPr>
                <w:rFonts w:cs="宋体"/>
                <w:b/>
                <w:bCs/>
                <w:color w:val="000000"/>
                <w:kern w:val="0"/>
                <w:szCs w:val="21"/>
              </w:rPr>
            </w:pPr>
            <w:r>
              <w:rPr>
                <w:rFonts w:hint="eastAsia" w:cs="宋体"/>
                <w:b/>
                <w:bCs/>
                <w:color w:val="000000"/>
                <w:kern w:val="0"/>
                <w:szCs w:val="21"/>
              </w:rPr>
              <w:t>1、规划符合性分析</w:t>
            </w:r>
          </w:p>
          <w:p w14:paraId="30EA9789">
            <w:pPr>
              <w:autoSpaceDE w:val="0"/>
              <w:autoSpaceDN w:val="0"/>
              <w:adjustRightInd w:val="0"/>
              <w:snapToGrid w:val="0"/>
              <w:spacing w:line="480" w:lineRule="exact"/>
              <w:ind w:firstLine="480" w:firstLineChars="200"/>
              <w:rPr>
                <w:rFonts w:cs="宋体"/>
                <w:color w:val="000000"/>
                <w:kern w:val="0"/>
                <w:szCs w:val="21"/>
              </w:rPr>
            </w:pPr>
            <w:r>
              <w:rPr>
                <w:rFonts w:hint="eastAsia"/>
                <w:color w:val="000000" w:themeColor="text1"/>
              </w:rPr>
              <w:t>曹妃甸中小企业园区（曹妃甸装备制造园区）</w:t>
            </w:r>
            <w:r>
              <w:rPr>
                <w:rFonts w:hint="eastAsia" w:cs="宋体"/>
                <w:color w:val="000000"/>
                <w:kern w:val="0"/>
                <w:szCs w:val="21"/>
              </w:rPr>
              <w:t>规划产业布局为：产业定位：主要产业区共计10个，包括绿色精品钢加工产业区、合金及钢铁深加工产业区、现代物流及加工产业区、固废资源综合利用区、先进装备制造产业区、铝材料产业片区及其配套产业区、高新技术产业区、节能环保产业区、新型建材产业区、综合服务区。本项目位于曹妃甸中小企业园区铝材料产业片区</w:t>
            </w:r>
            <w:r>
              <w:rPr>
                <w:rFonts w:hint="eastAsia" w:ascii="宋体" w:hAnsi="宋体" w:cs="宋体"/>
                <w:szCs w:val="21"/>
              </w:rPr>
              <w:t>河北文丰新材料有限公司现有厂区内</w:t>
            </w:r>
            <w:r>
              <w:rPr>
                <w:rFonts w:hint="eastAsia" w:cs="宋体"/>
                <w:color w:val="000000"/>
                <w:kern w:val="0"/>
                <w:szCs w:val="21"/>
              </w:rPr>
              <w:t>，不新增占地，公司现有用地属于三类工业用地，项目建设为暂存氧化铝生产过程中产生的危险废物草酸盐，符合园区规划产业及用地要求。</w:t>
            </w:r>
          </w:p>
          <w:p w14:paraId="0FD3970D">
            <w:pPr>
              <w:autoSpaceDE w:val="0"/>
              <w:autoSpaceDN w:val="0"/>
              <w:adjustRightInd w:val="0"/>
              <w:snapToGrid w:val="0"/>
              <w:spacing w:line="480" w:lineRule="exact"/>
              <w:ind w:firstLine="482" w:firstLineChars="200"/>
              <w:rPr>
                <w:rFonts w:cs="宋体"/>
                <w:b/>
                <w:bCs/>
                <w:color w:val="000000"/>
                <w:kern w:val="0"/>
                <w:szCs w:val="21"/>
              </w:rPr>
            </w:pPr>
            <w:r>
              <w:rPr>
                <w:rFonts w:hint="eastAsia" w:cs="宋体"/>
                <w:b/>
                <w:bCs/>
                <w:color w:val="000000"/>
                <w:kern w:val="0"/>
                <w:szCs w:val="21"/>
              </w:rPr>
              <w:t>2、规划环境影响评价符合性分析</w:t>
            </w:r>
          </w:p>
          <w:p w14:paraId="2BAB6BC8">
            <w:pPr>
              <w:autoSpaceDE w:val="0"/>
              <w:autoSpaceDN w:val="0"/>
              <w:adjustRightInd w:val="0"/>
              <w:snapToGrid w:val="0"/>
              <w:spacing w:line="480" w:lineRule="exact"/>
              <w:ind w:firstLine="480" w:firstLineChars="200"/>
              <w:rPr>
                <w:rFonts w:cs="宋体"/>
                <w:color w:val="000000"/>
                <w:kern w:val="0"/>
                <w:szCs w:val="21"/>
              </w:rPr>
            </w:pPr>
            <w:r>
              <w:rPr>
                <w:rFonts w:hint="eastAsia" w:cs="宋体"/>
                <w:color w:val="000000"/>
                <w:kern w:val="0"/>
                <w:szCs w:val="21"/>
              </w:rPr>
              <w:t>由于文丰新材料现有危废库容积不满足草酸盐暂存需求，本项目拟将原石灰消化灰渣装车区域改建为危废库用于暂存危废草酸盐。项目不新增占地，不涉及厂区氧化铝产能变化，且项目不涉及废气、废水排放。项目建设符合规划环评及其审查意见，同时，项目不属于《产业结构调整指导目录（2024年本）》中规定的限制类和淘汰类项目，满足相关产业要求，符合园区重点管控单元总体生态环境准入清单，符合园区产业定位及用地规划等要求，满足规划环评园区环境准入、“三线一单”及审查意见要求，具体分析情况见下表。</w:t>
            </w:r>
          </w:p>
          <w:p w14:paraId="7581FC42">
            <w:pPr>
              <w:autoSpaceDE w:val="0"/>
              <w:autoSpaceDN w:val="0"/>
              <w:adjustRightInd w:val="0"/>
              <w:snapToGrid w:val="0"/>
              <w:spacing w:line="480" w:lineRule="exact"/>
              <w:ind w:firstLine="480"/>
              <w:jc w:val="center"/>
              <w:rPr>
                <w:rFonts w:eastAsia="黑体" w:cs="宋体"/>
                <w:color w:val="000000"/>
                <w:kern w:val="0"/>
                <w:szCs w:val="21"/>
              </w:rPr>
            </w:pPr>
            <w:r>
              <w:rPr>
                <w:rFonts w:hint="eastAsia" w:eastAsia="黑体" w:cs="宋体"/>
                <w:color w:val="000000"/>
                <w:kern w:val="0"/>
                <w:szCs w:val="21"/>
              </w:rPr>
              <w:t>表1</w:t>
            </w:r>
            <w:r>
              <w:rPr>
                <w:rFonts w:eastAsia="黑体" w:cs="宋体"/>
                <w:color w:val="000000"/>
                <w:kern w:val="0"/>
                <w:szCs w:val="21"/>
              </w:rPr>
              <w:t xml:space="preserve">.1  </w:t>
            </w:r>
            <w:r>
              <w:rPr>
                <w:rFonts w:hint="eastAsia" w:eastAsia="黑体" w:cs="宋体"/>
                <w:color w:val="000000"/>
                <w:kern w:val="0"/>
                <w:szCs w:val="21"/>
              </w:rPr>
              <w:t>本项目同园区重点管控单元总体生态环境准入清单符合性分析一览表</w:t>
            </w:r>
          </w:p>
          <w:tbl>
            <w:tblPr>
              <w:tblStyle w:val="28"/>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275"/>
              <w:gridCol w:w="443"/>
              <w:gridCol w:w="476"/>
              <w:gridCol w:w="3353"/>
              <w:gridCol w:w="1726"/>
              <w:gridCol w:w="536"/>
            </w:tblGrid>
            <w:tr w14:paraId="32621A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531" w:type="pct"/>
                  <w:gridSpan w:val="2"/>
                  <w:tcBorders>
                    <w:tl2br w:val="nil"/>
                    <w:tr2bl w:val="nil"/>
                  </w:tcBorders>
                  <w:vAlign w:val="center"/>
                </w:tcPr>
                <w:p w14:paraId="0ADBF6C8">
                  <w:pPr>
                    <w:pStyle w:val="73"/>
                    <w:rPr>
                      <w:color w:val="000000" w:themeColor="text1"/>
                    </w:rPr>
                  </w:pPr>
                  <w:r>
                    <w:rPr>
                      <w:color w:val="000000" w:themeColor="text1"/>
                    </w:rPr>
                    <w:t>清单类型</w:t>
                  </w:r>
                </w:p>
              </w:tc>
              <w:tc>
                <w:tcPr>
                  <w:tcW w:w="2804" w:type="pct"/>
                  <w:gridSpan w:val="2"/>
                  <w:tcBorders>
                    <w:tl2br w:val="nil"/>
                    <w:tr2bl w:val="nil"/>
                  </w:tcBorders>
                  <w:vAlign w:val="center"/>
                </w:tcPr>
                <w:p w14:paraId="717CCE20">
                  <w:pPr>
                    <w:pStyle w:val="73"/>
                    <w:jc w:val="both"/>
                    <w:rPr>
                      <w:color w:val="000000" w:themeColor="text1"/>
                    </w:rPr>
                  </w:pPr>
                  <w:r>
                    <w:rPr>
                      <w:color w:val="000000" w:themeColor="text1"/>
                    </w:rPr>
                    <w:t>准入要求</w:t>
                  </w:r>
                </w:p>
              </w:tc>
              <w:tc>
                <w:tcPr>
                  <w:tcW w:w="1268" w:type="pct"/>
                  <w:tcBorders>
                    <w:tl2br w:val="nil"/>
                    <w:tr2bl w:val="nil"/>
                  </w:tcBorders>
                  <w:vAlign w:val="center"/>
                </w:tcPr>
                <w:p w14:paraId="70B35CF9">
                  <w:pPr>
                    <w:pStyle w:val="73"/>
                    <w:rPr>
                      <w:color w:val="000000" w:themeColor="text1"/>
                    </w:rPr>
                  </w:pPr>
                  <w:r>
                    <w:rPr>
                      <w:rFonts w:hint="eastAsia"/>
                      <w:color w:val="000000" w:themeColor="text1"/>
                    </w:rPr>
                    <w:t>本项目</w:t>
                  </w:r>
                </w:p>
              </w:tc>
              <w:tc>
                <w:tcPr>
                  <w:tcW w:w="395" w:type="pct"/>
                  <w:tcBorders>
                    <w:tl2br w:val="nil"/>
                    <w:tr2bl w:val="nil"/>
                  </w:tcBorders>
                  <w:vAlign w:val="center"/>
                </w:tcPr>
                <w:p w14:paraId="5E5DEFB0">
                  <w:pPr>
                    <w:pStyle w:val="73"/>
                    <w:rPr>
                      <w:color w:val="000000" w:themeColor="text1"/>
                    </w:rPr>
                  </w:pPr>
                  <w:r>
                    <w:rPr>
                      <w:rFonts w:hint="eastAsia"/>
                      <w:color w:val="000000" w:themeColor="text1"/>
                    </w:rPr>
                    <w:t>符合性</w:t>
                  </w:r>
                </w:p>
              </w:tc>
            </w:tr>
            <w:tr w14:paraId="34FD59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31" w:type="pct"/>
                  <w:gridSpan w:val="2"/>
                  <w:tcBorders>
                    <w:tl2br w:val="nil"/>
                    <w:tr2bl w:val="nil"/>
                  </w:tcBorders>
                  <w:vAlign w:val="center"/>
                </w:tcPr>
                <w:p w14:paraId="28655200">
                  <w:pPr>
                    <w:pStyle w:val="73"/>
                    <w:rPr>
                      <w:color w:val="000000" w:themeColor="text1"/>
                    </w:rPr>
                  </w:pPr>
                  <w:r>
                    <w:rPr>
                      <w:color w:val="000000" w:themeColor="text1"/>
                    </w:rPr>
                    <w:t>总体要求</w:t>
                  </w:r>
                </w:p>
              </w:tc>
              <w:tc>
                <w:tcPr>
                  <w:tcW w:w="2804" w:type="pct"/>
                  <w:gridSpan w:val="2"/>
                  <w:tcBorders>
                    <w:tl2br w:val="nil"/>
                    <w:tr2bl w:val="nil"/>
                  </w:tcBorders>
                  <w:vAlign w:val="center"/>
                </w:tcPr>
                <w:p w14:paraId="6C85BF5A">
                  <w:pPr>
                    <w:pStyle w:val="73"/>
                    <w:jc w:val="both"/>
                    <w:rPr>
                      <w:color w:val="000000" w:themeColor="text1"/>
                    </w:rPr>
                  </w:pPr>
                  <w:r>
                    <w:rPr>
                      <w:color w:val="000000" w:themeColor="text1"/>
                    </w:rPr>
                    <w:t>详见《唐山市生态环境准入清单》中总体准入要求及本园区所在区域准入要求，具体内容不再列出。</w:t>
                  </w:r>
                </w:p>
              </w:tc>
              <w:tc>
                <w:tcPr>
                  <w:tcW w:w="1268" w:type="pct"/>
                  <w:tcBorders>
                    <w:tl2br w:val="nil"/>
                    <w:tr2bl w:val="nil"/>
                  </w:tcBorders>
                  <w:vAlign w:val="center"/>
                </w:tcPr>
                <w:p w14:paraId="53FCDE88">
                  <w:pPr>
                    <w:pStyle w:val="73"/>
                    <w:jc w:val="both"/>
                    <w:rPr>
                      <w:color w:val="000000" w:themeColor="text1"/>
                    </w:rPr>
                  </w:pPr>
                  <w:r>
                    <w:rPr>
                      <w:rFonts w:hint="eastAsia"/>
                      <w:color w:val="000000" w:themeColor="text1"/>
                    </w:rPr>
                    <w:t>本项目符合</w:t>
                  </w:r>
                  <w:r>
                    <w:rPr>
                      <w:color w:val="000000" w:themeColor="text1"/>
                    </w:rPr>
                    <w:t>《唐山市生态环境准入清单》中总体准入要求及本园区所在区域准入要求</w:t>
                  </w:r>
                </w:p>
              </w:tc>
              <w:tc>
                <w:tcPr>
                  <w:tcW w:w="395" w:type="pct"/>
                  <w:tcBorders>
                    <w:tl2br w:val="nil"/>
                    <w:tr2bl w:val="nil"/>
                  </w:tcBorders>
                  <w:vAlign w:val="center"/>
                </w:tcPr>
                <w:p w14:paraId="7CBA0341">
                  <w:pPr>
                    <w:pStyle w:val="73"/>
                    <w:rPr>
                      <w:color w:val="000000" w:themeColor="text1"/>
                    </w:rPr>
                  </w:pPr>
                  <w:r>
                    <w:rPr>
                      <w:rFonts w:hint="eastAsia"/>
                      <w:color w:val="000000" w:themeColor="text1"/>
                    </w:rPr>
                    <w:t>符合</w:t>
                  </w:r>
                </w:p>
              </w:tc>
            </w:tr>
            <w:tr w14:paraId="4B61F1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04" w:type="pct"/>
                  <w:vMerge w:val="restart"/>
                  <w:tcBorders>
                    <w:tl2br w:val="nil"/>
                    <w:tr2bl w:val="nil"/>
                  </w:tcBorders>
                  <w:vAlign w:val="center"/>
                </w:tcPr>
                <w:p w14:paraId="33F6FCF6">
                  <w:pPr>
                    <w:pStyle w:val="73"/>
                    <w:rPr>
                      <w:color w:val="000000" w:themeColor="text1"/>
                    </w:rPr>
                  </w:pPr>
                  <w:r>
                    <w:rPr>
                      <w:color w:val="000000" w:themeColor="text1"/>
                    </w:rPr>
                    <w:t>本评价补充要求</w:t>
                  </w:r>
                </w:p>
              </w:tc>
              <w:tc>
                <w:tcPr>
                  <w:tcW w:w="326" w:type="pct"/>
                  <w:tcBorders>
                    <w:tl2br w:val="nil"/>
                    <w:tr2bl w:val="nil"/>
                  </w:tcBorders>
                  <w:vAlign w:val="center"/>
                </w:tcPr>
                <w:p w14:paraId="53E826A6">
                  <w:pPr>
                    <w:pStyle w:val="73"/>
                    <w:rPr>
                      <w:color w:val="000000" w:themeColor="text1"/>
                    </w:rPr>
                  </w:pPr>
                  <w:r>
                    <w:rPr>
                      <w:color w:val="000000" w:themeColor="text1"/>
                    </w:rPr>
                    <w:t>环境政策准入要求</w:t>
                  </w:r>
                </w:p>
              </w:tc>
              <w:tc>
                <w:tcPr>
                  <w:tcW w:w="2804" w:type="pct"/>
                  <w:gridSpan w:val="2"/>
                  <w:tcBorders>
                    <w:tl2br w:val="nil"/>
                    <w:tr2bl w:val="nil"/>
                  </w:tcBorders>
                  <w:vAlign w:val="center"/>
                </w:tcPr>
                <w:p w14:paraId="4CF4DCB3">
                  <w:pPr>
                    <w:pStyle w:val="73"/>
                    <w:jc w:val="both"/>
                    <w:rPr>
                      <w:color w:val="000000" w:themeColor="text1"/>
                    </w:rPr>
                  </w:pPr>
                  <w:r>
                    <w:rPr>
                      <w:color w:val="000000" w:themeColor="text1"/>
                    </w:rPr>
                    <w:t>省级南堡重要湿地范围内严格按照《中华人民共和国湿地保护法》、《河北省湿地保护条例》等进行开发。</w:t>
                  </w:r>
                </w:p>
              </w:tc>
              <w:tc>
                <w:tcPr>
                  <w:tcW w:w="1268" w:type="pct"/>
                  <w:tcBorders>
                    <w:tl2br w:val="nil"/>
                    <w:tr2bl w:val="nil"/>
                  </w:tcBorders>
                  <w:vAlign w:val="center"/>
                </w:tcPr>
                <w:p w14:paraId="1CC1BD74">
                  <w:pPr>
                    <w:pStyle w:val="73"/>
                    <w:jc w:val="both"/>
                    <w:rPr>
                      <w:color w:val="000000" w:themeColor="text1"/>
                    </w:rPr>
                  </w:pPr>
                  <w:r>
                    <w:rPr>
                      <w:rFonts w:hint="eastAsia"/>
                      <w:color w:val="000000" w:themeColor="text1"/>
                    </w:rPr>
                    <w:t>不涉及</w:t>
                  </w:r>
                </w:p>
              </w:tc>
              <w:tc>
                <w:tcPr>
                  <w:tcW w:w="395" w:type="pct"/>
                  <w:tcBorders>
                    <w:tl2br w:val="nil"/>
                    <w:tr2bl w:val="nil"/>
                  </w:tcBorders>
                  <w:vAlign w:val="center"/>
                </w:tcPr>
                <w:p w14:paraId="0D134513">
                  <w:pPr>
                    <w:pStyle w:val="73"/>
                    <w:rPr>
                      <w:color w:val="000000" w:themeColor="text1"/>
                    </w:rPr>
                  </w:pPr>
                  <w:r>
                    <w:rPr>
                      <w:rFonts w:hint="eastAsia"/>
                      <w:color w:val="000000" w:themeColor="text1"/>
                    </w:rPr>
                    <w:t>符合</w:t>
                  </w:r>
                </w:p>
              </w:tc>
            </w:tr>
            <w:tr w14:paraId="239564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04" w:type="pct"/>
                  <w:vMerge w:val="continue"/>
                  <w:tcBorders>
                    <w:tl2br w:val="nil"/>
                    <w:tr2bl w:val="nil"/>
                  </w:tcBorders>
                  <w:vAlign w:val="center"/>
                </w:tcPr>
                <w:p w14:paraId="33821869">
                  <w:pPr>
                    <w:pStyle w:val="73"/>
                    <w:rPr>
                      <w:color w:val="000000" w:themeColor="text1"/>
                    </w:rPr>
                  </w:pPr>
                </w:p>
              </w:tc>
              <w:tc>
                <w:tcPr>
                  <w:tcW w:w="326" w:type="pct"/>
                  <w:tcBorders>
                    <w:tl2br w:val="nil"/>
                    <w:tr2bl w:val="nil"/>
                  </w:tcBorders>
                  <w:vAlign w:val="center"/>
                </w:tcPr>
                <w:p w14:paraId="730E2438">
                  <w:pPr>
                    <w:pStyle w:val="73"/>
                    <w:rPr>
                      <w:color w:val="000000" w:themeColor="text1"/>
                    </w:rPr>
                  </w:pPr>
                  <w:r>
                    <w:rPr>
                      <w:color w:val="000000" w:themeColor="text1"/>
                    </w:rPr>
                    <w:t>产业及政策准入管理要求</w:t>
                  </w:r>
                </w:p>
              </w:tc>
              <w:tc>
                <w:tcPr>
                  <w:tcW w:w="2804" w:type="pct"/>
                  <w:gridSpan w:val="2"/>
                  <w:tcBorders>
                    <w:tl2br w:val="nil"/>
                    <w:tr2bl w:val="nil"/>
                  </w:tcBorders>
                  <w:vAlign w:val="center"/>
                </w:tcPr>
                <w:p w14:paraId="5EE91E1D">
                  <w:pPr>
                    <w:pStyle w:val="73"/>
                    <w:jc w:val="both"/>
                    <w:rPr>
                      <w:color w:val="000000" w:themeColor="text1"/>
                    </w:rPr>
                  </w:pPr>
                  <w:r>
                    <w:rPr>
                      <w:color w:val="000000" w:themeColor="text1"/>
                    </w:rPr>
                    <w:t>禁止新建《产业结构调整指导目录》及《河北省新增限制和淘汰类产业目录》中属于限制和淘汰类的建设项目及工艺设备；禁止建设《市场准入负面清单》中的禁止准入类项目；</w:t>
                  </w:r>
                </w:p>
              </w:tc>
              <w:tc>
                <w:tcPr>
                  <w:tcW w:w="1268" w:type="pct"/>
                  <w:tcBorders>
                    <w:tl2br w:val="nil"/>
                    <w:tr2bl w:val="nil"/>
                  </w:tcBorders>
                  <w:vAlign w:val="center"/>
                </w:tcPr>
                <w:p w14:paraId="49807096">
                  <w:pPr>
                    <w:pStyle w:val="73"/>
                    <w:jc w:val="both"/>
                    <w:rPr>
                      <w:color w:val="000000" w:themeColor="text1"/>
                    </w:rPr>
                  </w:pPr>
                  <w:r>
                    <w:rPr>
                      <w:rFonts w:hint="eastAsia"/>
                      <w:color w:val="000000" w:themeColor="text1"/>
                    </w:rPr>
                    <w:t>拟建项目不属于《产业结构调整指导目录》（</w:t>
                  </w:r>
                  <w:r>
                    <w:rPr>
                      <w:color w:val="000000" w:themeColor="text1"/>
                    </w:rPr>
                    <w:t>20</w:t>
                  </w:r>
                  <w:r>
                    <w:rPr>
                      <w:rFonts w:hint="eastAsia"/>
                      <w:color w:val="000000" w:themeColor="text1"/>
                    </w:rPr>
                    <w:t>24</w:t>
                  </w:r>
                  <w:r>
                    <w:rPr>
                      <w:color w:val="000000" w:themeColor="text1"/>
                    </w:rPr>
                    <w:t>年本）中限制类、淘汰类项目，属于允许类项目</w:t>
                  </w:r>
                  <w:r>
                    <w:rPr>
                      <w:rFonts w:hint="eastAsia"/>
                      <w:color w:val="000000" w:themeColor="text1"/>
                    </w:rPr>
                    <w:t>；</w:t>
                  </w:r>
                  <w:r>
                    <w:rPr>
                      <w:color w:val="000000" w:themeColor="text1"/>
                    </w:rPr>
                    <w:t>项目不属于</w:t>
                  </w:r>
                  <w:r>
                    <w:rPr>
                      <w:rFonts w:hint="eastAsia"/>
                      <w:color w:val="000000" w:themeColor="text1"/>
                    </w:rPr>
                    <w:t>《市场准入负面清单》</w:t>
                  </w:r>
                  <w:r>
                    <w:rPr>
                      <w:color w:val="000000" w:themeColor="text1"/>
                    </w:rPr>
                    <w:t>中禁止准入类项目</w:t>
                  </w:r>
                </w:p>
              </w:tc>
              <w:tc>
                <w:tcPr>
                  <w:tcW w:w="395" w:type="pct"/>
                  <w:tcBorders>
                    <w:tl2br w:val="nil"/>
                    <w:tr2bl w:val="nil"/>
                  </w:tcBorders>
                  <w:vAlign w:val="center"/>
                </w:tcPr>
                <w:p w14:paraId="7475D2B8">
                  <w:pPr>
                    <w:pStyle w:val="73"/>
                    <w:rPr>
                      <w:color w:val="000000" w:themeColor="text1"/>
                    </w:rPr>
                  </w:pPr>
                  <w:r>
                    <w:rPr>
                      <w:rFonts w:hint="eastAsia"/>
                      <w:color w:val="000000" w:themeColor="text1"/>
                    </w:rPr>
                    <w:t>符合</w:t>
                  </w:r>
                </w:p>
              </w:tc>
            </w:tr>
            <w:tr w14:paraId="349979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04" w:type="pct"/>
                  <w:vMerge w:val="continue"/>
                  <w:tcBorders>
                    <w:tl2br w:val="nil"/>
                    <w:tr2bl w:val="nil"/>
                  </w:tcBorders>
                  <w:vAlign w:val="center"/>
                </w:tcPr>
                <w:p w14:paraId="29FFC380">
                  <w:pPr>
                    <w:pStyle w:val="73"/>
                    <w:rPr>
                      <w:color w:val="000000" w:themeColor="text1"/>
                    </w:rPr>
                  </w:pPr>
                </w:p>
              </w:tc>
              <w:tc>
                <w:tcPr>
                  <w:tcW w:w="326" w:type="pct"/>
                  <w:vMerge w:val="restart"/>
                  <w:tcBorders>
                    <w:tl2br w:val="nil"/>
                    <w:tr2bl w:val="nil"/>
                  </w:tcBorders>
                  <w:vAlign w:val="center"/>
                </w:tcPr>
                <w:p w14:paraId="64AE0729">
                  <w:pPr>
                    <w:pStyle w:val="73"/>
                    <w:rPr>
                      <w:color w:val="000000" w:themeColor="text1"/>
                    </w:rPr>
                  </w:pPr>
                  <w:r>
                    <w:rPr>
                      <w:color w:val="000000" w:themeColor="text1"/>
                    </w:rPr>
                    <w:t>空间布局约束</w:t>
                  </w:r>
                </w:p>
              </w:tc>
              <w:tc>
                <w:tcPr>
                  <w:tcW w:w="2804" w:type="pct"/>
                  <w:gridSpan w:val="2"/>
                  <w:tcBorders>
                    <w:tl2br w:val="nil"/>
                    <w:tr2bl w:val="nil"/>
                  </w:tcBorders>
                  <w:vAlign w:val="center"/>
                </w:tcPr>
                <w:p w14:paraId="5E474E78">
                  <w:pPr>
                    <w:pStyle w:val="73"/>
                    <w:jc w:val="both"/>
                    <w:rPr>
                      <w:color w:val="000000" w:themeColor="text1"/>
                    </w:rPr>
                  </w:pPr>
                  <w:r>
                    <w:rPr>
                      <w:rFonts w:hint="eastAsia"/>
                      <w:color w:val="000000" w:themeColor="text1"/>
                    </w:rPr>
                    <w:t>1.</w:t>
                  </w:r>
                  <w:r>
                    <w:rPr>
                      <w:color w:val="000000" w:themeColor="text1"/>
                    </w:rPr>
                    <w:t>开发区规划实施过程中不得侵占周边生态保护红线；</w:t>
                  </w:r>
                </w:p>
                <w:p w14:paraId="3B5FDD7C">
                  <w:pPr>
                    <w:pStyle w:val="73"/>
                    <w:jc w:val="both"/>
                    <w:rPr>
                      <w:color w:val="000000" w:themeColor="text1"/>
                    </w:rPr>
                  </w:pPr>
                  <w:r>
                    <w:rPr>
                      <w:rFonts w:hint="eastAsia"/>
                      <w:color w:val="000000" w:themeColor="text1"/>
                    </w:rPr>
                    <w:t>2.</w:t>
                  </w:r>
                  <w:r>
                    <w:rPr>
                      <w:color w:val="000000" w:themeColor="text1"/>
                    </w:rPr>
                    <w:t>禁止在公园绿地、广场绿地等规划绿地范围内开展与绿地无关的建设活动，禁止占用河道范围，禁止占用公路、铁路用地红线；</w:t>
                  </w:r>
                </w:p>
                <w:p w14:paraId="2263FC43">
                  <w:pPr>
                    <w:pStyle w:val="73"/>
                    <w:jc w:val="both"/>
                    <w:rPr>
                      <w:color w:val="000000" w:themeColor="text1"/>
                    </w:rPr>
                  </w:pPr>
                  <w:r>
                    <w:rPr>
                      <w:rFonts w:hint="eastAsia"/>
                      <w:color w:val="000000" w:themeColor="text1"/>
                    </w:rPr>
                    <w:t>3.</w:t>
                  </w:r>
                  <w:r>
                    <w:rPr>
                      <w:color w:val="000000" w:themeColor="text1"/>
                    </w:rPr>
                    <w:t>曹妃甸南堡省级重要湿地保留现状交通设施用地，其他区域保留现状湿地用地功能；</w:t>
                  </w:r>
                </w:p>
                <w:p w14:paraId="30DF5626">
                  <w:pPr>
                    <w:pStyle w:val="73"/>
                    <w:jc w:val="both"/>
                    <w:rPr>
                      <w:color w:val="000000" w:themeColor="text1"/>
                    </w:rPr>
                  </w:pPr>
                  <w:r>
                    <w:rPr>
                      <w:rFonts w:hint="eastAsia"/>
                      <w:color w:val="000000" w:themeColor="text1"/>
                    </w:rPr>
                    <w:t>4.</w:t>
                  </w:r>
                  <w:r>
                    <w:rPr>
                      <w:color w:val="000000" w:themeColor="text1"/>
                    </w:rPr>
                    <w:t>园区内现有村庄在完成安置或搬迁工作前，禁止占用现状村庄建设用地建设工业项目，入区工业项目需满足大气环境防护距离要求；</w:t>
                  </w:r>
                </w:p>
                <w:p w14:paraId="34CD3B25">
                  <w:pPr>
                    <w:pStyle w:val="73"/>
                    <w:jc w:val="both"/>
                    <w:rPr>
                      <w:color w:val="000000" w:themeColor="text1"/>
                    </w:rPr>
                  </w:pPr>
                  <w:r>
                    <w:rPr>
                      <w:rFonts w:hint="eastAsia"/>
                      <w:color w:val="000000" w:themeColor="text1"/>
                    </w:rPr>
                    <w:t>5.</w:t>
                  </w:r>
                  <w:r>
                    <w:rPr>
                      <w:color w:val="000000" w:themeColor="text1"/>
                    </w:rPr>
                    <w:t>严格按照开发区规划产业布局进行项目准入，不符合产业布局的现有企业按照本评价提出的管控要求进一步加强管理；</w:t>
                  </w:r>
                </w:p>
                <w:p w14:paraId="68C523D6">
                  <w:pPr>
                    <w:pStyle w:val="73"/>
                    <w:jc w:val="both"/>
                    <w:rPr>
                      <w:color w:val="000000" w:themeColor="text1"/>
                    </w:rPr>
                  </w:pPr>
                  <w:r>
                    <w:rPr>
                      <w:color w:val="000000" w:themeColor="text1"/>
                    </w:rPr>
                    <w:t>6.在规划区西侧靠近湿地及鸟类自然保护区的西侧区域内（综合服务区、先进装备制造区）限制建筑物高度30米；</w:t>
                  </w:r>
                </w:p>
                <w:p w14:paraId="7B0E0DD8">
                  <w:pPr>
                    <w:pStyle w:val="73"/>
                    <w:jc w:val="both"/>
                    <w:rPr>
                      <w:color w:val="000000" w:themeColor="text1"/>
                    </w:rPr>
                  </w:pPr>
                  <w:r>
                    <w:rPr>
                      <w:color w:val="000000" w:themeColor="text1"/>
                    </w:rPr>
                    <w:t>7.严格执行规划环评及其批复文件规定的环境准入条件；</w:t>
                  </w:r>
                </w:p>
                <w:p w14:paraId="035AC007">
                  <w:pPr>
                    <w:pStyle w:val="73"/>
                    <w:jc w:val="both"/>
                    <w:rPr>
                      <w:color w:val="000000" w:themeColor="text1"/>
                    </w:rPr>
                  </w:pPr>
                  <w:r>
                    <w:rPr>
                      <w:color w:val="000000" w:themeColor="text1"/>
                    </w:rPr>
                    <w:t>8.清洁生产水平达不到国内先进水平及以上的新建项目禁止入区。</w:t>
                  </w:r>
                </w:p>
              </w:tc>
              <w:tc>
                <w:tcPr>
                  <w:tcW w:w="1268" w:type="pct"/>
                  <w:tcBorders>
                    <w:tl2br w:val="nil"/>
                    <w:tr2bl w:val="nil"/>
                  </w:tcBorders>
                  <w:vAlign w:val="center"/>
                </w:tcPr>
                <w:p w14:paraId="389262A2">
                  <w:pPr>
                    <w:pStyle w:val="73"/>
                    <w:jc w:val="both"/>
                    <w:rPr>
                      <w:color w:val="000000" w:themeColor="text1"/>
                    </w:rPr>
                  </w:pPr>
                  <w:r>
                    <w:rPr>
                      <w:rFonts w:hint="eastAsia"/>
                      <w:color w:val="000000" w:themeColor="text1"/>
                    </w:rPr>
                    <w:t>1.项目不占用生态保护红线；</w:t>
                  </w:r>
                </w:p>
                <w:p w14:paraId="693FC212">
                  <w:pPr>
                    <w:pStyle w:val="73"/>
                    <w:jc w:val="both"/>
                    <w:rPr>
                      <w:color w:val="000000" w:themeColor="text1"/>
                    </w:rPr>
                  </w:pPr>
                  <w:r>
                    <w:rPr>
                      <w:rFonts w:hint="eastAsia"/>
                      <w:color w:val="000000" w:themeColor="text1"/>
                    </w:rPr>
                    <w:t>2.项目不占用规划绿地范围；</w:t>
                  </w:r>
                </w:p>
                <w:p w14:paraId="29F4C687">
                  <w:pPr>
                    <w:pStyle w:val="73"/>
                    <w:jc w:val="both"/>
                    <w:rPr>
                      <w:color w:val="000000" w:themeColor="text1"/>
                    </w:rPr>
                  </w:pPr>
                  <w:r>
                    <w:rPr>
                      <w:rFonts w:hint="eastAsia"/>
                      <w:color w:val="000000" w:themeColor="text1"/>
                    </w:rPr>
                    <w:t>3.不涉及；</w:t>
                  </w:r>
                </w:p>
                <w:p w14:paraId="058955C3">
                  <w:pPr>
                    <w:pStyle w:val="73"/>
                    <w:jc w:val="both"/>
                    <w:rPr>
                      <w:color w:val="000000" w:themeColor="text1"/>
                    </w:rPr>
                  </w:pPr>
                  <w:r>
                    <w:rPr>
                      <w:rFonts w:hint="eastAsia"/>
                      <w:color w:val="000000" w:themeColor="text1"/>
                    </w:rPr>
                    <w:t>4.项目不占用村庄，无大气环境防护距离要求；</w:t>
                  </w:r>
                </w:p>
                <w:p w14:paraId="62E9002D">
                  <w:pPr>
                    <w:pStyle w:val="73"/>
                    <w:jc w:val="both"/>
                    <w:rPr>
                      <w:color w:val="000000" w:themeColor="text1"/>
                    </w:rPr>
                  </w:pPr>
                  <w:r>
                    <w:rPr>
                      <w:rFonts w:hint="eastAsia"/>
                      <w:color w:val="000000" w:themeColor="text1"/>
                    </w:rPr>
                    <w:t>5.项目符合园区规划产业布局；</w:t>
                  </w:r>
                </w:p>
                <w:p w14:paraId="02AA6856">
                  <w:pPr>
                    <w:pStyle w:val="73"/>
                    <w:jc w:val="both"/>
                    <w:rPr>
                      <w:color w:val="000000" w:themeColor="text1"/>
                    </w:rPr>
                  </w:pPr>
                  <w:r>
                    <w:rPr>
                      <w:rFonts w:hint="eastAsia"/>
                      <w:color w:val="000000" w:themeColor="text1"/>
                    </w:rPr>
                    <w:t>6.不涉及；</w:t>
                  </w:r>
                </w:p>
                <w:p w14:paraId="35148082">
                  <w:pPr>
                    <w:pStyle w:val="73"/>
                    <w:jc w:val="both"/>
                    <w:rPr>
                      <w:color w:val="000000" w:themeColor="text1"/>
                    </w:rPr>
                  </w:pPr>
                  <w:r>
                    <w:rPr>
                      <w:rFonts w:hint="eastAsia"/>
                      <w:color w:val="000000" w:themeColor="text1"/>
                    </w:rPr>
                    <w:t>7.项目满足</w:t>
                  </w:r>
                  <w:r>
                    <w:rPr>
                      <w:color w:val="000000" w:themeColor="text1"/>
                    </w:rPr>
                    <w:t>规划环评及其批复文件规定的环境准入条件</w:t>
                  </w:r>
                  <w:r>
                    <w:rPr>
                      <w:rFonts w:hint="eastAsia"/>
                      <w:color w:val="000000" w:themeColor="text1"/>
                    </w:rPr>
                    <w:t>；</w:t>
                  </w:r>
                </w:p>
                <w:p w14:paraId="05AD4A81">
                  <w:pPr>
                    <w:pStyle w:val="73"/>
                    <w:jc w:val="both"/>
                    <w:rPr>
                      <w:color w:val="000000" w:themeColor="text1"/>
                    </w:rPr>
                  </w:pPr>
                  <w:r>
                    <w:rPr>
                      <w:rFonts w:hint="eastAsia"/>
                      <w:color w:val="000000" w:themeColor="text1"/>
                    </w:rPr>
                    <w:t>8.项目不属于新建项目</w:t>
                  </w:r>
                </w:p>
              </w:tc>
              <w:tc>
                <w:tcPr>
                  <w:tcW w:w="395" w:type="pct"/>
                  <w:tcBorders>
                    <w:tl2br w:val="nil"/>
                    <w:tr2bl w:val="nil"/>
                  </w:tcBorders>
                  <w:vAlign w:val="center"/>
                </w:tcPr>
                <w:p w14:paraId="60C811CE">
                  <w:pPr>
                    <w:pStyle w:val="73"/>
                    <w:rPr>
                      <w:color w:val="000000" w:themeColor="text1"/>
                    </w:rPr>
                  </w:pPr>
                  <w:r>
                    <w:rPr>
                      <w:rFonts w:hint="eastAsia"/>
                      <w:color w:val="000000" w:themeColor="text1"/>
                    </w:rPr>
                    <w:t>符合</w:t>
                  </w:r>
                </w:p>
              </w:tc>
            </w:tr>
            <w:tr w14:paraId="433E02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04" w:type="pct"/>
                  <w:vMerge w:val="continue"/>
                  <w:tcBorders>
                    <w:tl2br w:val="nil"/>
                    <w:tr2bl w:val="nil"/>
                  </w:tcBorders>
                  <w:vAlign w:val="center"/>
                </w:tcPr>
                <w:p w14:paraId="3A98E2E3">
                  <w:pPr>
                    <w:pStyle w:val="73"/>
                    <w:rPr>
                      <w:color w:val="000000" w:themeColor="text1"/>
                    </w:rPr>
                  </w:pPr>
                </w:p>
              </w:tc>
              <w:tc>
                <w:tcPr>
                  <w:tcW w:w="326" w:type="pct"/>
                  <w:vMerge w:val="continue"/>
                  <w:tcBorders>
                    <w:tl2br w:val="nil"/>
                    <w:tr2bl w:val="nil"/>
                  </w:tcBorders>
                  <w:vAlign w:val="center"/>
                </w:tcPr>
                <w:p w14:paraId="4480B137">
                  <w:pPr>
                    <w:pStyle w:val="73"/>
                    <w:rPr>
                      <w:color w:val="000000" w:themeColor="text1"/>
                    </w:rPr>
                  </w:pPr>
                </w:p>
              </w:tc>
              <w:tc>
                <w:tcPr>
                  <w:tcW w:w="341" w:type="pct"/>
                  <w:tcBorders>
                    <w:tl2br w:val="nil"/>
                    <w:tr2bl w:val="nil"/>
                  </w:tcBorders>
                  <w:vAlign w:val="center"/>
                </w:tcPr>
                <w:p w14:paraId="6126E9E6">
                  <w:pPr>
                    <w:pStyle w:val="73"/>
                    <w:jc w:val="both"/>
                    <w:rPr>
                      <w:color w:val="000000" w:themeColor="text1"/>
                    </w:rPr>
                  </w:pPr>
                  <w:r>
                    <w:rPr>
                      <w:rFonts w:hint="eastAsia"/>
                      <w:color w:val="000000" w:themeColor="text1"/>
                    </w:rPr>
                    <w:t>铝材料产业区（原</w:t>
                  </w:r>
                  <w:r>
                    <w:rPr>
                      <w:color w:val="000000" w:themeColor="text1"/>
                    </w:rPr>
                    <w:t>无机化工产业区</w:t>
                  </w:r>
                  <w:r>
                    <w:rPr>
                      <w:rFonts w:hint="eastAsia"/>
                      <w:color w:val="000000" w:themeColor="text1"/>
                    </w:rPr>
                    <w:t>）</w:t>
                  </w:r>
                </w:p>
              </w:tc>
              <w:tc>
                <w:tcPr>
                  <w:tcW w:w="2463" w:type="pct"/>
                  <w:tcBorders>
                    <w:tl2br w:val="nil"/>
                    <w:tr2bl w:val="nil"/>
                  </w:tcBorders>
                  <w:vAlign w:val="center"/>
                </w:tcPr>
                <w:p w14:paraId="6FEC4C6A">
                  <w:pPr>
                    <w:pStyle w:val="73"/>
                    <w:jc w:val="both"/>
                    <w:rPr>
                      <w:color w:val="000000" w:themeColor="text1"/>
                    </w:rPr>
                  </w:pPr>
                  <w:r>
                    <w:rPr>
                      <w:rFonts w:hint="eastAsia"/>
                      <w:color w:val="000000" w:themeColor="text1"/>
                    </w:rPr>
                    <w:t>氢氧化铝产能上限调整为1700万t/a，并向下延伸发展产业链条，在满足产业政策及产能置换要求前提下，可发展氧化铝，氧化铝产能上限设定为1260万t/a。</w:t>
                  </w:r>
                </w:p>
                <w:p w14:paraId="34B4E33F">
                  <w:pPr>
                    <w:pStyle w:val="73"/>
                    <w:jc w:val="both"/>
                    <w:rPr>
                      <w:color w:val="000000" w:themeColor="text1"/>
                    </w:rPr>
                  </w:pPr>
                  <w:r>
                    <w:rPr>
                      <w:rFonts w:hint="eastAsia"/>
                      <w:color w:val="000000" w:themeColor="text1"/>
                    </w:rPr>
                    <w:t>在落实产能置换前提下，规划方可发展氧化铝产业。</w:t>
                  </w:r>
                </w:p>
                <w:p w14:paraId="6A27756C">
                  <w:pPr>
                    <w:pStyle w:val="73"/>
                    <w:jc w:val="both"/>
                    <w:rPr>
                      <w:color w:val="000000" w:themeColor="text1"/>
                    </w:rPr>
                  </w:pPr>
                  <w:r>
                    <w:rPr>
                      <w:color w:val="000000" w:themeColor="text1"/>
                    </w:rPr>
                    <w:t>大宗物料优先采用管廊输送方式，短途接驳优先使用新能源车辆运输。</w:t>
                  </w:r>
                </w:p>
              </w:tc>
              <w:tc>
                <w:tcPr>
                  <w:tcW w:w="1268" w:type="pct"/>
                  <w:tcBorders>
                    <w:tl2br w:val="nil"/>
                    <w:tr2bl w:val="nil"/>
                  </w:tcBorders>
                  <w:vAlign w:val="center"/>
                </w:tcPr>
                <w:p w14:paraId="6396C024">
                  <w:pPr>
                    <w:pStyle w:val="73"/>
                    <w:jc w:val="both"/>
                    <w:rPr>
                      <w:color w:val="000000" w:themeColor="text1"/>
                    </w:rPr>
                  </w:pPr>
                  <w:r>
                    <w:rPr>
                      <w:rFonts w:hint="eastAsia"/>
                      <w:color w:val="000000" w:themeColor="text1"/>
                    </w:rPr>
                    <w:t>项目建设危废库，不是涉及氧化铝产能变化及大宗物料输送。</w:t>
                  </w:r>
                </w:p>
              </w:tc>
              <w:tc>
                <w:tcPr>
                  <w:tcW w:w="395" w:type="pct"/>
                  <w:tcBorders>
                    <w:tl2br w:val="nil"/>
                    <w:tr2bl w:val="nil"/>
                  </w:tcBorders>
                  <w:vAlign w:val="center"/>
                </w:tcPr>
                <w:p w14:paraId="3AC3500A">
                  <w:pPr>
                    <w:pStyle w:val="73"/>
                    <w:rPr>
                      <w:color w:val="000000" w:themeColor="text1"/>
                    </w:rPr>
                  </w:pPr>
                  <w:r>
                    <w:rPr>
                      <w:rFonts w:hint="eastAsia"/>
                      <w:color w:val="000000" w:themeColor="text1"/>
                    </w:rPr>
                    <w:t>符合</w:t>
                  </w:r>
                </w:p>
              </w:tc>
            </w:tr>
            <w:tr w14:paraId="36BD31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04" w:type="pct"/>
                  <w:vMerge w:val="continue"/>
                  <w:tcBorders>
                    <w:tl2br w:val="nil"/>
                    <w:tr2bl w:val="nil"/>
                  </w:tcBorders>
                  <w:vAlign w:val="center"/>
                </w:tcPr>
                <w:p w14:paraId="3119C235">
                  <w:pPr>
                    <w:pStyle w:val="73"/>
                    <w:rPr>
                      <w:color w:val="000000" w:themeColor="text1"/>
                    </w:rPr>
                  </w:pPr>
                </w:p>
              </w:tc>
              <w:tc>
                <w:tcPr>
                  <w:tcW w:w="326" w:type="pct"/>
                  <w:vMerge w:val="continue"/>
                  <w:tcBorders>
                    <w:tl2br w:val="nil"/>
                    <w:tr2bl w:val="nil"/>
                  </w:tcBorders>
                  <w:vAlign w:val="center"/>
                </w:tcPr>
                <w:p w14:paraId="4EE5A123">
                  <w:pPr>
                    <w:pStyle w:val="73"/>
                    <w:rPr>
                      <w:color w:val="000000" w:themeColor="text1"/>
                    </w:rPr>
                  </w:pPr>
                </w:p>
              </w:tc>
              <w:tc>
                <w:tcPr>
                  <w:tcW w:w="341" w:type="pct"/>
                  <w:tcBorders>
                    <w:tl2br w:val="nil"/>
                    <w:tr2bl w:val="nil"/>
                  </w:tcBorders>
                  <w:vAlign w:val="center"/>
                </w:tcPr>
                <w:p w14:paraId="407A9D0F">
                  <w:pPr>
                    <w:pStyle w:val="73"/>
                    <w:jc w:val="both"/>
                    <w:rPr>
                      <w:color w:val="000000" w:themeColor="text1"/>
                    </w:rPr>
                  </w:pPr>
                  <w:r>
                    <w:rPr>
                      <w:color w:val="000000" w:themeColor="text1"/>
                    </w:rPr>
                    <w:t>节能环保产业区</w:t>
                  </w:r>
                </w:p>
              </w:tc>
              <w:tc>
                <w:tcPr>
                  <w:tcW w:w="2463" w:type="pct"/>
                  <w:tcBorders>
                    <w:tl2br w:val="nil"/>
                    <w:tr2bl w:val="nil"/>
                  </w:tcBorders>
                  <w:vAlign w:val="center"/>
                </w:tcPr>
                <w:p w14:paraId="007C24AD">
                  <w:pPr>
                    <w:pStyle w:val="73"/>
                    <w:jc w:val="both"/>
                    <w:rPr>
                      <w:color w:val="000000" w:themeColor="text1"/>
                    </w:rPr>
                  </w:pPr>
                  <w:r>
                    <w:rPr>
                      <w:color w:val="000000" w:themeColor="text1"/>
                    </w:rPr>
                    <w:t>产业区中磷酸铁、磷酸铁锂产能上限为50万t/a，优先发展《产业结构调整指导目录》鼓励类产品。</w:t>
                  </w:r>
                </w:p>
              </w:tc>
              <w:tc>
                <w:tcPr>
                  <w:tcW w:w="1268" w:type="pct"/>
                  <w:tcBorders>
                    <w:tl2br w:val="nil"/>
                    <w:tr2bl w:val="nil"/>
                  </w:tcBorders>
                  <w:vAlign w:val="center"/>
                </w:tcPr>
                <w:p w14:paraId="4CB1FD1F">
                  <w:pPr>
                    <w:pStyle w:val="73"/>
                    <w:jc w:val="both"/>
                    <w:rPr>
                      <w:color w:val="000000" w:themeColor="text1"/>
                    </w:rPr>
                  </w:pPr>
                  <w:r>
                    <w:rPr>
                      <w:rFonts w:hint="eastAsia"/>
                      <w:color w:val="000000" w:themeColor="text1"/>
                    </w:rPr>
                    <w:t>不涉及</w:t>
                  </w:r>
                </w:p>
              </w:tc>
              <w:tc>
                <w:tcPr>
                  <w:tcW w:w="395" w:type="pct"/>
                  <w:tcBorders>
                    <w:tl2br w:val="nil"/>
                    <w:tr2bl w:val="nil"/>
                  </w:tcBorders>
                  <w:vAlign w:val="center"/>
                </w:tcPr>
                <w:p w14:paraId="1A194736">
                  <w:pPr>
                    <w:pStyle w:val="73"/>
                    <w:rPr>
                      <w:color w:val="000000" w:themeColor="text1"/>
                    </w:rPr>
                  </w:pPr>
                  <w:r>
                    <w:rPr>
                      <w:rFonts w:hint="eastAsia"/>
                      <w:color w:val="000000" w:themeColor="text1"/>
                    </w:rPr>
                    <w:t>符合</w:t>
                  </w:r>
                </w:p>
              </w:tc>
            </w:tr>
            <w:tr w14:paraId="0B6C98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04" w:type="pct"/>
                  <w:vMerge w:val="continue"/>
                  <w:tcBorders>
                    <w:tl2br w:val="nil"/>
                    <w:tr2bl w:val="nil"/>
                  </w:tcBorders>
                  <w:vAlign w:val="center"/>
                </w:tcPr>
                <w:p w14:paraId="22F08C55">
                  <w:pPr>
                    <w:pStyle w:val="73"/>
                    <w:rPr>
                      <w:color w:val="000000" w:themeColor="text1"/>
                    </w:rPr>
                  </w:pPr>
                </w:p>
              </w:tc>
              <w:tc>
                <w:tcPr>
                  <w:tcW w:w="326" w:type="pct"/>
                  <w:vMerge w:val="continue"/>
                  <w:tcBorders>
                    <w:tl2br w:val="nil"/>
                    <w:tr2bl w:val="nil"/>
                  </w:tcBorders>
                  <w:vAlign w:val="center"/>
                </w:tcPr>
                <w:p w14:paraId="19B5806C">
                  <w:pPr>
                    <w:pStyle w:val="73"/>
                    <w:rPr>
                      <w:color w:val="000000" w:themeColor="text1"/>
                    </w:rPr>
                  </w:pPr>
                </w:p>
              </w:tc>
              <w:tc>
                <w:tcPr>
                  <w:tcW w:w="341" w:type="pct"/>
                  <w:tcBorders>
                    <w:tl2br w:val="nil"/>
                    <w:tr2bl w:val="nil"/>
                  </w:tcBorders>
                  <w:vAlign w:val="center"/>
                </w:tcPr>
                <w:p w14:paraId="5C766C50">
                  <w:pPr>
                    <w:pStyle w:val="73"/>
                    <w:jc w:val="both"/>
                    <w:rPr>
                      <w:color w:val="000000" w:themeColor="text1"/>
                    </w:rPr>
                  </w:pPr>
                  <w:r>
                    <w:rPr>
                      <w:color w:val="000000" w:themeColor="text1"/>
                    </w:rPr>
                    <w:t>固废资源综合利用区</w:t>
                  </w:r>
                </w:p>
              </w:tc>
              <w:tc>
                <w:tcPr>
                  <w:tcW w:w="2463" w:type="pct"/>
                  <w:tcBorders>
                    <w:tl2br w:val="nil"/>
                    <w:tr2bl w:val="nil"/>
                  </w:tcBorders>
                  <w:vAlign w:val="center"/>
                </w:tcPr>
                <w:p w14:paraId="0D5AB689">
                  <w:pPr>
                    <w:pStyle w:val="73"/>
                    <w:jc w:val="both"/>
                    <w:rPr>
                      <w:color w:val="000000" w:themeColor="text1"/>
                    </w:rPr>
                  </w:pPr>
                  <w:r>
                    <w:rPr>
                      <w:color w:val="000000" w:themeColor="text1"/>
                    </w:rPr>
                    <w:t>赤泥须进行提铁</w:t>
                  </w:r>
                  <w:r>
                    <w:rPr>
                      <w:rFonts w:hint="eastAsia"/>
                      <w:color w:val="000000" w:themeColor="text1"/>
                    </w:rPr>
                    <w:t>、提砂</w:t>
                  </w:r>
                  <w:r>
                    <w:rPr>
                      <w:color w:val="000000" w:themeColor="text1"/>
                    </w:rPr>
                    <w:t>减量化处理，鼓励制砖、制路基、填料等其它利用方式进行综合利用，固废暂存周转区域满足《一般工业固体废物贮存和填埋污染控制标准》（GB18599-2020）中第Ⅱ类一般工业固体废物的贮存场选址要求。</w:t>
                  </w:r>
                </w:p>
              </w:tc>
              <w:tc>
                <w:tcPr>
                  <w:tcW w:w="1268" w:type="pct"/>
                  <w:tcBorders>
                    <w:tl2br w:val="nil"/>
                    <w:tr2bl w:val="nil"/>
                  </w:tcBorders>
                  <w:vAlign w:val="center"/>
                </w:tcPr>
                <w:p w14:paraId="1BB4B8A4">
                  <w:pPr>
                    <w:pStyle w:val="73"/>
                    <w:jc w:val="both"/>
                    <w:rPr>
                      <w:color w:val="000000" w:themeColor="text1"/>
                    </w:rPr>
                  </w:pPr>
                  <w:r>
                    <w:rPr>
                      <w:rFonts w:hint="eastAsia"/>
                      <w:color w:val="000000" w:themeColor="text1"/>
                    </w:rPr>
                    <w:t>不涉及</w:t>
                  </w:r>
                </w:p>
              </w:tc>
              <w:tc>
                <w:tcPr>
                  <w:tcW w:w="395" w:type="pct"/>
                  <w:tcBorders>
                    <w:tl2br w:val="nil"/>
                    <w:tr2bl w:val="nil"/>
                  </w:tcBorders>
                  <w:vAlign w:val="center"/>
                </w:tcPr>
                <w:p w14:paraId="0A82285E">
                  <w:pPr>
                    <w:pStyle w:val="73"/>
                    <w:rPr>
                      <w:color w:val="000000" w:themeColor="text1"/>
                    </w:rPr>
                  </w:pPr>
                  <w:r>
                    <w:rPr>
                      <w:rFonts w:hint="eastAsia"/>
                      <w:color w:val="000000" w:themeColor="text1"/>
                    </w:rPr>
                    <w:t>符合</w:t>
                  </w:r>
                </w:p>
              </w:tc>
            </w:tr>
            <w:tr w14:paraId="538DAF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04" w:type="pct"/>
                  <w:vMerge w:val="continue"/>
                  <w:tcBorders>
                    <w:tl2br w:val="nil"/>
                    <w:tr2bl w:val="nil"/>
                  </w:tcBorders>
                  <w:vAlign w:val="center"/>
                </w:tcPr>
                <w:p w14:paraId="00342B7A">
                  <w:pPr>
                    <w:pStyle w:val="73"/>
                    <w:rPr>
                      <w:color w:val="000000" w:themeColor="text1"/>
                    </w:rPr>
                  </w:pPr>
                </w:p>
              </w:tc>
              <w:tc>
                <w:tcPr>
                  <w:tcW w:w="326" w:type="pct"/>
                  <w:vMerge w:val="continue"/>
                  <w:tcBorders>
                    <w:tl2br w:val="nil"/>
                    <w:tr2bl w:val="nil"/>
                  </w:tcBorders>
                  <w:vAlign w:val="center"/>
                </w:tcPr>
                <w:p w14:paraId="3CD44101">
                  <w:pPr>
                    <w:pStyle w:val="73"/>
                    <w:rPr>
                      <w:color w:val="000000" w:themeColor="text1"/>
                    </w:rPr>
                  </w:pPr>
                </w:p>
              </w:tc>
              <w:tc>
                <w:tcPr>
                  <w:tcW w:w="341" w:type="pct"/>
                  <w:tcBorders>
                    <w:tl2br w:val="nil"/>
                    <w:tr2bl w:val="nil"/>
                  </w:tcBorders>
                  <w:vAlign w:val="center"/>
                </w:tcPr>
                <w:p w14:paraId="40D789D8">
                  <w:pPr>
                    <w:pStyle w:val="73"/>
                    <w:jc w:val="both"/>
                    <w:rPr>
                      <w:color w:val="000000" w:themeColor="text1"/>
                    </w:rPr>
                  </w:pPr>
                  <w:r>
                    <w:rPr>
                      <w:color w:val="000000" w:themeColor="text1"/>
                    </w:rPr>
                    <w:t>绿色精品钢及加工产业区</w:t>
                  </w:r>
                </w:p>
              </w:tc>
              <w:tc>
                <w:tcPr>
                  <w:tcW w:w="2463" w:type="pct"/>
                  <w:tcBorders>
                    <w:tl2br w:val="nil"/>
                    <w:tr2bl w:val="nil"/>
                  </w:tcBorders>
                  <w:vAlign w:val="center"/>
                </w:tcPr>
                <w:p w14:paraId="6F7AA60E">
                  <w:pPr>
                    <w:pStyle w:val="73"/>
                    <w:jc w:val="both"/>
                    <w:rPr>
                      <w:color w:val="000000" w:themeColor="text1"/>
                    </w:rPr>
                  </w:pPr>
                  <w:r>
                    <w:rPr>
                      <w:color w:val="000000" w:themeColor="text1"/>
                    </w:rPr>
                    <w:t>①禁止不符合《钢铁行业规范条件(2015年修订)》及其他相关行业准入条件的建设项目入区。</w:t>
                  </w:r>
                </w:p>
                <w:p w14:paraId="76D1CC1D">
                  <w:pPr>
                    <w:pStyle w:val="73"/>
                    <w:jc w:val="both"/>
                    <w:rPr>
                      <w:color w:val="000000" w:themeColor="text1"/>
                    </w:rPr>
                  </w:pPr>
                  <w:r>
                    <w:rPr>
                      <w:color w:val="000000" w:themeColor="text1"/>
                    </w:rPr>
                    <w:t>②除退城搬迁产能外，禁止新建和扩建钢铁、炼焦、普通黑色金属铸造项目。园区内炼铁产能不得高于434万吨，炼钢产能不得高于440万吨。</w:t>
                  </w:r>
                </w:p>
              </w:tc>
              <w:tc>
                <w:tcPr>
                  <w:tcW w:w="1268" w:type="pct"/>
                  <w:tcBorders>
                    <w:tl2br w:val="nil"/>
                    <w:tr2bl w:val="nil"/>
                  </w:tcBorders>
                  <w:vAlign w:val="center"/>
                </w:tcPr>
                <w:p w14:paraId="12C43B72">
                  <w:pPr>
                    <w:pStyle w:val="73"/>
                    <w:jc w:val="both"/>
                    <w:rPr>
                      <w:color w:val="000000" w:themeColor="text1"/>
                    </w:rPr>
                  </w:pPr>
                  <w:r>
                    <w:rPr>
                      <w:rFonts w:hint="eastAsia"/>
                      <w:color w:val="000000" w:themeColor="text1"/>
                    </w:rPr>
                    <w:t>不涉及</w:t>
                  </w:r>
                </w:p>
              </w:tc>
              <w:tc>
                <w:tcPr>
                  <w:tcW w:w="395" w:type="pct"/>
                  <w:tcBorders>
                    <w:tl2br w:val="nil"/>
                    <w:tr2bl w:val="nil"/>
                  </w:tcBorders>
                  <w:vAlign w:val="center"/>
                </w:tcPr>
                <w:p w14:paraId="198AA1C3">
                  <w:pPr>
                    <w:pStyle w:val="73"/>
                    <w:rPr>
                      <w:color w:val="000000" w:themeColor="text1"/>
                    </w:rPr>
                  </w:pPr>
                  <w:r>
                    <w:rPr>
                      <w:rFonts w:hint="eastAsia"/>
                      <w:color w:val="000000" w:themeColor="text1"/>
                    </w:rPr>
                    <w:t>/</w:t>
                  </w:r>
                </w:p>
              </w:tc>
            </w:tr>
            <w:tr w14:paraId="11578E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04" w:type="pct"/>
                  <w:vMerge w:val="continue"/>
                  <w:tcBorders>
                    <w:tl2br w:val="nil"/>
                    <w:tr2bl w:val="nil"/>
                  </w:tcBorders>
                  <w:vAlign w:val="center"/>
                </w:tcPr>
                <w:p w14:paraId="4EC14814">
                  <w:pPr>
                    <w:pStyle w:val="73"/>
                    <w:rPr>
                      <w:color w:val="000000" w:themeColor="text1"/>
                    </w:rPr>
                  </w:pPr>
                </w:p>
              </w:tc>
              <w:tc>
                <w:tcPr>
                  <w:tcW w:w="326" w:type="pct"/>
                  <w:vMerge w:val="continue"/>
                  <w:tcBorders>
                    <w:tl2br w:val="nil"/>
                    <w:tr2bl w:val="nil"/>
                  </w:tcBorders>
                  <w:vAlign w:val="center"/>
                </w:tcPr>
                <w:p w14:paraId="1C1C71B9">
                  <w:pPr>
                    <w:pStyle w:val="73"/>
                    <w:rPr>
                      <w:color w:val="000000" w:themeColor="text1"/>
                    </w:rPr>
                  </w:pPr>
                </w:p>
              </w:tc>
              <w:tc>
                <w:tcPr>
                  <w:tcW w:w="341" w:type="pct"/>
                  <w:tcBorders>
                    <w:tl2br w:val="nil"/>
                    <w:tr2bl w:val="nil"/>
                  </w:tcBorders>
                  <w:vAlign w:val="center"/>
                </w:tcPr>
                <w:p w14:paraId="3DA51E01">
                  <w:pPr>
                    <w:pStyle w:val="73"/>
                    <w:jc w:val="both"/>
                    <w:rPr>
                      <w:color w:val="000000" w:themeColor="text1"/>
                    </w:rPr>
                  </w:pPr>
                  <w:r>
                    <w:rPr>
                      <w:color w:val="000000" w:themeColor="text1"/>
                    </w:rPr>
                    <w:t>合金及钢铁深加工产业区</w:t>
                  </w:r>
                </w:p>
              </w:tc>
              <w:tc>
                <w:tcPr>
                  <w:tcW w:w="2463" w:type="pct"/>
                  <w:tcBorders>
                    <w:tl2br w:val="nil"/>
                    <w:tr2bl w:val="nil"/>
                  </w:tcBorders>
                  <w:vAlign w:val="center"/>
                </w:tcPr>
                <w:p w14:paraId="4F2CAA21">
                  <w:pPr>
                    <w:pStyle w:val="73"/>
                    <w:jc w:val="both"/>
                    <w:rPr>
                      <w:color w:val="000000" w:themeColor="text1"/>
                    </w:rPr>
                  </w:pPr>
                  <w:r>
                    <w:rPr>
                      <w:color w:val="000000" w:themeColor="text1"/>
                    </w:rPr>
                    <w:t>铁合金项目维持年产88万吨规模，不得扩建，且需满足“等量置换”要求。不锈钢产能不得高于102万吨。</w:t>
                  </w:r>
                </w:p>
              </w:tc>
              <w:tc>
                <w:tcPr>
                  <w:tcW w:w="1268" w:type="pct"/>
                  <w:tcBorders>
                    <w:tl2br w:val="nil"/>
                    <w:tr2bl w:val="nil"/>
                  </w:tcBorders>
                  <w:vAlign w:val="center"/>
                </w:tcPr>
                <w:p w14:paraId="6B2B5707">
                  <w:pPr>
                    <w:pStyle w:val="73"/>
                    <w:jc w:val="both"/>
                    <w:rPr>
                      <w:color w:val="000000" w:themeColor="text1"/>
                    </w:rPr>
                  </w:pPr>
                  <w:r>
                    <w:rPr>
                      <w:rFonts w:hint="eastAsia"/>
                      <w:color w:val="000000" w:themeColor="text1"/>
                    </w:rPr>
                    <w:t>不涉及</w:t>
                  </w:r>
                </w:p>
              </w:tc>
              <w:tc>
                <w:tcPr>
                  <w:tcW w:w="395" w:type="pct"/>
                  <w:tcBorders>
                    <w:tl2br w:val="nil"/>
                    <w:tr2bl w:val="nil"/>
                  </w:tcBorders>
                  <w:vAlign w:val="center"/>
                </w:tcPr>
                <w:p w14:paraId="2513E5DE">
                  <w:pPr>
                    <w:pStyle w:val="73"/>
                    <w:rPr>
                      <w:color w:val="000000" w:themeColor="text1"/>
                    </w:rPr>
                  </w:pPr>
                  <w:r>
                    <w:rPr>
                      <w:rFonts w:hint="eastAsia"/>
                      <w:color w:val="000000" w:themeColor="text1"/>
                    </w:rPr>
                    <w:t>/</w:t>
                  </w:r>
                </w:p>
              </w:tc>
            </w:tr>
            <w:tr w14:paraId="0690E4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04" w:type="pct"/>
                  <w:vMerge w:val="continue"/>
                  <w:tcBorders>
                    <w:tl2br w:val="nil"/>
                    <w:tr2bl w:val="nil"/>
                  </w:tcBorders>
                  <w:vAlign w:val="center"/>
                </w:tcPr>
                <w:p w14:paraId="247D73A9">
                  <w:pPr>
                    <w:pStyle w:val="73"/>
                    <w:rPr>
                      <w:color w:val="000000" w:themeColor="text1"/>
                    </w:rPr>
                  </w:pPr>
                </w:p>
              </w:tc>
              <w:tc>
                <w:tcPr>
                  <w:tcW w:w="326" w:type="pct"/>
                  <w:vMerge w:val="continue"/>
                  <w:tcBorders>
                    <w:tl2br w:val="nil"/>
                    <w:tr2bl w:val="nil"/>
                  </w:tcBorders>
                  <w:vAlign w:val="center"/>
                </w:tcPr>
                <w:p w14:paraId="44243370">
                  <w:pPr>
                    <w:pStyle w:val="73"/>
                    <w:rPr>
                      <w:color w:val="000000" w:themeColor="text1"/>
                    </w:rPr>
                  </w:pPr>
                </w:p>
              </w:tc>
              <w:tc>
                <w:tcPr>
                  <w:tcW w:w="341" w:type="pct"/>
                  <w:tcBorders>
                    <w:tl2br w:val="nil"/>
                    <w:tr2bl w:val="nil"/>
                  </w:tcBorders>
                  <w:vAlign w:val="center"/>
                </w:tcPr>
                <w:p w14:paraId="6EE4D9F8">
                  <w:pPr>
                    <w:pStyle w:val="73"/>
                    <w:jc w:val="both"/>
                    <w:rPr>
                      <w:color w:val="000000" w:themeColor="text1"/>
                    </w:rPr>
                  </w:pPr>
                  <w:r>
                    <w:rPr>
                      <w:color w:val="000000" w:themeColor="text1"/>
                    </w:rPr>
                    <w:t>新型建材区</w:t>
                  </w:r>
                </w:p>
              </w:tc>
              <w:tc>
                <w:tcPr>
                  <w:tcW w:w="2463" w:type="pct"/>
                  <w:tcBorders>
                    <w:tl2br w:val="nil"/>
                    <w:tr2bl w:val="nil"/>
                  </w:tcBorders>
                  <w:vAlign w:val="center"/>
                </w:tcPr>
                <w:p w14:paraId="67B2A277">
                  <w:pPr>
                    <w:pStyle w:val="73"/>
                    <w:jc w:val="both"/>
                    <w:rPr>
                      <w:color w:val="000000" w:themeColor="text1"/>
                    </w:rPr>
                  </w:pPr>
                  <w:r>
                    <w:rPr>
                      <w:color w:val="000000" w:themeColor="text1"/>
                    </w:rPr>
                    <w:t>禁止新建和扩建水泥、石灰、石膏、以煤为燃料的其他工业项目。</w:t>
                  </w:r>
                </w:p>
              </w:tc>
              <w:tc>
                <w:tcPr>
                  <w:tcW w:w="1268" w:type="pct"/>
                  <w:tcBorders>
                    <w:tl2br w:val="nil"/>
                    <w:tr2bl w:val="nil"/>
                  </w:tcBorders>
                  <w:vAlign w:val="center"/>
                </w:tcPr>
                <w:p w14:paraId="7964EAA7">
                  <w:pPr>
                    <w:pStyle w:val="73"/>
                    <w:jc w:val="both"/>
                    <w:rPr>
                      <w:color w:val="000000" w:themeColor="text1"/>
                    </w:rPr>
                  </w:pPr>
                  <w:r>
                    <w:rPr>
                      <w:rFonts w:hint="eastAsia"/>
                      <w:color w:val="000000" w:themeColor="text1"/>
                    </w:rPr>
                    <w:t>不涉及</w:t>
                  </w:r>
                </w:p>
              </w:tc>
              <w:tc>
                <w:tcPr>
                  <w:tcW w:w="395" w:type="pct"/>
                  <w:tcBorders>
                    <w:tl2br w:val="nil"/>
                    <w:tr2bl w:val="nil"/>
                  </w:tcBorders>
                  <w:vAlign w:val="center"/>
                </w:tcPr>
                <w:p w14:paraId="34E81469">
                  <w:pPr>
                    <w:pStyle w:val="73"/>
                    <w:rPr>
                      <w:color w:val="000000" w:themeColor="text1"/>
                    </w:rPr>
                  </w:pPr>
                  <w:r>
                    <w:rPr>
                      <w:rFonts w:hint="eastAsia"/>
                      <w:color w:val="000000" w:themeColor="text1"/>
                    </w:rPr>
                    <w:t>/</w:t>
                  </w:r>
                </w:p>
              </w:tc>
            </w:tr>
            <w:tr w14:paraId="4D1045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04" w:type="pct"/>
                  <w:vMerge w:val="continue"/>
                  <w:tcBorders>
                    <w:tl2br w:val="nil"/>
                    <w:tr2bl w:val="nil"/>
                  </w:tcBorders>
                  <w:vAlign w:val="center"/>
                </w:tcPr>
                <w:p w14:paraId="532A611E">
                  <w:pPr>
                    <w:pStyle w:val="73"/>
                    <w:rPr>
                      <w:color w:val="000000" w:themeColor="text1"/>
                    </w:rPr>
                  </w:pPr>
                </w:p>
              </w:tc>
              <w:tc>
                <w:tcPr>
                  <w:tcW w:w="326" w:type="pct"/>
                  <w:vMerge w:val="continue"/>
                  <w:tcBorders>
                    <w:tl2br w:val="nil"/>
                    <w:tr2bl w:val="nil"/>
                  </w:tcBorders>
                  <w:vAlign w:val="center"/>
                </w:tcPr>
                <w:p w14:paraId="02B4BACC">
                  <w:pPr>
                    <w:pStyle w:val="73"/>
                    <w:rPr>
                      <w:color w:val="000000" w:themeColor="text1"/>
                    </w:rPr>
                  </w:pPr>
                </w:p>
              </w:tc>
              <w:tc>
                <w:tcPr>
                  <w:tcW w:w="341" w:type="pct"/>
                  <w:tcBorders>
                    <w:tl2br w:val="nil"/>
                    <w:tr2bl w:val="nil"/>
                  </w:tcBorders>
                  <w:vAlign w:val="center"/>
                </w:tcPr>
                <w:p w14:paraId="0EA0BD3F">
                  <w:pPr>
                    <w:pStyle w:val="73"/>
                    <w:jc w:val="both"/>
                    <w:rPr>
                      <w:color w:val="000000" w:themeColor="text1"/>
                    </w:rPr>
                  </w:pPr>
                  <w:r>
                    <w:rPr>
                      <w:color w:val="000000" w:themeColor="text1"/>
                    </w:rPr>
                    <w:t>物流及加工产业</w:t>
                  </w:r>
                </w:p>
              </w:tc>
              <w:tc>
                <w:tcPr>
                  <w:tcW w:w="2463" w:type="pct"/>
                  <w:tcBorders>
                    <w:tl2br w:val="nil"/>
                    <w:tr2bl w:val="nil"/>
                  </w:tcBorders>
                  <w:vAlign w:val="center"/>
                </w:tcPr>
                <w:p w14:paraId="15E5B555">
                  <w:pPr>
                    <w:pStyle w:val="73"/>
                    <w:jc w:val="both"/>
                    <w:rPr>
                      <w:color w:val="000000" w:themeColor="text1"/>
                    </w:rPr>
                  </w:pPr>
                  <w:r>
                    <w:rPr>
                      <w:color w:val="000000" w:themeColor="text1"/>
                    </w:rPr>
                    <w:t>在铁路专用线、迁曹公路等交通主干线相关保护范围内从事的建设活动应满足《铁路安全管理条例》(国务院令2014年第639号)要求和《河北省公路条例》相关规定</w:t>
                  </w:r>
                </w:p>
              </w:tc>
              <w:tc>
                <w:tcPr>
                  <w:tcW w:w="1268" w:type="pct"/>
                  <w:tcBorders>
                    <w:tl2br w:val="nil"/>
                    <w:tr2bl w:val="nil"/>
                  </w:tcBorders>
                  <w:vAlign w:val="center"/>
                </w:tcPr>
                <w:p w14:paraId="6B6DA6A3">
                  <w:pPr>
                    <w:pStyle w:val="73"/>
                    <w:jc w:val="both"/>
                    <w:rPr>
                      <w:color w:val="000000" w:themeColor="text1"/>
                    </w:rPr>
                  </w:pPr>
                  <w:r>
                    <w:rPr>
                      <w:rFonts w:hint="eastAsia"/>
                      <w:color w:val="000000" w:themeColor="text1"/>
                    </w:rPr>
                    <w:t>不涉及</w:t>
                  </w:r>
                </w:p>
              </w:tc>
              <w:tc>
                <w:tcPr>
                  <w:tcW w:w="395" w:type="pct"/>
                  <w:tcBorders>
                    <w:tl2br w:val="nil"/>
                    <w:tr2bl w:val="nil"/>
                  </w:tcBorders>
                  <w:vAlign w:val="center"/>
                </w:tcPr>
                <w:p w14:paraId="621092E1">
                  <w:pPr>
                    <w:pStyle w:val="73"/>
                    <w:rPr>
                      <w:color w:val="000000" w:themeColor="text1"/>
                    </w:rPr>
                  </w:pPr>
                  <w:r>
                    <w:rPr>
                      <w:rFonts w:hint="eastAsia"/>
                      <w:color w:val="000000" w:themeColor="text1"/>
                    </w:rPr>
                    <w:t>/</w:t>
                  </w:r>
                </w:p>
              </w:tc>
            </w:tr>
            <w:tr w14:paraId="0ADEF2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04" w:type="pct"/>
                  <w:vMerge w:val="continue"/>
                  <w:tcBorders>
                    <w:tl2br w:val="nil"/>
                    <w:tr2bl w:val="nil"/>
                  </w:tcBorders>
                  <w:vAlign w:val="center"/>
                </w:tcPr>
                <w:p w14:paraId="7F967AB2">
                  <w:pPr>
                    <w:pStyle w:val="73"/>
                    <w:rPr>
                      <w:color w:val="000000" w:themeColor="text1"/>
                    </w:rPr>
                  </w:pPr>
                </w:p>
              </w:tc>
              <w:tc>
                <w:tcPr>
                  <w:tcW w:w="326" w:type="pct"/>
                  <w:vMerge w:val="continue"/>
                  <w:tcBorders>
                    <w:tl2br w:val="nil"/>
                    <w:tr2bl w:val="nil"/>
                  </w:tcBorders>
                  <w:vAlign w:val="center"/>
                </w:tcPr>
                <w:p w14:paraId="0A1DFCCE">
                  <w:pPr>
                    <w:pStyle w:val="73"/>
                    <w:rPr>
                      <w:color w:val="000000" w:themeColor="text1"/>
                    </w:rPr>
                  </w:pPr>
                </w:p>
              </w:tc>
              <w:tc>
                <w:tcPr>
                  <w:tcW w:w="341" w:type="pct"/>
                  <w:tcBorders>
                    <w:tl2br w:val="nil"/>
                    <w:tr2bl w:val="nil"/>
                  </w:tcBorders>
                  <w:vAlign w:val="center"/>
                </w:tcPr>
                <w:p w14:paraId="22C1B6C9">
                  <w:pPr>
                    <w:pStyle w:val="73"/>
                    <w:jc w:val="both"/>
                    <w:rPr>
                      <w:color w:val="000000" w:themeColor="text1"/>
                    </w:rPr>
                  </w:pPr>
                  <w:r>
                    <w:rPr>
                      <w:rFonts w:hint="eastAsia"/>
                      <w:color w:val="000000" w:themeColor="text1"/>
                    </w:rPr>
                    <w:t>综合服务区</w:t>
                  </w:r>
                </w:p>
              </w:tc>
              <w:tc>
                <w:tcPr>
                  <w:tcW w:w="2463" w:type="pct"/>
                  <w:tcBorders>
                    <w:tl2br w:val="nil"/>
                    <w:tr2bl w:val="nil"/>
                  </w:tcBorders>
                  <w:vAlign w:val="center"/>
                </w:tcPr>
                <w:p w14:paraId="3D89267E">
                  <w:pPr>
                    <w:pStyle w:val="73"/>
                    <w:jc w:val="both"/>
                    <w:rPr>
                      <w:color w:val="000000" w:themeColor="text1"/>
                    </w:rPr>
                  </w:pPr>
                  <w:r>
                    <w:rPr>
                      <w:rFonts w:hint="eastAsia"/>
                      <w:color w:val="000000" w:themeColor="text1"/>
                    </w:rPr>
                    <w:t>综合服务区食品加工产业发展粮食加工、水产品冷链加工等。</w:t>
                  </w:r>
                </w:p>
              </w:tc>
              <w:tc>
                <w:tcPr>
                  <w:tcW w:w="1268" w:type="pct"/>
                  <w:tcBorders>
                    <w:tl2br w:val="nil"/>
                    <w:tr2bl w:val="nil"/>
                  </w:tcBorders>
                  <w:vAlign w:val="center"/>
                </w:tcPr>
                <w:p w14:paraId="0E6D62C6">
                  <w:pPr>
                    <w:pStyle w:val="73"/>
                    <w:jc w:val="both"/>
                    <w:rPr>
                      <w:color w:val="000000" w:themeColor="text1"/>
                    </w:rPr>
                  </w:pPr>
                  <w:r>
                    <w:rPr>
                      <w:rFonts w:hint="eastAsia"/>
                      <w:color w:val="000000" w:themeColor="text1"/>
                    </w:rPr>
                    <w:t>不涉及</w:t>
                  </w:r>
                </w:p>
              </w:tc>
              <w:tc>
                <w:tcPr>
                  <w:tcW w:w="395" w:type="pct"/>
                  <w:tcBorders>
                    <w:tl2br w:val="nil"/>
                    <w:tr2bl w:val="nil"/>
                  </w:tcBorders>
                  <w:vAlign w:val="center"/>
                </w:tcPr>
                <w:p w14:paraId="60CA1DC7">
                  <w:pPr>
                    <w:pStyle w:val="73"/>
                    <w:rPr>
                      <w:color w:val="000000" w:themeColor="text1"/>
                    </w:rPr>
                  </w:pPr>
                  <w:r>
                    <w:rPr>
                      <w:rFonts w:hint="eastAsia"/>
                      <w:color w:val="000000" w:themeColor="text1"/>
                    </w:rPr>
                    <w:t>/</w:t>
                  </w:r>
                </w:p>
              </w:tc>
            </w:tr>
            <w:tr w14:paraId="3F2DC2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04" w:type="pct"/>
                  <w:vMerge w:val="continue"/>
                  <w:tcBorders>
                    <w:tl2br w:val="nil"/>
                    <w:tr2bl w:val="nil"/>
                  </w:tcBorders>
                  <w:vAlign w:val="center"/>
                </w:tcPr>
                <w:p w14:paraId="451220B7">
                  <w:pPr>
                    <w:pStyle w:val="73"/>
                    <w:rPr>
                      <w:color w:val="000000" w:themeColor="text1"/>
                    </w:rPr>
                  </w:pPr>
                </w:p>
              </w:tc>
              <w:tc>
                <w:tcPr>
                  <w:tcW w:w="326" w:type="pct"/>
                  <w:tcBorders>
                    <w:tl2br w:val="nil"/>
                    <w:tr2bl w:val="nil"/>
                  </w:tcBorders>
                  <w:vAlign w:val="center"/>
                </w:tcPr>
                <w:p w14:paraId="0B5D9C03">
                  <w:pPr>
                    <w:pStyle w:val="73"/>
                    <w:rPr>
                      <w:color w:val="000000" w:themeColor="text1"/>
                    </w:rPr>
                  </w:pPr>
                  <w:r>
                    <w:rPr>
                      <w:color w:val="000000" w:themeColor="text1"/>
                    </w:rPr>
                    <w:t>污染物排放管控</w:t>
                  </w:r>
                </w:p>
              </w:tc>
              <w:tc>
                <w:tcPr>
                  <w:tcW w:w="2804" w:type="pct"/>
                  <w:gridSpan w:val="2"/>
                  <w:tcBorders>
                    <w:tl2br w:val="nil"/>
                    <w:tr2bl w:val="nil"/>
                  </w:tcBorders>
                  <w:vAlign w:val="center"/>
                </w:tcPr>
                <w:p w14:paraId="171FC29A">
                  <w:pPr>
                    <w:pStyle w:val="73"/>
                    <w:jc w:val="both"/>
                    <w:rPr>
                      <w:color w:val="000000" w:themeColor="text1"/>
                    </w:rPr>
                  </w:pPr>
                  <w:r>
                    <w:rPr>
                      <w:color w:val="000000" w:themeColor="text1"/>
                    </w:rPr>
                    <w:t>1.入区项目各污染物排放满足国家、河北省特别排放限值及地方特别要求，其中燃气锅炉需满足河北省地方标准《锅炉大气污染物排放标准》，钢铁、焦化工业执行《钢铁工业大气污染物超低排放标准》、《炼焦化学工业大气污染物超低排放标准》，同时满足《唐山市钢铁、焦化超低排放和燃煤电厂深度减排实施方案》(唐气领办[2018]38号) 、《唐山市生态环境局关于印发钢铁、焦化、水泥行业全流程烟气达标治理工作方案的通知》(唐环气[2019]3号)和《唐山市人民政府关于执行重点行业大气污染物排放特别要求的通知》(唐政字[2021]82号)的相关要求；</w:t>
                  </w:r>
                </w:p>
                <w:p w14:paraId="27394E3E">
                  <w:pPr>
                    <w:pStyle w:val="73"/>
                    <w:jc w:val="both"/>
                    <w:rPr>
                      <w:color w:val="000000" w:themeColor="text1"/>
                    </w:rPr>
                  </w:pPr>
                  <w:r>
                    <w:rPr>
                      <w:color w:val="000000" w:themeColor="text1"/>
                    </w:rPr>
                    <w:t>2.环境质量未达到国家或者地方环境质量标准的，建设项目主要污染物实行区域倍量削减；环境质量达到国家或者地方环境质量标准的，建设项目主要污染物实行区域等量削减；</w:t>
                  </w:r>
                </w:p>
                <w:p w14:paraId="143BE838">
                  <w:pPr>
                    <w:pStyle w:val="73"/>
                    <w:jc w:val="both"/>
                    <w:rPr>
                      <w:color w:val="000000" w:themeColor="text1"/>
                    </w:rPr>
                  </w:pPr>
                  <w:r>
                    <w:rPr>
                      <w:color w:val="000000" w:themeColor="text1"/>
                    </w:rPr>
                    <w:t>3.入区项目污染物排放必须满足国家、河北省、唐山市等规定的标准要求，排放指标必须满足清洁生产指标要求(如有)；</w:t>
                  </w:r>
                </w:p>
                <w:p w14:paraId="145BF09F">
                  <w:pPr>
                    <w:pStyle w:val="73"/>
                    <w:jc w:val="both"/>
                    <w:rPr>
                      <w:color w:val="000000" w:themeColor="text1"/>
                    </w:rPr>
                  </w:pPr>
                  <w:r>
                    <w:rPr>
                      <w:color w:val="000000" w:themeColor="text1"/>
                    </w:rPr>
                    <w:t>4.</w:t>
                  </w:r>
                  <w:r>
                    <w:rPr>
                      <w:rFonts w:hint="eastAsia"/>
                      <w:color w:val="000000" w:themeColor="text1"/>
                    </w:rPr>
                    <w:t>铝材料产业区烘干/焙烧</w:t>
                  </w:r>
                  <w:r>
                    <w:rPr>
                      <w:color w:val="000000" w:themeColor="text1"/>
                    </w:rPr>
                    <w:t>烟气应采用“SCR+SNCR”等组合方式进行脱硝，最大程度降低氮氧化物的排放；</w:t>
                  </w:r>
                </w:p>
                <w:p w14:paraId="2E632C42">
                  <w:pPr>
                    <w:pStyle w:val="73"/>
                    <w:jc w:val="both"/>
                    <w:rPr>
                      <w:color w:val="000000" w:themeColor="text1"/>
                    </w:rPr>
                  </w:pPr>
                  <w:r>
                    <w:rPr>
                      <w:color w:val="000000" w:themeColor="text1"/>
                    </w:rPr>
                    <w:t>5.污染物排放量不得突破开发区确定的总量排放上线、入区项目需满足建设项目污染物排放总量控制要求；</w:t>
                  </w:r>
                </w:p>
                <w:p w14:paraId="7C47455C">
                  <w:pPr>
                    <w:pStyle w:val="73"/>
                    <w:jc w:val="both"/>
                    <w:rPr>
                      <w:color w:val="000000" w:themeColor="text1"/>
                    </w:rPr>
                  </w:pPr>
                  <w:r>
                    <w:rPr>
                      <w:color w:val="000000" w:themeColor="text1"/>
                    </w:rPr>
                    <w:t>6.危险废物收集、贮存、运输、处置、利用等须满足《</w:t>
                  </w:r>
                  <w:r>
                    <w:rPr>
                      <w:rFonts w:hint="eastAsia"/>
                      <w:color w:val="000000" w:themeColor="text1"/>
                      <w:lang w:eastAsia="zh-CN"/>
                    </w:rPr>
                    <w:t>中华人民共和国固体废物污染环境防治法</w:t>
                  </w:r>
                  <w:r>
                    <w:rPr>
                      <w:color w:val="000000" w:themeColor="text1"/>
                    </w:rPr>
                    <w:t>》、《危险废物收集贮存 运输技术规范》、《危险废物贮存污染控制标准》等国家、地方相关法律法规、技术规范、标准要求。</w:t>
                  </w:r>
                </w:p>
              </w:tc>
              <w:tc>
                <w:tcPr>
                  <w:tcW w:w="1268" w:type="pct"/>
                  <w:tcBorders>
                    <w:tl2br w:val="nil"/>
                    <w:tr2bl w:val="nil"/>
                  </w:tcBorders>
                  <w:vAlign w:val="center"/>
                </w:tcPr>
                <w:p w14:paraId="21672374">
                  <w:pPr>
                    <w:pStyle w:val="73"/>
                    <w:wordWrap w:val="0"/>
                    <w:jc w:val="both"/>
                    <w:rPr>
                      <w:color w:val="000000" w:themeColor="text1"/>
                    </w:rPr>
                  </w:pPr>
                  <w:r>
                    <w:rPr>
                      <w:rFonts w:hint="eastAsia"/>
                      <w:color w:val="000000" w:themeColor="text1"/>
                    </w:rPr>
                    <w:t>1.本项目不涉及污染物排放；</w:t>
                  </w:r>
                </w:p>
                <w:p w14:paraId="780C9419">
                  <w:pPr>
                    <w:pStyle w:val="73"/>
                    <w:wordWrap w:val="0"/>
                    <w:jc w:val="both"/>
                    <w:rPr>
                      <w:color w:val="000000" w:themeColor="text1"/>
                    </w:rPr>
                  </w:pPr>
                  <w:r>
                    <w:rPr>
                      <w:rFonts w:hint="eastAsia"/>
                      <w:color w:val="000000" w:themeColor="text1"/>
                    </w:rPr>
                    <w:t>2.不涉及；</w:t>
                  </w:r>
                </w:p>
                <w:p w14:paraId="5AEFDFBD">
                  <w:pPr>
                    <w:pStyle w:val="73"/>
                    <w:wordWrap w:val="0"/>
                    <w:jc w:val="both"/>
                    <w:rPr>
                      <w:color w:val="000000" w:themeColor="text1"/>
                    </w:rPr>
                  </w:pPr>
                  <w:r>
                    <w:rPr>
                      <w:rFonts w:hint="eastAsia"/>
                      <w:color w:val="000000" w:themeColor="text1"/>
                    </w:rPr>
                    <w:t>3不涉及；</w:t>
                  </w:r>
                </w:p>
                <w:p w14:paraId="5A2B97D4">
                  <w:pPr>
                    <w:pStyle w:val="73"/>
                    <w:wordWrap w:val="0"/>
                    <w:jc w:val="both"/>
                    <w:rPr>
                      <w:color w:val="000000" w:themeColor="text1"/>
                    </w:rPr>
                  </w:pPr>
                  <w:r>
                    <w:rPr>
                      <w:rFonts w:hint="eastAsia"/>
                      <w:color w:val="000000" w:themeColor="text1"/>
                    </w:rPr>
                    <w:t>4.不涉及；</w:t>
                  </w:r>
                </w:p>
                <w:p w14:paraId="4C28A54D">
                  <w:pPr>
                    <w:pStyle w:val="73"/>
                    <w:wordWrap w:val="0"/>
                    <w:jc w:val="both"/>
                    <w:rPr>
                      <w:color w:val="000000" w:themeColor="text1"/>
                    </w:rPr>
                  </w:pPr>
                  <w:r>
                    <w:rPr>
                      <w:rFonts w:hint="eastAsia"/>
                      <w:color w:val="000000" w:themeColor="text1"/>
                    </w:rPr>
                    <w:t>5.不涉及；</w:t>
                  </w:r>
                </w:p>
                <w:p w14:paraId="573D1E55">
                  <w:pPr>
                    <w:pStyle w:val="73"/>
                    <w:wordWrap w:val="0"/>
                    <w:jc w:val="both"/>
                    <w:rPr>
                      <w:color w:val="000000" w:themeColor="text1"/>
                    </w:rPr>
                  </w:pPr>
                  <w:r>
                    <w:rPr>
                      <w:rFonts w:hint="eastAsia"/>
                      <w:color w:val="000000" w:themeColor="text1"/>
                    </w:rPr>
                    <w:t>6.项目建设危废库用于暂存草酸盐，</w:t>
                  </w:r>
                  <w:r>
                    <w:rPr>
                      <w:color w:val="000000" w:themeColor="text1"/>
                    </w:rPr>
                    <w:t>满足《</w:t>
                  </w:r>
                  <w:r>
                    <w:rPr>
                      <w:rFonts w:hint="eastAsia"/>
                      <w:color w:val="000000" w:themeColor="text1"/>
                      <w:lang w:eastAsia="zh-CN"/>
                    </w:rPr>
                    <w:t>中华人民共和国固体废物污染环境防治法</w:t>
                  </w:r>
                  <w:r>
                    <w:rPr>
                      <w:color w:val="000000" w:themeColor="text1"/>
                    </w:rPr>
                    <w:t>》、《危险废物收集贮存 运输技术规范》、《危险废物贮存污染控制标准》等国家、地方相关法律法规、技术规范、标准要求。</w:t>
                  </w:r>
                </w:p>
              </w:tc>
              <w:tc>
                <w:tcPr>
                  <w:tcW w:w="395" w:type="pct"/>
                  <w:tcBorders>
                    <w:tl2br w:val="nil"/>
                    <w:tr2bl w:val="nil"/>
                  </w:tcBorders>
                  <w:vAlign w:val="center"/>
                </w:tcPr>
                <w:p w14:paraId="1B9E4954">
                  <w:pPr>
                    <w:pStyle w:val="73"/>
                    <w:rPr>
                      <w:color w:val="000000" w:themeColor="text1"/>
                    </w:rPr>
                  </w:pPr>
                  <w:r>
                    <w:rPr>
                      <w:rFonts w:hint="eastAsia"/>
                      <w:color w:val="000000" w:themeColor="text1"/>
                    </w:rPr>
                    <w:t>符合</w:t>
                  </w:r>
                </w:p>
              </w:tc>
            </w:tr>
            <w:tr w14:paraId="6FBA87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04" w:type="pct"/>
                  <w:vMerge w:val="continue"/>
                  <w:tcBorders>
                    <w:tl2br w:val="nil"/>
                    <w:tr2bl w:val="nil"/>
                  </w:tcBorders>
                  <w:vAlign w:val="center"/>
                </w:tcPr>
                <w:p w14:paraId="5AF9B33B">
                  <w:pPr>
                    <w:pStyle w:val="73"/>
                    <w:rPr>
                      <w:color w:val="000000" w:themeColor="text1"/>
                    </w:rPr>
                  </w:pPr>
                </w:p>
              </w:tc>
              <w:tc>
                <w:tcPr>
                  <w:tcW w:w="326" w:type="pct"/>
                  <w:tcBorders>
                    <w:tl2br w:val="nil"/>
                    <w:tr2bl w:val="nil"/>
                  </w:tcBorders>
                  <w:vAlign w:val="center"/>
                </w:tcPr>
                <w:p w14:paraId="15B05306">
                  <w:pPr>
                    <w:pStyle w:val="73"/>
                    <w:rPr>
                      <w:color w:val="000000" w:themeColor="text1"/>
                    </w:rPr>
                  </w:pPr>
                  <w:r>
                    <w:rPr>
                      <w:color w:val="000000" w:themeColor="text1"/>
                    </w:rPr>
                    <w:t>环境风险防控</w:t>
                  </w:r>
                </w:p>
              </w:tc>
              <w:tc>
                <w:tcPr>
                  <w:tcW w:w="2804" w:type="pct"/>
                  <w:gridSpan w:val="2"/>
                  <w:tcBorders>
                    <w:tl2br w:val="nil"/>
                    <w:tr2bl w:val="nil"/>
                  </w:tcBorders>
                  <w:vAlign w:val="center"/>
                </w:tcPr>
                <w:p w14:paraId="0F53A246">
                  <w:pPr>
                    <w:pStyle w:val="73"/>
                    <w:jc w:val="both"/>
                    <w:rPr>
                      <w:color w:val="000000" w:themeColor="text1"/>
                    </w:rPr>
                  </w:pPr>
                  <w:r>
                    <w:rPr>
                      <w:color w:val="000000" w:themeColor="text1"/>
                    </w:rPr>
                    <w:t>1.重点监管企业和工业园区周边土壤环境，定期开展监督性监测，重点监测重金属和持久性有机污染物；</w:t>
                  </w:r>
                </w:p>
                <w:p w14:paraId="5988AEBB">
                  <w:pPr>
                    <w:pStyle w:val="73"/>
                    <w:jc w:val="both"/>
                    <w:rPr>
                      <w:color w:val="000000" w:themeColor="text1"/>
                    </w:rPr>
                  </w:pPr>
                  <w:r>
                    <w:rPr>
                      <w:color w:val="000000" w:themeColor="text1"/>
                    </w:rPr>
                    <w:t>2.加强园区与周边敏感区生态防护设施建设；</w:t>
                  </w:r>
                </w:p>
                <w:p w14:paraId="5EC8306B">
                  <w:pPr>
                    <w:pStyle w:val="73"/>
                    <w:jc w:val="both"/>
                    <w:rPr>
                      <w:color w:val="000000" w:themeColor="text1"/>
                    </w:rPr>
                  </w:pPr>
                  <w:r>
                    <w:rPr>
                      <w:color w:val="000000" w:themeColor="text1"/>
                    </w:rPr>
                    <w:t>3.制定园区化学品信息管理系统，加强危废处置及管控；</w:t>
                  </w:r>
                </w:p>
                <w:p w14:paraId="2DE39003">
                  <w:pPr>
                    <w:pStyle w:val="73"/>
                    <w:jc w:val="both"/>
                    <w:rPr>
                      <w:color w:val="000000" w:themeColor="text1"/>
                    </w:rPr>
                  </w:pPr>
                  <w:r>
                    <w:rPr>
                      <w:color w:val="000000" w:themeColor="text1"/>
                    </w:rPr>
                    <w:t>4.对于易导致环境风险的有毒有害和易燃易爆物质的生产、使用、排放、贮运等新建、改扩建项目，风险防控措施应满足本评价提出的环境风险管理要求。</w:t>
                  </w:r>
                </w:p>
              </w:tc>
              <w:tc>
                <w:tcPr>
                  <w:tcW w:w="1268" w:type="pct"/>
                  <w:tcBorders>
                    <w:tl2br w:val="nil"/>
                    <w:tr2bl w:val="nil"/>
                  </w:tcBorders>
                  <w:vAlign w:val="center"/>
                </w:tcPr>
                <w:p w14:paraId="56D79996">
                  <w:pPr>
                    <w:pStyle w:val="73"/>
                    <w:jc w:val="both"/>
                    <w:rPr>
                      <w:color w:val="000000" w:themeColor="text1"/>
                    </w:rPr>
                  </w:pPr>
                  <w:r>
                    <w:rPr>
                      <w:rFonts w:hint="eastAsia"/>
                      <w:color w:val="000000" w:themeColor="text1"/>
                    </w:rPr>
                    <w:t>本项目不涉及风险物质，对危废库已提出防腐防渗要求</w:t>
                  </w:r>
                </w:p>
              </w:tc>
              <w:tc>
                <w:tcPr>
                  <w:tcW w:w="395" w:type="pct"/>
                  <w:tcBorders>
                    <w:tl2br w:val="nil"/>
                    <w:tr2bl w:val="nil"/>
                  </w:tcBorders>
                  <w:vAlign w:val="center"/>
                </w:tcPr>
                <w:p w14:paraId="22C33987">
                  <w:pPr>
                    <w:pStyle w:val="73"/>
                    <w:rPr>
                      <w:color w:val="000000" w:themeColor="text1"/>
                    </w:rPr>
                  </w:pPr>
                  <w:r>
                    <w:rPr>
                      <w:rFonts w:hint="eastAsia"/>
                      <w:color w:val="000000" w:themeColor="text1"/>
                    </w:rPr>
                    <w:t>符合</w:t>
                  </w:r>
                </w:p>
              </w:tc>
            </w:tr>
            <w:tr w14:paraId="0A60B9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04" w:type="pct"/>
                  <w:vMerge w:val="continue"/>
                  <w:tcBorders>
                    <w:tl2br w:val="nil"/>
                    <w:tr2bl w:val="nil"/>
                  </w:tcBorders>
                  <w:vAlign w:val="center"/>
                </w:tcPr>
                <w:p w14:paraId="195D8A68">
                  <w:pPr>
                    <w:pStyle w:val="73"/>
                    <w:rPr>
                      <w:color w:val="000000" w:themeColor="text1"/>
                    </w:rPr>
                  </w:pPr>
                </w:p>
              </w:tc>
              <w:tc>
                <w:tcPr>
                  <w:tcW w:w="326" w:type="pct"/>
                  <w:tcBorders>
                    <w:tl2br w:val="nil"/>
                    <w:tr2bl w:val="nil"/>
                  </w:tcBorders>
                  <w:vAlign w:val="center"/>
                </w:tcPr>
                <w:p w14:paraId="335DA4CC">
                  <w:pPr>
                    <w:pStyle w:val="73"/>
                    <w:rPr>
                      <w:color w:val="000000" w:themeColor="text1"/>
                    </w:rPr>
                  </w:pPr>
                  <w:r>
                    <w:rPr>
                      <w:color w:val="000000" w:themeColor="text1"/>
                    </w:rPr>
                    <w:t>资源开发利用要求</w:t>
                  </w:r>
                </w:p>
              </w:tc>
              <w:tc>
                <w:tcPr>
                  <w:tcW w:w="2804" w:type="pct"/>
                  <w:gridSpan w:val="2"/>
                  <w:tcBorders>
                    <w:tl2br w:val="nil"/>
                    <w:tr2bl w:val="nil"/>
                  </w:tcBorders>
                  <w:vAlign w:val="center"/>
                </w:tcPr>
                <w:p w14:paraId="337686BB">
                  <w:pPr>
                    <w:pStyle w:val="73"/>
                    <w:jc w:val="both"/>
                    <w:rPr>
                      <w:color w:val="000000" w:themeColor="text1"/>
                    </w:rPr>
                  </w:pPr>
                  <w:r>
                    <w:rPr>
                      <w:color w:val="000000" w:themeColor="text1"/>
                    </w:rPr>
                    <w:t>1.禁止新建、扩建采用非清洁燃料的项目和设施。</w:t>
                  </w:r>
                </w:p>
                <w:p w14:paraId="785B5E38">
                  <w:pPr>
                    <w:pStyle w:val="73"/>
                    <w:jc w:val="both"/>
                    <w:rPr>
                      <w:color w:val="000000" w:themeColor="text1"/>
                    </w:rPr>
                  </w:pPr>
                  <w:r>
                    <w:rPr>
                      <w:color w:val="000000" w:themeColor="text1"/>
                    </w:rPr>
                    <w:t>2.入区企业不能突破区域“三线一单”设定的土地资源、水资源、能源利用上限。</w:t>
                  </w:r>
                </w:p>
              </w:tc>
              <w:tc>
                <w:tcPr>
                  <w:tcW w:w="1268" w:type="pct"/>
                  <w:tcBorders>
                    <w:tl2br w:val="nil"/>
                    <w:tr2bl w:val="nil"/>
                  </w:tcBorders>
                  <w:vAlign w:val="center"/>
                </w:tcPr>
                <w:p w14:paraId="6B933EA1">
                  <w:pPr>
                    <w:pStyle w:val="73"/>
                    <w:jc w:val="both"/>
                    <w:rPr>
                      <w:color w:val="000000" w:themeColor="text1"/>
                    </w:rPr>
                  </w:pPr>
                  <w:r>
                    <w:rPr>
                      <w:rFonts w:hint="eastAsia"/>
                      <w:color w:val="000000" w:themeColor="text1"/>
                    </w:rPr>
                    <w:t>1.不涉及；</w:t>
                  </w:r>
                </w:p>
                <w:p w14:paraId="757CB5ED">
                  <w:pPr>
                    <w:pStyle w:val="73"/>
                    <w:jc w:val="both"/>
                    <w:rPr>
                      <w:color w:val="000000" w:themeColor="text1"/>
                    </w:rPr>
                  </w:pPr>
                  <w:r>
                    <w:rPr>
                      <w:rFonts w:hint="eastAsia"/>
                      <w:color w:val="000000" w:themeColor="text1"/>
                    </w:rPr>
                    <w:t>2.项目建设不新增用地，不用水，未</w:t>
                  </w:r>
                  <w:r>
                    <w:rPr>
                      <w:color w:val="000000" w:themeColor="text1"/>
                    </w:rPr>
                    <w:t>突破区域“三线一单”设定的土地资源、水资源、能源利用上限</w:t>
                  </w:r>
                </w:p>
              </w:tc>
              <w:tc>
                <w:tcPr>
                  <w:tcW w:w="395" w:type="pct"/>
                  <w:tcBorders>
                    <w:tl2br w:val="nil"/>
                    <w:tr2bl w:val="nil"/>
                  </w:tcBorders>
                  <w:vAlign w:val="center"/>
                </w:tcPr>
                <w:p w14:paraId="1BD12C37">
                  <w:pPr>
                    <w:pStyle w:val="73"/>
                    <w:rPr>
                      <w:color w:val="000000" w:themeColor="text1"/>
                    </w:rPr>
                  </w:pPr>
                  <w:r>
                    <w:rPr>
                      <w:rFonts w:hint="eastAsia"/>
                      <w:color w:val="000000" w:themeColor="text1"/>
                    </w:rPr>
                    <w:t>符合</w:t>
                  </w:r>
                </w:p>
              </w:tc>
            </w:tr>
            <w:tr w14:paraId="046E6D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04" w:type="pct"/>
                  <w:vMerge w:val="continue"/>
                  <w:tcBorders>
                    <w:tl2br w:val="nil"/>
                    <w:tr2bl w:val="nil"/>
                  </w:tcBorders>
                  <w:vAlign w:val="center"/>
                </w:tcPr>
                <w:p w14:paraId="41A47E93">
                  <w:pPr>
                    <w:pStyle w:val="73"/>
                    <w:rPr>
                      <w:color w:val="000000" w:themeColor="text1"/>
                    </w:rPr>
                  </w:pPr>
                </w:p>
              </w:tc>
              <w:tc>
                <w:tcPr>
                  <w:tcW w:w="326" w:type="pct"/>
                  <w:tcBorders>
                    <w:tl2br w:val="nil"/>
                    <w:tr2bl w:val="nil"/>
                  </w:tcBorders>
                  <w:vAlign w:val="center"/>
                </w:tcPr>
                <w:p w14:paraId="781B4628">
                  <w:pPr>
                    <w:pStyle w:val="73"/>
                    <w:rPr>
                      <w:color w:val="000000" w:themeColor="text1"/>
                    </w:rPr>
                  </w:pPr>
                  <w:r>
                    <w:rPr>
                      <w:color w:val="000000" w:themeColor="text1"/>
                    </w:rPr>
                    <w:t>其他相关要求</w:t>
                  </w:r>
                </w:p>
              </w:tc>
              <w:tc>
                <w:tcPr>
                  <w:tcW w:w="2804" w:type="pct"/>
                  <w:gridSpan w:val="2"/>
                  <w:tcBorders>
                    <w:tl2br w:val="nil"/>
                    <w:tr2bl w:val="nil"/>
                  </w:tcBorders>
                  <w:vAlign w:val="center"/>
                </w:tcPr>
                <w:p w14:paraId="31214920">
                  <w:pPr>
                    <w:pStyle w:val="73"/>
                    <w:jc w:val="both"/>
                    <w:rPr>
                      <w:color w:val="000000" w:themeColor="text1"/>
                    </w:rPr>
                  </w:pPr>
                  <w:r>
                    <w:rPr>
                      <w:color w:val="000000" w:themeColor="text1"/>
                    </w:rPr>
                    <w:t>1.不能实现总量控制要求的项目禁止准入；</w:t>
                  </w:r>
                </w:p>
                <w:p w14:paraId="4CA36FF9">
                  <w:pPr>
                    <w:pStyle w:val="73"/>
                    <w:jc w:val="both"/>
                    <w:rPr>
                      <w:color w:val="000000" w:themeColor="text1"/>
                    </w:rPr>
                  </w:pPr>
                  <w:r>
                    <w:rPr>
                      <w:color w:val="000000" w:themeColor="text1"/>
                    </w:rPr>
                    <w:t>2.不符合本评价确定的生态空间管控的项目禁止准入；</w:t>
                  </w:r>
                </w:p>
                <w:p w14:paraId="2E3C18C2">
                  <w:pPr>
                    <w:pStyle w:val="73"/>
                    <w:jc w:val="both"/>
                    <w:rPr>
                      <w:color w:val="000000" w:themeColor="text1"/>
                    </w:rPr>
                  </w:pPr>
                  <w:r>
                    <w:rPr>
                      <w:color w:val="000000" w:themeColor="text1"/>
                    </w:rPr>
                    <w:t>3.入区项目采用清洁生产技术、工艺和设备，清洁生产水平达到国家已颁布的相应清洁生产标准或清洁生产评价指标体系的国内先进水平(二级水平)，同时满足相应行业审批原则的规定，无标准的应达到国内先进及以上水平。</w:t>
                  </w:r>
                </w:p>
              </w:tc>
              <w:tc>
                <w:tcPr>
                  <w:tcW w:w="1268" w:type="pct"/>
                  <w:tcBorders>
                    <w:tl2br w:val="nil"/>
                    <w:tr2bl w:val="nil"/>
                  </w:tcBorders>
                  <w:vAlign w:val="center"/>
                </w:tcPr>
                <w:p w14:paraId="7774D444">
                  <w:pPr>
                    <w:pStyle w:val="73"/>
                    <w:jc w:val="both"/>
                    <w:rPr>
                      <w:color w:val="000000" w:themeColor="text1"/>
                    </w:rPr>
                  </w:pPr>
                  <w:r>
                    <w:rPr>
                      <w:rFonts w:hint="eastAsia"/>
                      <w:color w:val="000000" w:themeColor="text1"/>
                    </w:rPr>
                    <w:t>1.本项目不涉及总量；</w:t>
                  </w:r>
                </w:p>
                <w:p w14:paraId="52FCDD4A">
                  <w:pPr>
                    <w:pStyle w:val="73"/>
                    <w:jc w:val="both"/>
                    <w:rPr>
                      <w:color w:val="000000" w:themeColor="text1"/>
                    </w:rPr>
                  </w:pPr>
                  <w:r>
                    <w:rPr>
                      <w:rFonts w:hint="eastAsia"/>
                      <w:color w:val="000000" w:themeColor="text1"/>
                    </w:rPr>
                    <w:t>2.符合生态空间管控要求。</w:t>
                  </w:r>
                </w:p>
              </w:tc>
              <w:tc>
                <w:tcPr>
                  <w:tcW w:w="395" w:type="pct"/>
                  <w:tcBorders>
                    <w:tl2br w:val="nil"/>
                    <w:tr2bl w:val="nil"/>
                  </w:tcBorders>
                  <w:vAlign w:val="center"/>
                </w:tcPr>
                <w:p w14:paraId="3AE1CADA">
                  <w:pPr>
                    <w:pStyle w:val="73"/>
                    <w:rPr>
                      <w:color w:val="000000" w:themeColor="text1"/>
                    </w:rPr>
                  </w:pPr>
                  <w:r>
                    <w:rPr>
                      <w:rFonts w:hint="eastAsia"/>
                      <w:color w:val="000000" w:themeColor="text1"/>
                    </w:rPr>
                    <w:t>符合</w:t>
                  </w:r>
                </w:p>
              </w:tc>
            </w:tr>
          </w:tbl>
          <w:p w14:paraId="0EA3E876">
            <w:pPr>
              <w:autoSpaceDE w:val="0"/>
              <w:autoSpaceDN w:val="0"/>
              <w:adjustRightInd w:val="0"/>
              <w:snapToGrid w:val="0"/>
              <w:spacing w:line="480" w:lineRule="exact"/>
              <w:ind w:firstLine="480"/>
              <w:jc w:val="center"/>
              <w:rPr>
                <w:rFonts w:eastAsia="黑体" w:cs="宋体"/>
                <w:color w:val="000000"/>
                <w:kern w:val="0"/>
                <w:szCs w:val="21"/>
              </w:rPr>
            </w:pPr>
            <w:r>
              <w:rPr>
                <w:rFonts w:hint="eastAsia" w:eastAsia="黑体" w:cs="宋体"/>
                <w:color w:val="000000"/>
                <w:kern w:val="0"/>
                <w:szCs w:val="21"/>
              </w:rPr>
              <w:t>表1</w:t>
            </w:r>
            <w:r>
              <w:rPr>
                <w:rFonts w:eastAsia="黑体" w:cs="宋体"/>
                <w:color w:val="000000"/>
                <w:kern w:val="0"/>
                <w:szCs w:val="21"/>
              </w:rPr>
              <w:t>.</w:t>
            </w:r>
            <w:r>
              <w:rPr>
                <w:rFonts w:hint="eastAsia" w:eastAsia="黑体" w:cs="宋体"/>
                <w:color w:val="000000"/>
                <w:kern w:val="0"/>
                <w:szCs w:val="21"/>
              </w:rPr>
              <w:t>2</w:t>
            </w:r>
            <w:r>
              <w:rPr>
                <w:rFonts w:eastAsia="黑体" w:cs="宋体"/>
                <w:color w:val="000000"/>
                <w:kern w:val="0"/>
                <w:szCs w:val="21"/>
              </w:rPr>
              <w:t xml:space="preserve">  </w:t>
            </w:r>
            <w:r>
              <w:rPr>
                <w:rFonts w:hint="eastAsia" w:eastAsia="黑体" w:cs="宋体"/>
                <w:color w:val="000000"/>
                <w:kern w:val="0"/>
                <w:szCs w:val="21"/>
              </w:rPr>
              <w:t>本项目同规划环评审查意见符合性一览表</w:t>
            </w:r>
          </w:p>
          <w:tbl>
            <w:tblPr>
              <w:tblStyle w:val="195"/>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132"/>
              <w:gridCol w:w="1962"/>
              <w:gridCol w:w="715"/>
            </w:tblGrid>
            <w:tr w14:paraId="25D5C7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blHeader/>
                <w:jc w:val="center"/>
              </w:trPr>
              <w:tc>
                <w:tcPr>
                  <w:tcW w:w="3034" w:type="pct"/>
                  <w:vAlign w:val="center"/>
                </w:tcPr>
                <w:p w14:paraId="05E2ED97">
                  <w:pPr>
                    <w:pStyle w:val="73"/>
                    <w:overflowPunct w:val="0"/>
                    <w:topLinePunct/>
                    <w:autoSpaceDE w:val="0"/>
                    <w:autoSpaceDN w:val="0"/>
                  </w:pPr>
                  <w:r>
                    <w:rPr>
                      <w:rFonts w:hint="eastAsia"/>
                    </w:rPr>
                    <w:t>审查意见</w:t>
                  </w:r>
                </w:p>
              </w:tc>
              <w:tc>
                <w:tcPr>
                  <w:tcW w:w="1441" w:type="pct"/>
                  <w:vAlign w:val="center"/>
                </w:tcPr>
                <w:p w14:paraId="509DD7CF">
                  <w:pPr>
                    <w:pStyle w:val="73"/>
                    <w:overflowPunct w:val="0"/>
                    <w:topLinePunct/>
                    <w:autoSpaceDE w:val="0"/>
                    <w:autoSpaceDN w:val="0"/>
                  </w:pPr>
                  <w:r>
                    <w:rPr>
                      <w:rFonts w:hint="eastAsia"/>
                    </w:rPr>
                    <w:t>项目情况</w:t>
                  </w:r>
                </w:p>
              </w:tc>
              <w:tc>
                <w:tcPr>
                  <w:tcW w:w="525" w:type="pct"/>
                  <w:vAlign w:val="center"/>
                </w:tcPr>
                <w:p w14:paraId="0AD77964">
                  <w:pPr>
                    <w:pStyle w:val="73"/>
                    <w:overflowPunct w:val="0"/>
                    <w:topLinePunct/>
                    <w:autoSpaceDE w:val="0"/>
                    <w:autoSpaceDN w:val="0"/>
                  </w:pPr>
                  <w:r>
                    <w:rPr>
                      <w:rFonts w:hint="eastAsia"/>
                    </w:rPr>
                    <w:t>符合性</w:t>
                  </w:r>
                </w:p>
              </w:tc>
            </w:tr>
            <w:tr w14:paraId="543DAB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34" w:type="pct"/>
                  <w:vAlign w:val="center"/>
                </w:tcPr>
                <w:p w14:paraId="2A728263">
                  <w:pPr>
                    <w:pStyle w:val="73"/>
                    <w:overflowPunct w:val="0"/>
                    <w:topLinePunct/>
                    <w:autoSpaceDE w:val="0"/>
                    <w:autoSpaceDN w:val="0"/>
                  </w:pPr>
                  <w:r>
                    <w:rPr>
                      <w:rFonts w:hint="eastAsia"/>
                    </w:rPr>
                    <w:t>（二）</w:t>
                  </w:r>
                  <w:r>
                    <w:t>严格环境准入，推动产业转型升级和绿色发展。落实《报告书》提出的生态环境准入要求，入区项目应符合《产业结构调整指导目录(2019年本)》(2021年修正)《河北省新增限制和淘汰类产业目录(2015年版)》《关于加强高能耗、高排放建设项目生态环境源头防控的指导意见》(环环评[2021]45号)《关于加强重点行业建设项目区域削减措施监督管理的通知》(环办环评[2020]36号)等规定。铝材料产业片区在满足产业政策及产能置换要求前提下</w:t>
                  </w:r>
                  <w:r>
                    <w:rPr>
                      <w:rFonts w:hint="eastAsia"/>
                    </w:rPr>
                    <w:t>，</w:t>
                  </w:r>
                  <w:r>
                    <w:t>可向下延伸产业链条，发展氧化铝产业</w:t>
                  </w:r>
                  <w:r>
                    <w:rPr>
                      <w:rFonts w:hint="eastAsia"/>
                    </w:rPr>
                    <w:t>。</w:t>
                  </w:r>
                </w:p>
              </w:tc>
              <w:tc>
                <w:tcPr>
                  <w:tcW w:w="1441" w:type="pct"/>
                  <w:vAlign w:val="center"/>
                </w:tcPr>
                <w:p w14:paraId="1D4EACE3">
                  <w:pPr>
                    <w:pStyle w:val="73"/>
                    <w:overflowPunct w:val="0"/>
                    <w:topLinePunct/>
                    <w:autoSpaceDE w:val="0"/>
                    <w:autoSpaceDN w:val="0"/>
                  </w:pPr>
                  <w:r>
                    <w:rPr>
                      <w:rFonts w:hint="eastAsia"/>
                    </w:rPr>
                    <w:t>对照《产业结构调整指导目录（</w:t>
                  </w:r>
                  <w:r>
                    <w:t>2024年本）》</w:t>
                  </w:r>
                  <w:r>
                    <w:rPr>
                      <w:rFonts w:hint="eastAsia"/>
                    </w:rPr>
                    <w:t>，拟建项目不属于《产业结构调整指导目录》（</w:t>
                  </w:r>
                  <w:r>
                    <w:t>2024年本）中限制类、淘汰类项目，属于允许类项目，项目建设符合国家产业政策要求</w:t>
                  </w:r>
                  <w:r>
                    <w:rPr>
                      <w:rFonts w:hint="eastAsia"/>
                    </w:rPr>
                    <w:t>；</w:t>
                  </w:r>
                  <w:r>
                    <w:t>项目不属于</w:t>
                  </w:r>
                  <w:r>
                    <w:rPr>
                      <w:rFonts w:hint="eastAsia"/>
                    </w:rPr>
                    <w:t>《市场准入负面清单》</w:t>
                  </w:r>
                  <w:r>
                    <w:t>中禁止准入类项目</w:t>
                  </w:r>
                </w:p>
              </w:tc>
              <w:tc>
                <w:tcPr>
                  <w:tcW w:w="525" w:type="pct"/>
                  <w:vAlign w:val="center"/>
                </w:tcPr>
                <w:p w14:paraId="2713F2A5">
                  <w:pPr>
                    <w:pStyle w:val="73"/>
                    <w:overflowPunct w:val="0"/>
                    <w:topLinePunct/>
                    <w:autoSpaceDE w:val="0"/>
                    <w:autoSpaceDN w:val="0"/>
                  </w:pPr>
                  <w:r>
                    <w:rPr>
                      <w:rFonts w:hint="eastAsia"/>
                    </w:rPr>
                    <w:t>符合</w:t>
                  </w:r>
                </w:p>
              </w:tc>
            </w:tr>
            <w:tr w14:paraId="49E92D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3034" w:type="pct"/>
                  <w:vAlign w:val="center"/>
                </w:tcPr>
                <w:p w14:paraId="721A2997">
                  <w:pPr>
                    <w:pStyle w:val="73"/>
                    <w:overflowPunct w:val="0"/>
                    <w:topLinePunct/>
                    <w:autoSpaceDE w:val="0"/>
                    <w:autoSpaceDN w:val="0"/>
                  </w:pPr>
                  <w:r>
                    <w:rPr>
                      <w:rFonts w:hint="eastAsia"/>
                    </w:rPr>
                    <w:t>（三）</w:t>
                  </w:r>
                  <w:r>
                    <w:t>加强空间管制，优化生产空间和生态空间。园区应重点关注对曹妃甸湿地和鸟类省级自然保护区和曹妃甸新城的影响，控制污染物排放总量和环境风险，加强园区的生态防护隔离园区东侧一排干、西南侧沿青林公路沿线建设宽度100米绿化隔离带。严格落实环评报告中的生态空间管控要求，确保园区内企业与敏感点满足环境防护距离要求，减少突发事件可能对敏感点产生的影响。</w:t>
                  </w:r>
                </w:p>
              </w:tc>
              <w:tc>
                <w:tcPr>
                  <w:tcW w:w="1441" w:type="pct"/>
                  <w:vAlign w:val="center"/>
                </w:tcPr>
                <w:p w14:paraId="4F674E56">
                  <w:pPr>
                    <w:pStyle w:val="73"/>
                    <w:overflowPunct w:val="0"/>
                    <w:topLinePunct/>
                    <w:autoSpaceDE w:val="0"/>
                    <w:autoSpaceDN w:val="0"/>
                  </w:pPr>
                  <w:r>
                    <w:rPr>
                      <w:rFonts w:hint="eastAsia"/>
                    </w:rPr>
                    <w:t>本项目建成后不会对</w:t>
                  </w:r>
                  <w:r>
                    <w:t>曹妃甸湿地和鸟类省级自然保护区和曹妃甸新城</w:t>
                  </w:r>
                  <w:r>
                    <w:rPr>
                      <w:rFonts w:hint="eastAsia"/>
                    </w:rPr>
                    <w:t>产生</w:t>
                  </w:r>
                  <w:r>
                    <w:t>影响</w:t>
                  </w:r>
                  <w:r>
                    <w:rPr>
                      <w:rFonts w:hint="eastAsia"/>
                    </w:rPr>
                    <w:t>，满足</w:t>
                  </w:r>
                  <w:r>
                    <w:t>生态空间管控要求</w:t>
                  </w:r>
                  <w:r>
                    <w:rPr>
                      <w:rFonts w:hint="eastAsia"/>
                    </w:rPr>
                    <w:t>，且不涉及污染物排放总量控制，环境风险防范措施可行</w:t>
                  </w:r>
                </w:p>
              </w:tc>
              <w:tc>
                <w:tcPr>
                  <w:tcW w:w="525" w:type="pct"/>
                  <w:vAlign w:val="center"/>
                </w:tcPr>
                <w:p w14:paraId="3BCE8458">
                  <w:pPr>
                    <w:pStyle w:val="73"/>
                    <w:overflowPunct w:val="0"/>
                    <w:topLinePunct/>
                    <w:autoSpaceDE w:val="0"/>
                    <w:autoSpaceDN w:val="0"/>
                  </w:pPr>
                  <w:r>
                    <w:rPr>
                      <w:rFonts w:hint="eastAsia"/>
                    </w:rPr>
                    <w:t>符合</w:t>
                  </w:r>
                </w:p>
              </w:tc>
            </w:tr>
            <w:tr w14:paraId="67573F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3034" w:type="pct"/>
                  <w:vAlign w:val="center"/>
                </w:tcPr>
                <w:p w14:paraId="037BAAC1">
                  <w:pPr>
                    <w:pStyle w:val="73"/>
                    <w:overflowPunct w:val="0"/>
                    <w:topLinePunct/>
                    <w:autoSpaceDE w:val="0"/>
                    <w:autoSpaceDN w:val="0"/>
                  </w:pPr>
                  <w:r>
                    <w:rPr>
                      <w:rFonts w:hint="eastAsia"/>
                    </w:rPr>
                    <w:t>（四）根据碳减排和碳达峰行动方案及路径要求推进工业区绿色低碳转型发展。优化产业结构、能源结构、交通运输方式等内容，实现减污降碳协同增效目标。</w:t>
                  </w:r>
                </w:p>
              </w:tc>
              <w:tc>
                <w:tcPr>
                  <w:tcW w:w="1441" w:type="pct"/>
                  <w:vAlign w:val="center"/>
                </w:tcPr>
                <w:p w14:paraId="0B6670ED">
                  <w:pPr>
                    <w:pStyle w:val="73"/>
                    <w:overflowPunct w:val="0"/>
                    <w:topLinePunct/>
                    <w:autoSpaceDE w:val="0"/>
                    <w:autoSpaceDN w:val="0"/>
                  </w:pPr>
                  <w:r>
                    <w:rPr>
                      <w:rFonts w:hint="eastAsia"/>
                    </w:rPr>
                    <w:t>不涉及</w:t>
                  </w:r>
                </w:p>
              </w:tc>
              <w:tc>
                <w:tcPr>
                  <w:tcW w:w="525" w:type="pct"/>
                  <w:vAlign w:val="center"/>
                </w:tcPr>
                <w:p w14:paraId="5E2202CA">
                  <w:pPr>
                    <w:pStyle w:val="73"/>
                    <w:overflowPunct w:val="0"/>
                    <w:topLinePunct/>
                    <w:autoSpaceDE w:val="0"/>
                    <w:autoSpaceDN w:val="0"/>
                  </w:pPr>
                  <w:r>
                    <w:rPr>
                      <w:rFonts w:hint="eastAsia"/>
                    </w:rPr>
                    <w:t>符合</w:t>
                  </w:r>
                </w:p>
              </w:tc>
            </w:tr>
            <w:tr w14:paraId="033AA4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3034" w:type="pct"/>
                  <w:vAlign w:val="center"/>
                </w:tcPr>
                <w:p w14:paraId="42EC54C0">
                  <w:pPr>
                    <w:pStyle w:val="73"/>
                    <w:overflowPunct w:val="0"/>
                    <w:topLinePunct/>
                    <w:autoSpaceDE w:val="0"/>
                    <w:autoSpaceDN w:val="0"/>
                  </w:pPr>
                  <w:r>
                    <w:rPr>
                      <w:rFonts w:hint="eastAsia"/>
                    </w:rPr>
                    <w:t>（五）按照“无废城市”建设要求，强化固废资源综合利用以资源综合利用为主，配套设置固废暂存及周转区域。严格落实赤泥固废提铁、提砂及制砖、制路基、作填料等资源综合利用要求，赤泥减量化、资源化项目应与生产项目协同建设。</w:t>
                  </w:r>
                </w:p>
              </w:tc>
              <w:tc>
                <w:tcPr>
                  <w:tcW w:w="1441" w:type="pct"/>
                  <w:vAlign w:val="center"/>
                </w:tcPr>
                <w:p w14:paraId="5C174BE9">
                  <w:pPr>
                    <w:pStyle w:val="73"/>
                    <w:overflowPunct w:val="0"/>
                    <w:topLinePunct/>
                    <w:autoSpaceDE w:val="0"/>
                    <w:autoSpaceDN w:val="0"/>
                  </w:pPr>
                  <w:r>
                    <w:rPr>
                      <w:rFonts w:hint="eastAsia"/>
                    </w:rPr>
                    <w:t>本项目建设危废库用于暂存草酸盐，每月转移1次，定期交由山东高特新材料科技有限公司进行综合利用</w:t>
                  </w:r>
                </w:p>
              </w:tc>
              <w:tc>
                <w:tcPr>
                  <w:tcW w:w="525" w:type="pct"/>
                  <w:vAlign w:val="center"/>
                </w:tcPr>
                <w:p w14:paraId="01D789A1">
                  <w:pPr>
                    <w:pStyle w:val="73"/>
                    <w:overflowPunct w:val="0"/>
                    <w:topLinePunct/>
                    <w:autoSpaceDE w:val="0"/>
                    <w:autoSpaceDN w:val="0"/>
                  </w:pPr>
                  <w:r>
                    <w:rPr>
                      <w:rFonts w:hint="eastAsia"/>
                    </w:rPr>
                    <w:t>符合</w:t>
                  </w:r>
                </w:p>
              </w:tc>
            </w:tr>
            <w:tr w14:paraId="4C992D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3034" w:type="pct"/>
                  <w:vAlign w:val="center"/>
                </w:tcPr>
                <w:p w14:paraId="1521F99A">
                  <w:pPr>
                    <w:pStyle w:val="73"/>
                    <w:overflowPunct w:val="0"/>
                    <w:topLinePunct/>
                    <w:autoSpaceDE w:val="0"/>
                    <w:autoSpaceDN w:val="0"/>
                  </w:pPr>
                  <w:r>
                    <w:rPr>
                      <w:rFonts w:hint="eastAsia"/>
                    </w:rPr>
                    <w:t>（六）加强总量管控，促进环境质量改善。按照最不利条件并预留一定安全余量的原则，提出的污染物排放总量控制上线作为园区污染物总量管控限值。严格落实评价范围内污染物削减方案,不断提升技术工艺及节能节水控污水平，不断改善环境质量。</w:t>
                  </w:r>
                </w:p>
              </w:tc>
              <w:tc>
                <w:tcPr>
                  <w:tcW w:w="1441" w:type="pct"/>
                  <w:vAlign w:val="center"/>
                </w:tcPr>
                <w:p w14:paraId="6ABFDF59">
                  <w:pPr>
                    <w:pStyle w:val="73"/>
                    <w:overflowPunct w:val="0"/>
                    <w:topLinePunct/>
                    <w:autoSpaceDE w:val="0"/>
                    <w:autoSpaceDN w:val="0"/>
                  </w:pPr>
                  <w:r>
                    <w:rPr>
                      <w:rFonts w:hint="eastAsia"/>
                    </w:rPr>
                    <w:t>不涉及</w:t>
                  </w:r>
                </w:p>
              </w:tc>
              <w:tc>
                <w:tcPr>
                  <w:tcW w:w="525" w:type="pct"/>
                  <w:vAlign w:val="center"/>
                </w:tcPr>
                <w:p w14:paraId="7950896A">
                  <w:pPr>
                    <w:pStyle w:val="73"/>
                    <w:overflowPunct w:val="0"/>
                    <w:topLinePunct/>
                    <w:autoSpaceDE w:val="0"/>
                    <w:autoSpaceDN w:val="0"/>
                  </w:pPr>
                  <w:r>
                    <w:rPr>
                      <w:rFonts w:hint="eastAsia"/>
                    </w:rPr>
                    <w:t>符合</w:t>
                  </w:r>
                </w:p>
              </w:tc>
            </w:tr>
            <w:tr w14:paraId="5EF483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3034" w:type="pct"/>
                  <w:vAlign w:val="center"/>
                </w:tcPr>
                <w:p w14:paraId="217948DA">
                  <w:pPr>
                    <w:pStyle w:val="73"/>
                    <w:overflowPunct w:val="0"/>
                    <w:topLinePunct/>
                    <w:autoSpaceDE w:val="0"/>
                    <w:autoSpaceDN w:val="0"/>
                  </w:pPr>
                  <w:r>
                    <w:rPr>
                      <w:rFonts w:hint="eastAsia"/>
                    </w:rPr>
                    <w:t>（七）加强规划环评与项目环评联动，切实发挥规划和项目环评预防环境污染和生态破坏的作用。入区建设项目应结合规划环评提出的指导意见做好环境影响评价工作，落实相关要求，重点开展工程分析、污染物允许排放量测算和环保措施的可行性论证等内容，强化环境监测和环境保护相关措施的落实。规划环评中规划协调性分析、环境现状、污染源调查等符合要求的资料可供建设项目环评共享,项目环评相应评价内容可结合实际情况予以简化。</w:t>
                  </w:r>
                </w:p>
              </w:tc>
              <w:tc>
                <w:tcPr>
                  <w:tcW w:w="1441" w:type="pct"/>
                  <w:vAlign w:val="center"/>
                </w:tcPr>
                <w:p w14:paraId="4F437C61">
                  <w:pPr>
                    <w:pStyle w:val="73"/>
                    <w:overflowPunct w:val="0"/>
                    <w:topLinePunct/>
                    <w:autoSpaceDE w:val="0"/>
                    <w:autoSpaceDN w:val="0"/>
                  </w:pPr>
                  <w:r>
                    <w:rPr>
                      <w:rFonts w:hint="eastAsia"/>
                    </w:rPr>
                    <w:t>本项目严格落实规划环评相关要求</w:t>
                  </w:r>
                </w:p>
              </w:tc>
              <w:tc>
                <w:tcPr>
                  <w:tcW w:w="525" w:type="pct"/>
                  <w:vAlign w:val="center"/>
                </w:tcPr>
                <w:p w14:paraId="5373B74F">
                  <w:pPr>
                    <w:pStyle w:val="73"/>
                    <w:overflowPunct w:val="0"/>
                    <w:topLinePunct/>
                    <w:autoSpaceDE w:val="0"/>
                    <w:autoSpaceDN w:val="0"/>
                  </w:pPr>
                  <w:r>
                    <w:rPr>
                      <w:rFonts w:hint="eastAsia"/>
                    </w:rPr>
                    <w:t>符合</w:t>
                  </w:r>
                </w:p>
              </w:tc>
            </w:tr>
            <w:tr w14:paraId="6919ED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34" w:type="pct"/>
                  <w:vAlign w:val="center"/>
                </w:tcPr>
                <w:p w14:paraId="0415F744">
                  <w:pPr>
                    <w:pStyle w:val="73"/>
                    <w:overflowPunct w:val="0"/>
                    <w:topLinePunct/>
                    <w:autoSpaceDE w:val="0"/>
                    <w:autoSpaceDN w:val="0"/>
                  </w:pPr>
                  <w:r>
                    <w:rPr>
                      <w:rFonts w:hint="eastAsia"/>
                    </w:rPr>
                    <w:t>（八）注重园区发展与区域资源承载力相协调，统筹规划建设园区配套的基础设施。园区生活用水来自引滦输水管道，通过已建成生活水厂提供，园区工业用水来自陡河水库和滦下灌区干渠，再生水源来自现有曹妃甸城区再生水厂和规划的东、西两座污水处理厂(再生水厂)，2024年底前实现供水；新建东、西区2座污水处理厂，西区污水处理厂2024年底前建成；铁矿石铝土矿等大宗物料运输综合管廊2023年底建成。</w:t>
                  </w:r>
                </w:p>
              </w:tc>
              <w:tc>
                <w:tcPr>
                  <w:tcW w:w="1441" w:type="pct"/>
                  <w:vAlign w:val="center"/>
                </w:tcPr>
                <w:p w14:paraId="47921889">
                  <w:pPr>
                    <w:pStyle w:val="73"/>
                    <w:overflowPunct w:val="0"/>
                    <w:topLinePunct/>
                    <w:autoSpaceDE w:val="0"/>
                    <w:autoSpaceDN w:val="0"/>
                  </w:pPr>
                  <w:r>
                    <w:rPr>
                      <w:rFonts w:hint="eastAsia"/>
                    </w:rPr>
                    <w:t>本项目不新增用水</w:t>
                  </w:r>
                </w:p>
              </w:tc>
              <w:tc>
                <w:tcPr>
                  <w:tcW w:w="525" w:type="pct"/>
                  <w:vAlign w:val="center"/>
                </w:tcPr>
                <w:p w14:paraId="3C9F85A7">
                  <w:pPr>
                    <w:pStyle w:val="73"/>
                    <w:overflowPunct w:val="0"/>
                    <w:topLinePunct/>
                    <w:autoSpaceDE w:val="0"/>
                    <w:autoSpaceDN w:val="0"/>
                  </w:pPr>
                  <w:r>
                    <w:rPr>
                      <w:rFonts w:hint="eastAsia"/>
                    </w:rPr>
                    <w:t>符合</w:t>
                  </w:r>
                </w:p>
              </w:tc>
            </w:tr>
            <w:tr w14:paraId="6CEAC9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34" w:type="pct"/>
                  <w:vAlign w:val="center"/>
                </w:tcPr>
                <w:p w14:paraId="6B023931">
                  <w:pPr>
                    <w:pStyle w:val="73"/>
                    <w:overflowPunct w:val="0"/>
                    <w:topLinePunct/>
                    <w:autoSpaceDE w:val="0"/>
                    <w:autoSpaceDN w:val="0"/>
                  </w:pPr>
                  <w:r>
                    <w:rPr>
                      <w:rFonts w:hint="eastAsia"/>
                    </w:rPr>
                    <w:t>（九）加强健全环境风险防范体系和区域生态安全保障体系加强重要风险源管控。合理安排园区内生产空间和生活空间，建立健全各级环境风险防范和应急联动体系，明确相关责任和责任主体，严格落实规划环评提出的各项环境风险防控措施和污染应急预案，提升环境风险防控和应急响应能力，实现园区及周边环境安全监控全覆盖。</w:t>
                  </w:r>
                </w:p>
              </w:tc>
              <w:tc>
                <w:tcPr>
                  <w:tcW w:w="1441" w:type="pct"/>
                  <w:vAlign w:val="center"/>
                </w:tcPr>
                <w:p w14:paraId="4B2B498D">
                  <w:pPr>
                    <w:pStyle w:val="73"/>
                    <w:overflowPunct w:val="0"/>
                    <w:topLinePunct/>
                    <w:autoSpaceDE w:val="0"/>
                    <w:autoSpaceDN w:val="0"/>
                  </w:pPr>
                  <w:r>
                    <w:rPr>
                      <w:rFonts w:hint="eastAsia"/>
                    </w:rPr>
                    <w:t>本项目已制定严格的环境风险防控措施，项目建成后企业将编制突发环境事件应急预案并按相关要求进行备案</w:t>
                  </w:r>
                </w:p>
              </w:tc>
              <w:tc>
                <w:tcPr>
                  <w:tcW w:w="525" w:type="pct"/>
                  <w:vAlign w:val="center"/>
                </w:tcPr>
                <w:p w14:paraId="2BFDE649">
                  <w:pPr>
                    <w:pStyle w:val="73"/>
                    <w:overflowPunct w:val="0"/>
                    <w:topLinePunct/>
                    <w:autoSpaceDE w:val="0"/>
                    <w:autoSpaceDN w:val="0"/>
                  </w:pPr>
                  <w:r>
                    <w:rPr>
                      <w:rFonts w:hint="eastAsia"/>
                    </w:rPr>
                    <w:t>符合</w:t>
                  </w:r>
                </w:p>
              </w:tc>
            </w:tr>
          </w:tbl>
          <w:p w14:paraId="3535B9D5">
            <w:pPr>
              <w:autoSpaceDE w:val="0"/>
              <w:autoSpaceDN w:val="0"/>
              <w:adjustRightInd w:val="0"/>
              <w:snapToGrid w:val="0"/>
              <w:spacing w:line="480" w:lineRule="exact"/>
              <w:ind w:firstLine="480" w:firstLineChars="200"/>
              <w:rPr>
                <w:rFonts w:cs="宋体"/>
                <w:color w:val="000000"/>
                <w:kern w:val="0"/>
                <w:szCs w:val="21"/>
              </w:rPr>
            </w:pPr>
          </w:p>
        </w:tc>
      </w:tr>
      <w:tr w14:paraId="3213FE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57" w:hRule="atLeast"/>
          <w:jc w:val="center"/>
        </w:trPr>
        <w:tc>
          <w:tcPr>
            <w:tcW w:w="608" w:type="dxa"/>
            <w:vAlign w:val="center"/>
          </w:tcPr>
          <w:p w14:paraId="53C019C7">
            <w:pPr>
              <w:autoSpaceDE w:val="0"/>
              <w:autoSpaceDN w:val="0"/>
              <w:adjustRightInd w:val="0"/>
              <w:snapToGrid w:val="0"/>
              <w:jc w:val="center"/>
              <w:rPr>
                <w:rFonts w:cs="宋体"/>
                <w:color w:val="000000"/>
                <w:kern w:val="0"/>
                <w:szCs w:val="21"/>
              </w:rPr>
            </w:pPr>
            <w:r>
              <w:rPr>
                <w:rFonts w:hint="eastAsia" w:cs="宋体"/>
                <w:color w:val="000000"/>
                <w:kern w:val="0"/>
                <w:szCs w:val="21"/>
              </w:rPr>
              <w:t>其他符合性分析</w:t>
            </w:r>
          </w:p>
        </w:tc>
        <w:tc>
          <w:tcPr>
            <w:tcW w:w="8262" w:type="dxa"/>
            <w:gridSpan w:val="4"/>
            <w:vAlign w:val="center"/>
          </w:tcPr>
          <w:p w14:paraId="31A9C8AC">
            <w:pPr>
              <w:autoSpaceDE w:val="0"/>
              <w:autoSpaceDN w:val="0"/>
              <w:adjustRightInd w:val="0"/>
              <w:snapToGrid w:val="0"/>
              <w:spacing w:line="480" w:lineRule="exact"/>
              <w:ind w:firstLine="482" w:firstLineChars="200"/>
              <w:rPr>
                <w:rFonts w:cs="宋体"/>
                <w:b/>
                <w:bCs/>
                <w:color w:val="000000"/>
                <w:kern w:val="0"/>
                <w:szCs w:val="21"/>
              </w:rPr>
            </w:pPr>
            <w:r>
              <w:rPr>
                <w:rFonts w:hint="eastAsia" w:cs="宋体"/>
                <w:b/>
                <w:bCs/>
                <w:color w:val="000000"/>
                <w:kern w:val="0"/>
                <w:szCs w:val="21"/>
              </w:rPr>
              <w:t>1、项目产业政策符合性</w:t>
            </w:r>
          </w:p>
          <w:p w14:paraId="436606AF">
            <w:pPr>
              <w:autoSpaceDE w:val="0"/>
              <w:autoSpaceDN w:val="0"/>
              <w:adjustRightInd w:val="0"/>
              <w:snapToGrid w:val="0"/>
              <w:spacing w:line="480" w:lineRule="exact"/>
              <w:ind w:firstLine="480" w:firstLineChars="200"/>
              <w:rPr>
                <w:rFonts w:cs="宋体"/>
                <w:color w:val="000000"/>
                <w:kern w:val="0"/>
                <w:szCs w:val="21"/>
              </w:rPr>
            </w:pPr>
            <w:r>
              <w:rPr>
                <w:rFonts w:hint="eastAsia" w:cs="宋体"/>
                <w:color w:val="000000"/>
                <w:kern w:val="0"/>
                <w:szCs w:val="21"/>
              </w:rPr>
              <w:t>对照《市场准入负面清单（2022年版）》，本项目不属于清单中规定的禁止准入类项目；对照《产业结构调整指导目录（2024年本）》，本项目不属于目录中规定的限制、淘汰类项目，为允许类项目。目前，项目已在唐山市曹妃甸区行政审批局进行备案，备案编号：唐曹审批投资备〔2024〕382号（项目代码：2412-130209-89-02-237074）。因此，本项目符合产业政策要求。</w:t>
            </w:r>
          </w:p>
          <w:p w14:paraId="252AE1E7">
            <w:pPr>
              <w:autoSpaceDE w:val="0"/>
              <w:autoSpaceDN w:val="0"/>
              <w:adjustRightInd w:val="0"/>
              <w:snapToGrid w:val="0"/>
              <w:spacing w:line="480" w:lineRule="exact"/>
              <w:ind w:firstLine="482" w:firstLineChars="200"/>
              <w:rPr>
                <w:rFonts w:cs="宋体"/>
                <w:b/>
                <w:bCs/>
                <w:color w:val="000000"/>
                <w:kern w:val="0"/>
                <w:szCs w:val="21"/>
              </w:rPr>
            </w:pPr>
            <w:r>
              <w:rPr>
                <w:rFonts w:hint="eastAsia" w:cs="宋体"/>
                <w:b/>
                <w:bCs/>
                <w:color w:val="000000"/>
                <w:kern w:val="0"/>
                <w:szCs w:val="21"/>
              </w:rPr>
              <w:t>2、项目与“三线一单”符合性分析</w:t>
            </w:r>
          </w:p>
          <w:p w14:paraId="002719CB">
            <w:pPr>
              <w:autoSpaceDE w:val="0"/>
              <w:autoSpaceDN w:val="0"/>
              <w:adjustRightInd w:val="0"/>
              <w:snapToGrid w:val="0"/>
              <w:spacing w:line="480" w:lineRule="exact"/>
              <w:ind w:firstLine="480" w:firstLineChars="200"/>
              <w:rPr>
                <w:rFonts w:cs="宋体"/>
                <w:color w:val="000000"/>
                <w:kern w:val="0"/>
                <w:szCs w:val="21"/>
              </w:rPr>
            </w:pPr>
            <w:r>
              <w:rPr>
                <w:rFonts w:hint="eastAsia" w:cs="宋体"/>
                <w:color w:val="000000"/>
                <w:kern w:val="0"/>
                <w:szCs w:val="21"/>
              </w:rPr>
              <w:t>根据《河北省生态保护红线》及《河北省唐山市生态保护红线方案》，本项目不占用生态保护红线，距离项目最近的生态保护红线为西侧约3.5km处的</w:t>
            </w:r>
            <w:r>
              <w:rPr>
                <w:color w:val="000000" w:themeColor="text1"/>
              </w:rPr>
              <w:t>曹妃甸湿地和鸟类省级自然保护区</w:t>
            </w:r>
            <w:r>
              <w:rPr>
                <w:rFonts w:hint="eastAsia"/>
                <w:color w:val="000000" w:themeColor="text1"/>
              </w:rPr>
              <w:t>实</w:t>
            </w:r>
            <w:r>
              <w:rPr>
                <w:color w:val="000000" w:themeColor="text1"/>
              </w:rPr>
              <w:t>验区</w:t>
            </w:r>
            <w:r>
              <w:rPr>
                <w:rFonts w:hint="eastAsia" w:cs="宋体"/>
                <w:color w:val="000000"/>
                <w:kern w:val="0"/>
                <w:szCs w:val="21"/>
              </w:rPr>
              <w:t>，距离较远，不在本次评价范围内。对照</w:t>
            </w:r>
            <w:r>
              <w:rPr>
                <w:rFonts w:hint="eastAsia"/>
                <w:color w:val="000000" w:themeColor="text1"/>
              </w:rPr>
              <w:t>《河北省人民政府关于加快实施“三线一单”生态环境分区管控的意见》（冀政字〔</w:t>
            </w:r>
            <w:r>
              <w:rPr>
                <w:color w:val="000000" w:themeColor="text1"/>
              </w:rPr>
              <w:t>2020〕71号）</w:t>
            </w:r>
            <w:r>
              <w:rPr>
                <w:rFonts w:hint="eastAsia"/>
                <w:color w:val="000000" w:themeColor="text1"/>
              </w:rPr>
              <w:t>、《河北省生态环境管控单元更新成果（2023 版）》、</w:t>
            </w:r>
            <w:r>
              <w:rPr>
                <w:rFonts w:hint="eastAsia" w:cs="宋体"/>
                <w:color w:val="000000"/>
                <w:kern w:val="0"/>
                <w:szCs w:val="21"/>
              </w:rPr>
              <w:t>《</w:t>
            </w:r>
            <w:r>
              <w:t>唐山市人民政府关于实施“三线一单”生态环境分区管控的意见</w:t>
            </w:r>
            <w:r>
              <w:rPr>
                <w:rFonts w:hint="eastAsia" w:cs="宋体"/>
                <w:color w:val="000000"/>
                <w:kern w:val="0"/>
                <w:szCs w:val="21"/>
              </w:rPr>
              <w:t>》（</w:t>
            </w:r>
            <w:r>
              <w:rPr>
                <w:rFonts w:hint="eastAsia"/>
              </w:rPr>
              <w:t>唐政字〔</w:t>
            </w:r>
            <w:r>
              <w:t>2021〕48号</w:t>
            </w:r>
            <w:r>
              <w:rPr>
                <w:rFonts w:hint="eastAsia" w:cs="宋体"/>
                <w:color w:val="000000"/>
                <w:kern w:val="0"/>
                <w:szCs w:val="21"/>
              </w:rPr>
              <w:t>）、《</w:t>
            </w:r>
            <w:r>
              <w:rPr>
                <w:rFonts w:hint="eastAsia"/>
              </w:rPr>
              <w:t>唐山市生态环境准入清单（2023年版）</w:t>
            </w:r>
            <w:r>
              <w:rPr>
                <w:rFonts w:hint="eastAsia" w:cs="宋体"/>
                <w:color w:val="000000"/>
                <w:kern w:val="0"/>
                <w:szCs w:val="21"/>
              </w:rPr>
              <w:t>》及《</w:t>
            </w:r>
            <w:r>
              <w:rPr>
                <w:rFonts w:hint="eastAsia"/>
              </w:rPr>
              <w:t>唐山市生态环境准入清单动态更新成果</w:t>
            </w:r>
            <w:r>
              <w:rPr>
                <w:rFonts w:hint="eastAsia" w:cs="宋体"/>
                <w:color w:val="000000"/>
                <w:kern w:val="0"/>
                <w:szCs w:val="21"/>
              </w:rPr>
              <w:t>》，项目位于重点管控单元，编号为ZH13020920003，具体符合性分析见下表。</w:t>
            </w:r>
          </w:p>
          <w:p w14:paraId="56D73B5F">
            <w:pPr>
              <w:autoSpaceDE w:val="0"/>
              <w:autoSpaceDN w:val="0"/>
              <w:adjustRightInd w:val="0"/>
              <w:snapToGrid w:val="0"/>
              <w:spacing w:line="480" w:lineRule="exact"/>
              <w:ind w:firstLine="480" w:firstLineChars="200"/>
              <w:jc w:val="center"/>
              <w:rPr>
                <w:rFonts w:eastAsia="黑体" w:cs="宋体"/>
                <w:color w:val="000000"/>
                <w:kern w:val="0"/>
                <w:szCs w:val="21"/>
              </w:rPr>
            </w:pPr>
            <w:r>
              <w:rPr>
                <w:rFonts w:hint="eastAsia" w:eastAsia="黑体" w:cs="宋体"/>
                <w:color w:val="000000"/>
                <w:kern w:val="0"/>
                <w:szCs w:val="21"/>
              </w:rPr>
              <w:t>表1</w:t>
            </w:r>
            <w:r>
              <w:rPr>
                <w:rFonts w:eastAsia="黑体" w:cs="宋体"/>
                <w:color w:val="000000"/>
                <w:kern w:val="0"/>
                <w:szCs w:val="21"/>
              </w:rPr>
              <w:t>.</w:t>
            </w:r>
            <w:r>
              <w:rPr>
                <w:rFonts w:hint="eastAsia" w:eastAsia="黑体" w:cs="宋体"/>
                <w:color w:val="000000"/>
                <w:kern w:val="0"/>
                <w:szCs w:val="21"/>
              </w:rPr>
              <w:t>3</w:t>
            </w:r>
            <w:r>
              <w:rPr>
                <w:rFonts w:eastAsia="黑体" w:cs="宋体"/>
                <w:color w:val="000000"/>
                <w:kern w:val="0"/>
                <w:szCs w:val="21"/>
              </w:rPr>
              <w:t xml:space="preserve">  </w:t>
            </w:r>
            <w:r>
              <w:rPr>
                <w:rFonts w:hint="eastAsia" w:eastAsia="黑体" w:cs="宋体"/>
                <w:color w:val="000000"/>
                <w:kern w:val="0"/>
                <w:szCs w:val="21"/>
              </w:rPr>
              <w:t>本项目同《河北省人民政府关于加快实施“三线一单”生态环境分区管控的意见》符合性分析一览表</w:t>
            </w:r>
          </w:p>
          <w:tbl>
            <w:tblPr>
              <w:tblStyle w:val="28"/>
              <w:tblW w:w="491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686"/>
              <w:gridCol w:w="4483"/>
              <w:gridCol w:w="2247"/>
              <w:gridCol w:w="492"/>
            </w:tblGrid>
            <w:tr w14:paraId="009517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69" w:hRule="atLeast"/>
                <w:tblHeader/>
                <w:jc w:val="center"/>
              </w:trPr>
              <w:tc>
                <w:tcPr>
                  <w:tcW w:w="429" w:type="pct"/>
                  <w:vAlign w:val="center"/>
                </w:tcPr>
                <w:p w14:paraId="385B9755">
                  <w:pPr>
                    <w:pStyle w:val="73"/>
                    <w:rPr>
                      <w:color w:val="000000" w:themeColor="text1"/>
                    </w:rPr>
                  </w:pPr>
                  <w:r>
                    <w:rPr>
                      <w:color w:val="000000" w:themeColor="text1"/>
                    </w:rPr>
                    <w:t>项目</w:t>
                  </w:r>
                </w:p>
              </w:tc>
              <w:tc>
                <w:tcPr>
                  <w:tcW w:w="2835" w:type="pct"/>
                  <w:vAlign w:val="center"/>
                </w:tcPr>
                <w:p w14:paraId="3CE089D6">
                  <w:pPr>
                    <w:pStyle w:val="73"/>
                    <w:rPr>
                      <w:color w:val="000000" w:themeColor="text1"/>
                    </w:rPr>
                  </w:pPr>
                  <w:r>
                    <w:rPr>
                      <w:color w:val="000000" w:themeColor="text1"/>
                    </w:rPr>
                    <w:t>主要内容</w:t>
                  </w:r>
                </w:p>
              </w:tc>
              <w:tc>
                <w:tcPr>
                  <w:tcW w:w="1422" w:type="pct"/>
                  <w:vAlign w:val="center"/>
                </w:tcPr>
                <w:p w14:paraId="2E443706">
                  <w:pPr>
                    <w:pStyle w:val="73"/>
                    <w:rPr>
                      <w:color w:val="000000" w:themeColor="text1"/>
                    </w:rPr>
                  </w:pPr>
                  <w:r>
                    <w:rPr>
                      <w:color w:val="000000" w:themeColor="text1"/>
                    </w:rPr>
                    <w:t>拟建项目相关情况</w:t>
                  </w:r>
                </w:p>
              </w:tc>
              <w:tc>
                <w:tcPr>
                  <w:tcW w:w="312" w:type="pct"/>
                  <w:vAlign w:val="center"/>
                </w:tcPr>
                <w:p w14:paraId="4FE1445C">
                  <w:pPr>
                    <w:pStyle w:val="73"/>
                    <w:rPr>
                      <w:color w:val="000000" w:themeColor="text1"/>
                    </w:rPr>
                  </w:pPr>
                  <w:r>
                    <w:rPr>
                      <w:color w:val="000000" w:themeColor="text1"/>
                    </w:rPr>
                    <w:t>符合性分析</w:t>
                  </w:r>
                </w:p>
              </w:tc>
            </w:tr>
            <w:tr w14:paraId="1D1E94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429" w:type="pct"/>
                  <w:vMerge w:val="restart"/>
                  <w:vAlign w:val="center"/>
                </w:tcPr>
                <w:p w14:paraId="0F65CA29">
                  <w:pPr>
                    <w:pStyle w:val="73"/>
                    <w:rPr>
                      <w:color w:val="000000" w:themeColor="text1"/>
                    </w:rPr>
                  </w:pPr>
                  <w:r>
                    <w:rPr>
                      <w:color w:val="000000" w:themeColor="text1"/>
                    </w:rPr>
                    <w:t>（三）主要目标</w:t>
                  </w:r>
                </w:p>
              </w:tc>
              <w:tc>
                <w:tcPr>
                  <w:tcW w:w="2835" w:type="pct"/>
                  <w:vAlign w:val="center"/>
                </w:tcPr>
                <w:p w14:paraId="6C568312">
                  <w:pPr>
                    <w:pStyle w:val="73"/>
                    <w:jc w:val="both"/>
                    <w:rPr>
                      <w:color w:val="000000" w:themeColor="text1"/>
                    </w:rPr>
                  </w:pPr>
                  <w:r>
                    <w:rPr>
                      <w:color w:val="000000" w:themeColor="text1"/>
                    </w:rPr>
                    <w:t>到2025年，建立健全以</w:t>
                  </w:r>
                  <w:r>
                    <w:rPr>
                      <w:rFonts w:hint="eastAsia"/>
                      <w:color w:val="000000" w:themeColor="text1"/>
                    </w:rPr>
                    <w:t>“</w:t>
                  </w:r>
                  <w:r>
                    <w:rPr>
                      <w:color w:val="000000" w:themeColor="text1"/>
                    </w:rPr>
                    <w:t>三线一单</w:t>
                  </w:r>
                  <w:r>
                    <w:rPr>
                      <w:rFonts w:hint="eastAsia"/>
                      <w:color w:val="000000" w:themeColor="text1"/>
                    </w:rPr>
                    <w:t>”</w:t>
                  </w:r>
                  <w:r>
                    <w:rPr>
                      <w:color w:val="000000" w:themeColor="text1"/>
                    </w:rPr>
                    <w:t>为核心的生态环境分区管控体系，资源高效利用，环境质量明显改善，人居环境安全得到有效保障，环境治理体系和治理能力现代化取得重大提升，打造山水林田湖草海一体化生态系统格局。</w:t>
                  </w:r>
                </w:p>
              </w:tc>
              <w:tc>
                <w:tcPr>
                  <w:tcW w:w="1422" w:type="pct"/>
                  <w:vAlign w:val="center"/>
                </w:tcPr>
                <w:p w14:paraId="17F90FA1">
                  <w:pPr>
                    <w:pStyle w:val="73"/>
                    <w:jc w:val="both"/>
                    <w:rPr>
                      <w:color w:val="000000" w:themeColor="text1"/>
                    </w:rPr>
                  </w:pPr>
                  <w:r>
                    <w:rPr>
                      <w:color w:val="000000" w:themeColor="text1"/>
                    </w:rPr>
                    <w:t>项目满足唐山市生态环境分区管控要求及</w:t>
                  </w:r>
                  <w:r>
                    <w:rPr>
                      <w:rFonts w:hint="eastAsia"/>
                      <w:color w:val="000000" w:themeColor="text1"/>
                    </w:rPr>
                    <w:t>曹妃甸中小企业园区</w:t>
                  </w:r>
                  <w:r>
                    <w:rPr>
                      <w:color w:val="000000" w:themeColor="text1"/>
                    </w:rPr>
                    <w:t>总体规划管控要求</w:t>
                  </w:r>
                </w:p>
              </w:tc>
              <w:tc>
                <w:tcPr>
                  <w:tcW w:w="312" w:type="pct"/>
                  <w:vAlign w:val="center"/>
                </w:tcPr>
                <w:p w14:paraId="6C0D9094">
                  <w:pPr>
                    <w:pStyle w:val="73"/>
                    <w:rPr>
                      <w:color w:val="000000" w:themeColor="text1"/>
                    </w:rPr>
                  </w:pPr>
                  <w:r>
                    <w:rPr>
                      <w:color w:val="000000" w:themeColor="text1"/>
                    </w:rPr>
                    <w:t>符合</w:t>
                  </w:r>
                </w:p>
              </w:tc>
            </w:tr>
            <w:tr w14:paraId="6B782A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429" w:type="pct"/>
                  <w:vMerge w:val="continue"/>
                  <w:vAlign w:val="center"/>
                </w:tcPr>
                <w:p w14:paraId="2136B0BB">
                  <w:pPr>
                    <w:pStyle w:val="73"/>
                    <w:rPr>
                      <w:color w:val="000000" w:themeColor="text1"/>
                    </w:rPr>
                  </w:pPr>
                </w:p>
              </w:tc>
              <w:tc>
                <w:tcPr>
                  <w:tcW w:w="2835" w:type="pct"/>
                  <w:vAlign w:val="center"/>
                </w:tcPr>
                <w:p w14:paraId="3F994304">
                  <w:pPr>
                    <w:pStyle w:val="73"/>
                    <w:jc w:val="both"/>
                    <w:rPr>
                      <w:color w:val="000000" w:themeColor="text1"/>
                    </w:rPr>
                  </w:pPr>
                  <w:r>
                    <w:rPr>
                      <w:color w:val="000000" w:themeColor="text1"/>
                    </w:rPr>
                    <w:t>生态保护红线。重要生态功能区域生态功能不降低、面积不减少、性质不改变。</w:t>
                  </w:r>
                </w:p>
              </w:tc>
              <w:tc>
                <w:tcPr>
                  <w:tcW w:w="1422" w:type="pct"/>
                  <w:vAlign w:val="center"/>
                </w:tcPr>
                <w:p w14:paraId="605455A5">
                  <w:pPr>
                    <w:pStyle w:val="73"/>
                    <w:jc w:val="both"/>
                    <w:rPr>
                      <w:color w:val="000000" w:themeColor="text1"/>
                    </w:rPr>
                  </w:pPr>
                  <w:bookmarkStart w:id="2" w:name="_Hlk154646121"/>
                  <w:r>
                    <w:rPr>
                      <w:color w:val="000000" w:themeColor="text1"/>
                    </w:rPr>
                    <w:t>项目不占用生态保护红线</w:t>
                  </w:r>
                  <w:bookmarkEnd w:id="2"/>
                </w:p>
              </w:tc>
              <w:tc>
                <w:tcPr>
                  <w:tcW w:w="312" w:type="pct"/>
                  <w:vAlign w:val="center"/>
                </w:tcPr>
                <w:p w14:paraId="74CF834F">
                  <w:pPr>
                    <w:pStyle w:val="73"/>
                    <w:rPr>
                      <w:color w:val="000000" w:themeColor="text1"/>
                    </w:rPr>
                  </w:pPr>
                  <w:r>
                    <w:rPr>
                      <w:color w:val="000000" w:themeColor="text1"/>
                    </w:rPr>
                    <w:t>符合</w:t>
                  </w:r>
                </w:p>
              </w:tc>
            </w:tr>
            <w:tr w14:paraId="7BC614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429" w:type="pct"/>
                  <w:vMerge w:val="continue"/>
                  <w:vAlign w:val="center"/>
                </w:tcPr>
                <w:p w14:paraId="53025B37">
                  <w:pPr>
                    <w:pStyle w:val="73"/>
                    <w:rPr>
                      <w:color w:val="000000" w:themeColor="text1"/>
                    </w:rPr>
                  </w:pPr>
                </w:p>
              </w:tc>
              <w:tc>
                <w:tcPr>
                  <w:tcW w:w="2835" w:type="pct"/>
                  <w:vAlign w:val="center"/>
                </w:tcPr>
                <w:p w14:paraId="3D77CF45">
                  <w:pPr>
                    <w:pStyle w:val="73"/>
                    <w:jc w:val="both"/>
                    <w:rPr>
                      <w:color w:val="000000" w:themeColor="text1"/>
                    </w:rPr>
                  </w:pPr>
                  <w:r>
                    <w:rPr>
                      <w:color w:val="000000" w:themeColor="text1"/>
                    </w:rPr>
                    <w:t>环境质量底线。到2025年，地表水国考断面优良（Ⅲ类以上）比例、近岸海域优良海水比例逐步提升；PM</w:t>
                  </w:r>
                  <w:r>
                    <w:rPr>
                      <w:color w:val="000000" w:themeColor="text1"/>
                      <w:vertAlign w:val="subscript"/>
                    </w:rPr>
                    <w:t>2.5</w:t>
                  </w:r>
                  <w:r>
                    <w:rPr>
                      <w:color w:val="000000" w:themeColor="text1"/>
                    </w:rPr>
                    <w:t>年均浓度持续降低、优良天数比例稳步提升；土壤受污染耕地安全利用率、污染地块安全利用率进一步提升。</w:t>
                  </w:r>
                </w:p>
              </w:tc>
              <w:tc>
                <w:tcPr>
                  <w:tcW w:w="1422" w:type="pct"/>
                  <w:vAlign w:val="center"/>
                </w:tcPr>
                <w:p w14:paraId="7A704780">
                  <w:pPr>
                    <w:pStyle w:val="73"/>
                    <w:jc w:val="both"/>
                    <w:rPr>
                      <w:color w:val="000000" w:themeColor="text1"/>
                    </w:rPr>
                  </w:pPr>
                  <w:r>
                    <w:rPr>
                      <w:rFonts w:hint="eastAsia"/>
                      <w:color w:val="000000" w:themeColor="text1"/>
                    </w:rPr>
                    <w:t>项目不用水，无废水产生</w:t>
                  </w:r>
                </w:p>
              </w:tc>
              <w:tc>
                <w:tcPr>
                  <w:tcW w:w="312" w:type="pct"/>
                  <w:vAlign w:val="center"/>
                </w:tcPr>
                <w:p w14:paraId="0A91CE22">
                  <w:pPr>
                    <w:pStyle w:val="73"/>
                    <w:rPr>
                      <w:color w:val="000000" w:themeColor="text1"/>
                    </w:rPr>
                  </w:pPr>
                  <w:r>
                    <w:rPr>
                      <w:color w:val="000000" w:themeColor="text1"/>
                    </w:rPr>
                    <w:t>符合</w:t>
                  </w:r>
                </w:p>
              </w:tc>
            </w:tr>
            <w:tr w14:paraId="7D7AF4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429" w:type="pct"/>
                  <w:vMerge w:val="continue"/>
                  <w:vAlign w:val="center"/>
                </w:tcPr>
                <w:p w14:paraId="36691726">
                  <w:pPr>
                    <w:pStyle w:val="73"/>
                    <w:rPr>
                      <w:color w:val="000000" w:themeColor="text1"/>
                    </w:rPr>
                  </w:pPr>
                </w:p>
              </w:tc>
              <w:tc>
                <w:tcPr>
                  <w:tcW w:w="2835" w:type="pct"/>
                  <w:vAlign w:val="center"/>
                </w:tcPr>
                <w:p w14:paraId="771E5FE8">
                  <w:pPr>
                    <w:pStyle w:val="73"/>
                    <w:jc w:val="both"/>
                    <w:rPr>
                      <w:color w:val="000000" w:themeColor="text1"/>
                    </w:rPr>
                  </w:pPr>
                  <w:r>
                    <w:rPr>
                      <w:color w:val="000000" w:themeColor="text1"/>
                    </w:rPr>
                    <w:t>资源利用上线。以保障生态安全、改善环境质量为核心，合理确定全省资源利用上线目标，实现水资源与水环境、能源与大气环境、岸线与海洋环境的协同管控。</w:t>
                  </w:r>
                </w:p>
              </w:tc>
              <w:tc>
                <w:tcPr>
                  <w:tcW w:w="1422" w:type="pct"/>
                  <w:vAlign w:val="center"/>
                </w:tcPr>
                <w:p w14:paraId="44523463">
                  <w:pPr>
                    <w:pStyle w:val="73"/>
                    <w:jc w:val="both"/>
                    <w:rPr>
                      <w:color w:val="000000" w:themeColor="text1"/>
                    </w:rPr>
                  </w:pPr>
                  <w:r>
                    <w:rPr>
                      <w:rFonts w:hint="eastAsia"/>
                      <w:color w:val="000000" w:themeColor="text1"/>
                    </w:rPr>
                    <w:t>项目消耗的主要能源为电，不用水，用电依托当地电网</w:t>
                  </w:r>
                </w:p>
              </w:tc>
              <w:tc>
                <w:tcPr>
                  <w:tcW w:w="312" w:type="pct"/>
                  <w:vAlign w:val="center"/>
                </w:tcPr>
                <w:p w14:paraId="6C8DB24A">
                  <w:pPr>
                    <w:pStyle w:val="73"/>
                    <w:rPr>
                      <w:color w:val="000000" w:themeColor="text1"/>
                    </w:rPr>
                  </w:pPr>
                  <w:r>
                    <w:rPr>
                      <w:color w:val="000000" w:themeColor="text1"/>
                    </w:rPr>
                    <w:t>符合</w:t>
                  </w:r>
                </w:p>
              </w:tc>
            </w:tr>
            <w:tr w14:paraId="5F321E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429" w:type="pct"/>
                  <w:vAlign w:val="center"/>
                </w:tcPr>
                <w:p w14:paraId="2EB974DB">
                  <w:pPr>
                    <w:pStyle w:val="73"/>
                    <w:rPr>
                      <w:color w:val="000000" w:themeColor="text1"/>
                    </w:rPr>
                  </w:pPr>
                  <w:r>
                    <w:rPr>
                      <w:color w:val="000000" w:themeColor="text1"/>
                    </w:rPr>
                    <w:t>二、构建生态环境分区管控体系</w:t>
                  </w:r>
                </w:p>
              </w:tc>
              <w:tc>
                <w:tcPr>
                  <w:tcW w:w="2835" w:type="pct"/>
                  <w:vAlign w:val="center"/>
                </w:tcPr>
                <w:p w14:paraId="6E0E0C3A">
                  <w:pPr>
                    <w:pStyle w:val="73"/>
                    <w:jc w:val="both"/>
                    <w:rPr>
                      <w:color w:val="000000" w:themeColor="text1"/>
                    </w:rPr>
                  </w:pPr>
                  <w:r>
                    <w:rPr>
                      <w:color w:val="000000" w:themeColor="text1"/>
                    </w:rPr>
                    <w:t>（二）生态环境管控总体要求。省级以上产业园区重点管控单元。严格产业准入，完善园区设施建设，推动设施提标改造；实施污染物总量控制，落实排污许可证制度；强化资源利用效率和地下水开采管控。</w:t>
                  </w:r>
                </w:p>
              </w:tc>
              <w:tc>
                <w:tcPr>
                  <w:tcW w:w="1422" w:type="pct"/>
                  <w:vAlign w:val="center"/>
                </w:tcPr>
                <w:p w14:paraId="27AE185E">
                  <w:pPr>
                    <w:pStyle w:val="73"/>
                    <w:jc w:val="both"/>
                    <w:rPr>
                      <w:color w:val="000000" w:themeColor="text1"/>
                    </w:rPr>
                  </w:pPr>
                  <w:r>
                    <w:rPr>
                      <w:color w:val="000000" w:themeColor="text1"/>
                    </w:rPr>
                    <w:t>本项目符合</w:t>
                  </w:r>
                  <w:r>
                    <w:rPr>
                      <w:rFonts w:hint="eastAsia"/>
                      <w:color w:val="000000" w:themeColor="text1"/>
                    </w:rPr>
                    <w:t>园区</w:t>
                  </w:r>
                  <w:r>
                    <w:rPr>
                      <w:color w:val="000000" w:themeColor="text1"/>
                    </w:rPr>
                    <w:t>产业准入要求，</w:t>
                  </w:r>
                  <w:r>
                    <w:rPr>
                      <w:rFonts w:hint="eastAsia"/>
                      <w:color w:val="000000" w:themeColor="text1"/>
                    </w:rPr>
                    <w:t>并</w:t>
                  </w:r>
                  <w:r>
                    <w:rPr>
                      <w:color w:val="000000" w:themeColor="text1"/>
                    </w:rPr>
                    <w:t>落实污染物总量控制</w:t>
                  </w:r>
                  <w:r>
                    <w:rPr>
                      <w:rFonts w:hint="eastAsia"/>
                      <w:color w:val="000000" w:themeColor="text1"/>
                    </w:rPr>
                    <w:t>要求，项目不开采地下水</w:t>
                  </w:r>
                </w:p>
              </w:tc>
              <w:tc>
                <w:tcPr>
                  <w:tcW w:w="312" w:type="pct"/>
                  <w:vAlign w:val="center"/>
                </w:tcPr>
                <w:p w14:paraId="1EFE968D">
                  <w:pPr>
                    <w:pStyle w:val="73"/>
                    <w:rPr>
                      <w:color w:val="000000" w:themeColor="text1"/>
                    </w:rPr>
                  </w:pPr>
                  <w:r>
                    <w:rPr>
                      <w:color w:val="000000" w:themeColor="text1"/>
                    </w:rPr>
                    <w:t>符合</w:t>
                  </w:r>
                </w:p>
              </w:tc>
            </w:tr>
          </w:tbl>
          <w:p w14:paraId="48438E17">
            <w:pPr>
              <w:autoSpaceDE w:val="0"/>
              <w:autoSpaceDN w:val="0"/>
              <w:adjustRightInd w:val="0"/>
              <w:snapToGrid w:val="0"/>
              <w:spacing w:line="480" w:lineRule="exact"/>
              <w:ind w:firstLine="480" w:firstLineChars="200"/>
              <w:jc w:val="center"/>
              <w:rPr>
                <w:rFonts w:eastAsia="黑体" w:cs="宋体"/>
                <w:color w:val="000000"/>
                <w:kern w:val="0"/>
                <w:szCs w:val="21"/>
              </w:rPr>
            </w:pPr>
            <w:r>
              <w:rPr>
                <w:rFonts w:hint="eastAsia" w:eastAsia="黑体" w:cs="宋体"/>
                <w:color w:val="000000"/>
                <w:kern w:val="0"/>
                <w:szCs w:val="21"/>
              </w:rPr>
              <w:t>表1</w:t>
            </w:r>
            <w:r>
              <w:rPr>
                <w:rFonts w:eastAsia="黑体" w:cs="宋体"/>
                <w:color w:val="000000"/>
                <w:kern w:val="0"/>
                <w:szCs w:val="21"/>
              </w:rPr>
              <w:t>.</w:t>
            </w:r>
            <w:r>
              <w:rPr>
                <w:rFonts w:hint="eastAsia" w:eastAsia="黑体" w:cs="宋体"/>
                <w:color w:val="000000"/>
                <w:kern w:val="0"/>
                <w:szCs w:val="21"/>
              </w:rPr>
              <w:t>4</w:t>
            </w:r>
            <w:r>
              <w:rPr>
                <w:rFonts w:eastAsia="黑体" w:cs="宋体"/>
                <w:color w:val="000000"/>
                <w:kern w:val="0"/>
                <w:szCs w:val="21"/>
              </w:rPr>
              <w:t xml:space="preserve">  </w:t>
            </w:r>
            <w:r>
              <w:rPr>
                <w:rFonts w:hint="eastAsia" w:eastAsia="黑体" w:cs="宋体"/>
                <w:color w:val="000000"/>
                <w:kern w:val="0"/>
                <w:szCs w:val="21"/>
              </w:rPr>
              <w:t>本项目同《唐山市生态环境准入清单动态更新成果》符合性分析一览表</w:t>
            </w:r>
          </w:p>
          <w:tbl>
            <w:tblPr>
              <w:tblStyle w:val="2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491"/>
              <w:gridCol w:w="266"/>
              <w:gridCol w:w="4142"/>
              <w:gridCol w:w="1880"/>
              <w:gridCol w:w="267"/>
            </w:tblGrid>
            <w:tr w14:paraId="709550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blHeader/>
              </w:trPr>
              <w:tc>
                <w:tcPr>
                  <w:tcW w:w="219" w:type="pct"/>
                  <w:vAlign w:val="center"/>
                </w:tcPr>
                <w:p w14:paraId="605044CA">
                  <w:pPr>
                    <w:pStyle w:val="73"/>
                  </w:pPr>
                  <w:bookmarkStart w:id="3" w:name="_Hlk160544925"/>
                  <w:r>
                    <w:t>项目</w:t>
                  </w:r>
                </w:p>
              </w:tc>
              <w:tc>
                <w:tcPr>
                  <w:tcW w:w="3143" w:type="pct"/>
                  <w:gridSpan w:val="2"/>
                  <w:vAlign w:val="center"/>
                </w:tcPr>
                <w:p w14:paraId="708F4F36">
                  <w:pPr>
                    <w:pStyle w:val="73"/>
                  </w:pPr>
                  <w:r>
                    <w:t>主要内容</w:t>
                  </w:r>
                </w:p>
              </w:tc>
              <w:tc>
                <w:tcPr>
                  <w:tcW w:w="1370" w:type="pct"/>
                  <w:vAlign w:val="center"/>
                </w:tcPr>
                <w:p w14:paraId="3F7FA1FF">
                  <w:pPr>
                    <w:pStyle w:val="73"/>
                  </w:pPr>
                  <w:r>
                    <w:t>拟建项目相关情况</w:t>
                  </w:r>
                </w:p>
              </w:tc>
              <w:tc>
                <w:tcPr>
                  <w:tcW w:w="266" w:type="pct"/>
                  <w:vAlign w:val="center"/>
                </w:tcPr>
                <w:p w14:paraId="23934279">
                  <w:pPr>
                    <w:pStyle w:val="73"/>
                  </w:pPr>
                  <w:r>
                    <w:t>符合性</w:t>
                  </w:r>
                </w:p>
              </w:tc>
            </w:tr>
            <w:tr w14:paraId="51AB69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219" w:type="pct"/>
                  <w:vMerge w:val="restart"/>
                  <w:vAlign w:val="center"/>
                </w:tcPr>
                <w:p w14:paraId="08ED7FFC">
                  <w:pPr>
                    <w:pStyle w:val="73"/>
                    <w:rPr>
                      <w:lang w:bidi="en-US"/>
                    </w:rPr>
                  </w:pPr>
                  <w:bookmarkStart w:id="4" w:name="_Hlk160544767"/>
                  <w:r>
                    <w:rPr>
                      <w:lang w:bidi="en-US"/>
                    </w:rPr>
                    <w:t>产业总体布局要求</w:t>
                  </w:r>
                  <w:bookmarkEnd w:id="4"/>
                </w:p>
              </w:tc>
              <w:tc>
                <w:tcPr>
                  <w:tcW w:w="346" w:type="pct"/>
                  <w:vMerge w:val="restart"/>
                  <w:vAlign w:val="center"/>
                </w:tcPr>
                <w:p w14:paraId="11BD2CED">
                  <w:pPr>
                    <w:pStyle w:val="73"/>
                    <w:rPr>
                      <w:lang w:bidi="en-US"/>
                    </w:rPr>
                  </w:pPr>
                  <w:r>
                    <w:rPr>
                      <w:lang w:bidi="en-US"/>
                    </w:rPr>
                    <w:t>空间布局约束</w:t>
                  </w:r>
                </w:p>
              </w:tc>
              <w:tc>
                <w:tcPr>
                  <w:tcW w:w="2796" w:type="pct"/>
                  <w:vAlign w:val="center"/>
                </w:tcPr>
                <w:p w14:paraId="610F3B6F">
                  <w:pPr>
                    <w:pStyle w:val="73"/>
                    <w:jc w:val="both"/>
                  </w:pPr>
                  <w:r>
                    <w:t>1.严格执行《产业结构调整指导目录》《市场准入负面清单》《河北省禁止投资的产业目录》以及《河北省新增限制和淘汰类目录》相关要求。</w:t>
                  </w:r>
                </w:p>
              </w:tc>
              <w:tc>
                <w:tcPr>
                  <w:tcW w:w="1370" w:type="pct"/>
                  <w:vAlign w:val="center"/>
                </w:tcPr>
                <w:p w14:paraId="00358428">
                  <w:pPr>
                    <w:pStyle w:val="73"/>
                  </w:pPr>
                  <w:r>
                    <w:rPr>
                      <w:rFonts w:hint="eastAsia"/>
                    </w:rPr>
                    <w:t>本项目为相关文件中的允许类项目</w:t>
                  </w:r>
                </w:p>
              </w:tc>
              <w:tc>
                <w:tcPr>
                  <w:tcW w:w="266" w:type="pct"/>
                  <w:vAlign w:val="center"/>
                </w:tcPr>
                <w:p w14:paraId="1F0B9BCA">
                  <w:pPr>
                    <w:pStyle w:val="73"/>
                  </w:pPr>
                  <w:r>
                    <w:t>符合</w:t>
                  </w:r>
                </w:p>
              </w:tc>
            </w:tr>
            <w:tr w14:paraId="0CF920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219" w:type="pct"/>
                  <w:vMerge w:val="continue"/>
                  <w:vAlign w:val="center"/>
                </w:tcPr>
                <w:p w14:paraId="30DF7247">
                  <w:pPr>
                    <w:pStyle w:val="73"/>
                  </w:pPr>
                </w:p>
              </w:tc>
              <w:tc>
                <w:tcPr>
                  <w:tcW w:w="346" w:type="pct"/>
                  <w:vMerge w:val="continue"/>
                  <w:vAlign w:val="center"/>
                </w:tcPr>
                <w:p w14:paraId="220659F9">
                  <w:pPr>
                    <w:pStyle w:val="73"/>
                  </w:pPr>
                </w:p>
              </w:tc>
              <w:tc>
                <w:tcPr>
                  <w:tcW w:w="2796" w:type="pct"/>
                  <w:vAlign w:val="center"/>
                </w:tcPr>
                <w:p w14:paraId="04214937">
                  <w:pPr>
                    <w:pStyle w:val="73"/>
                    <w:jc w:val="both"/>
                  </w:pPr>
                  <w:r>
                    <w:t>2.严格控制生态脆弱或者环境敏感地区建设</w:t>
                  </w:r>
                  <w:r>
                    <w:rPr>
                      <w:rFonts w:hint="eastAsia"/>
                    </w:rPr>
                    <w:t>“</w:t>
                  </w:r>
                  <w:r>
                    <w:t>两高</w:t>
                  </w:r>
                  <w:r>
                    <w:rPr>
                      <w:rFonts w:hint="eastAsia"/>
                    </w:rPr>
                    <w:t>”</w:t>
                  </w:r>
                  <w:r>
                    <w:t>行业项目。</w:t>
                  </w:r>
                </w:p>
              </w:tc>
              <w:tc>
                <w:tcPr>
                  <w:tcW w:w="1370" w:type="pct"/>
                  <w:vAlign w:val="center"/>
                </w:tcPr>
                <w:p w14:paraId="6135E020">
                  <w:pPr>
                    <w:pStyle w:val="73"/>
                  </w:pPr>
                  <w:r>
                    <w:rPr>
                      <w:rFonts w:hint="eastAsia"/>
                    </w:rPr>
                    <w:t>项目不属于“两高”项目，项目建设符合区域规划准入要求</w:t>
                  </w:r>
                </w:p>
              </w:tc>
              <w:tc>
                <w:tcPr>
                  <w:tcW w:w="266" w:type="pct"/>
                  <w:vAlign w:val="center"/>
                </w:tcPr>
                <w:p w14:paraId="64D4EDD9">
                  <w:pPr>
                    <w:pStyle w:val="73"/>
                  </w:pPr>
                  <w:r>
                    <w:t>符合</w:t>
                  </w:r>
                </w:p>
              </w:tc>
            </w:tr>
            <w:tr w14:paraId="6FB2B6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219" w:type="pct"/>
                  <w:vMerge w:val="continue"/>
                  <w:vAlign w:val="center"/>
                </w:tcPr>
                <w:p w14:paraId="4C58EEE5">
                  <w:pPr>
                    <w:pStyle w:val="73"/>
                  </w:pPr>
                </w:p>
              </w:tc>
              <w:tc>
                <w:tcPr>
                  <w:tcW w:w="346" w:type="pct"/>
                  <w:vMerge w:val="continue"/>
                  <w:vAlign w:val="center"/>
                </w:tcPr>
                <w:p w14:paraId="110D6953">
                  <w:pPr>
                    <w:pStyle w:val="73"/>
                  </w:pPr>
                </w:p>
              </w:tc>
              <w:tc>
                <w:tcPr>
                  <w:tcW w:w="2796" w:type="pct"/>
                  <w:vAlign w:val="center"/>
                </w:tcPr>
                <w:p w14:paraId="06513B05">
                  <w:pPr>
                    <w:pStyle w:val="73"/>
                    <w:jc w:val="both"/>
                  </w:pPr>
                  <w:r>
                    <w:t>3.</w:t>
                  </w:r>
                  <w:r>
                    <w:rPr>
                      <w:rFonts w:hint="eastAsia"/>
                    </w:rPr>
                    <w:t>禁止投资钢铁冶炼、水泥、电解铝、平板玻璃等产能严重过剩行业和炼焦、有色、电石、铁合金等新增产能项目。新、扩、改建项目按照相关规定实行减量置换。新建工业项目入园进区</w:t>
                  </w:r>
                  <w:r>
                    <w:t>。</w:t>
                  </w:r>
                </w:p>
              </w:tc>
              <w:tc>
                <w:tcPr>
                  <w:tcW w:w="1370" w:type="pct"/>
                  <w:vAlign w:val="center"/>
                </w:tcPr>
                <w:p w14:paraId="379CC219">
                  <w:pPr>
                    <w:pStyle w:val="73"/>
                  </w:pPr>
                  <w:r>
                    <w:rPr>
                      <w:rFonts w:hint="eastAsia"/>
                    </w:rPr>
                    <w:t>不涉及</w:t>
                  </w:r>
                </w:p>
              </w:tc>
              <w:tc>
                <w:tcPr>
                  <w:tcW w:w="266" w:type="pct"/>
                  <w:vAlign w:val="center"/>
                </w:tcPr>
                <w:p w14:paraId="53E685B7">
                  <w:pPr>
                    <w:pStyle w:val="73"/>
                  </w:pPr>
                  <w:r>
                    <w:t>符合</w:t>
                  </w:r>
                </w:p>
              </w:tc>
            </w:tr>
            <w:tr w14:paraId="5EB5BD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219" w:type="pct"/>
                  <w:vMerge w:val="continue"/>
                  <w:vAlign w:val="center"/>
                </w:tcPr>
                <w:p w14:paraId="78C52D27">
                  <w:pPr>
                    <w:pStyle w:val="73"/>
                  </w:pPr>
                </w:p>
              </w:tc>
              <w:tc>
                <w:tcPr>
                  <w:tcW w:w="346" w:type="pct"/>
                  <w:vMerge w:val="continue"/>
                  <w:vAlign w:val="center"/>
                </w:tcPr>
                <w:p w14:paraId="1A3EA5B1">
                  <w:pPr>
                    <w:pStyle w:val="73"/>
                  </w:pPr>
                </w:p>
              </w:tc>
              <w:tc>
                <w:tcPr>
                  <w:tcW w:w="2796" w:type="pct"/>
                  <w:vAlign w:val="center"/>
                </w:tcPr>
                <w:p w14:paraId="0C8CFD84">
                  <w:pPr>
                    <w:pStyle w:val="73"/>
                    <w:jc w:val="both"/>
                  </w:pPr>
                  <w:r>
                    <w:t>4.唐山市重要河流沿岸、重要饮用水水源地补给区，严格控制化学原料和化学制品制造、医药制造、制革、造纸、焦化、化学纤维制造、石油加工、纺织印染等项目环境风险，合理布局生产装置及危险化学品仓储等设施。严格控制缺水地区、水污染严重地区和敏感区域高耗水、高污染行业发展。限时完成各县（市、区）建成区内现有钢铁、造纸、石油化工、制革、印染、食品发酵、化工等污染较重企业的搬迁改造或依法关闭。</w:t>
                  </w:r>
                </w:p>
              </w:tc>
              <w:tc>
                <w:tcPr>
                  <w:tcW w:w="1370" w:type="pct"/>
                  <w:vAlign w:val="center"/>
                </w:tcPr>
                <w:p w14:paraId="1C1CE496">
                  <w:pPr>
                    <w:pStyle w:val="73"/>
                  </w:pPr>
                  <w:r>
                    <w:t>本项目</w:t>
                  </w:r>
                  <w:r>
                    <w:rPr>
                      <w:rFonts w:hint="eastAsia"/>
                    </w:rPr>
                    <w:t>位于曹妃甸中小企业园区</w:t>
                  </w:r>
                  <w:r>
                    <w:t>，符合园区发展规划，不在县、市区建成区</w:t>
                  </w:r>
                  <w:r>
                    <w:rPr>
                      <w:rFonts w:hint="eastAsia"/>
                    </w:rPr>
                    <w:t>，不涉及</w:t>
                  </w:r>
                  <w:r>
                    <w:t>重要河流</w:t>
                  </w:r>
                  <w:r>
                    <w:rPr>
                      <w:rFonts w:hint="eastAsia"/>
                    </w:rPr>
                    <w:t>、</w:t>
                  </w:r>
                  <w:r>
                    <w:t>重要饮用水水源地补给区</w:t>
                  </w:r>
                </w:p>
              </w:tc>
              <w:tc>
                <w:tcPr>
                  <w:tcW w:w="266" w:type="pct"/>
                  <w:vAlign w:val="center"/>
                </w:tcPr>
                <w:p w14:paraId="6FD229C9">
                  <w:pPr>
                    <w:pStyle w:val="73"/>
                  </w:pPr>
                  <w:r>
                    <w:t>符合</w:t>
                  </w:r>
                </w:p>
              </w:tc>
            </w:tr>
            <w:bookmarkEnd w:id="3"/>
            <w:tr w14:paraId="299EA2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219" w:type="pct"/>
                  <w:vMerge w:val="continue"/>
                  <w:vAlign w:val="center"/>
                </w:tcPr>
                <w:p w14:paraId="2372554E">
                  <w:pPr>
                    <w:pStyle w:val="73"/>
                  </w:pPr>
                </w:p>
              </w:tc>
              <w:tc>
                <w:tcPr>
                  <w:tcW w:w="346" w:type="pct"/>
                  <w:vMerge w:val="continue"/>
                  <w:vAlign w:val="center"/>
                </w:tcPr>
                <w:p w14:paraId="78E19C38">
                  <w:pPr>
                    <w:pStyle w:val="73"/>
                  </w:pPr>
                </w:p>
              </w:tc>
              <w:tc>
                <w:tcPr>
                  <w:tcW w:w="2796" w:type="pct"/>
                  <w:vAlign w:val="center"/>
                </w:tcPr>
                <w:p w14:paraId="0B4BF6DA">
                  <w:pPr>
                    <w:pStyle w:val="73"/>
                    <w:jc w:val="both"/>
                  </w:pPr>
                  <w:r>
                    <w:t>5.严格控制高污染、高耗水行业新增产能。产能过剩产业实行新增产能等量替代、涉水主要污染物排放同行业倍量替代</w:t>
                  </w:r>
                  <w:r>
                    <w:rPr>
                      <w:rFonts w:hint="eastAsia"/>
                    </w:rPr>
                    <w:t>。对造纸、焦化、氮肥、石油化工、印染、农副食品加工、原料药制造、制革、农药、电镀等“十大”重点行业，新建、改建、扩建项目实行新增主要污染物排放倍量替换。</w:t>
                  </w:r>
                </w:p>
              </w:tc>
              <w:tc>
                <w:tcPr>
                  <w:tcW w:w="1370" w:type="pct"/>
                  <w:vAlign w:val="center"/>
                </w:tcPr>
                <w:p w14:paraId="4685047B">
                  <w:pPr>
                    <w:pStyle w:val="73"/>
                  </w:pPr>
                  <w:r>
                    <w:rPr>
                      <w:rFonts w:hint="eastAsia"/>
                    </w:rPr>
                    <w:t>项目不属于产能过剩行业，项目不涉及主要污染物排放</w:t>
                  </w:r>
                </w:p>
              </w:tc>
              <w:tc>
                <w:tcPr>
                  <w:tcW w:w="266" w:type="pct"/>
                  <w:vAlign w:val="center"/>
                </w:tcPr>
                <w:p w14:paraId="0C2149DB">
                  <w:pPr>
                    <w:pStyle w:val="73"/>
                  </w:pPr>
                  <w:r>
                    <w:t>符合</w:t>
                  </w:r>
                </w:p>
              </w:tc>
            </w:tr>
            <w:tr w14:paraId="46FA89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219" w:type="pct"/>
                  <w:vMerge w:val="continue"/>
                  <w:vAlign w:val="center"/>
                </w:tcPr>
                <w:p w14:paraId="60CC0A4A">
                  <w:pPr>
                    <w:pStyle w:val="73"/>
                  </w:pPr>
                </w:p>
              </w:tc>
              <w:tc>
                <w:tcPr>
                  <w:tcW w:w="346" w:type="pct"/>
                  <w:vMerge w:val="continue"/>
                  <w:vAlign w:val="center"/>
                </w:tcPr>
                <w:p w14:paraId="20A60D13">
                  <w:pPr>
                    <w:pStyle w:val="73"/>
                  </w:pPr>
                </w:p>
              </w:tc>
              <w:tc>
                <w:tcPr>
                  <w:tcW w:w="2796" w:type="pct"/>
                  <w:vAlign w:val="center"/>
                </w:tcPr>
                <w:p w14:paraId="7E9335BA">
                  <w:pPr>
                    <w:pStyle w:val="73"/>
                    <w:jc w:val="both"/>
                  </w:pPr>
                  <w:r>
                    <w:t>6.上一年度环境空气质量年平均浓度不达标的城市、水环境质量未达到要求的市县，相关污染物应按照建设项目所需替代的主要污染物排放总量指标的2倍进行削减替代</w:t>
                  </w:r>
                  <w:r>
                    <w:rPr>
                      <w:rFonts w:hint="eastAsia"/>
                    </w:rPr>
                    <w:t>（</w:t>
                  </w:r>
                  <w:r>
                    <w:t>燃煤发电机组大气污染物排放浓度基本达到燃气轮机组排放限值的除外</w:t>
                  </w:r>
                  <w:r>
                    <w:rPr>
                      <w:rFonts w:hint="eastAsia"/>
                    </w:rPr>
                    <w:t>）</w:t>
                  </w:r>
                  <w:r>
                    <w:t>。</w:t>
                  </w:r>
                </w:p>
              </w:tc>
              <w:tc>
                <w:tcPr>
                  <w:tcW w:w="1370" w:type="pct"/>
                  <w:vAlign w:val="center"/>
                </w:tcPr>
                <w:p w14:paraId="77DAA557">
                  <w:pPr>
                    <w:pStyle w:val="73"/>
                  </w:pPr>
                  <w:r>
                    <w:rPr>
                      <w:rFonts w:hint="eastAsia"/>
                    </w:rPr>
                    <w:t>项目不涉及主要污染物排放</w:t>
                  </w:r>
                </w:p>
              </w:tc>
              <w:tc>
                <w:tcPr>
                  <w:tcW w:w="266" w:type="pct"/>
                  <w:vAlign w:val="center"/>
                </w:tcPr>
                <w:p w14:paraId="0BD51443">
                  <w:pPr>
                    <w:pStyle w:val="73"/>
                  </w:pPr>
                  <w:r>
                    <w:rPr>
                      <w:rFonts w:hint="eastAsia"/>
                    </w:rPr>
                    <w:t>符合</w:t>
                  </w:r>
                </w:p>
              </w:tc>
            </w:tr>
            <w:tr w14:paraId="7FD6E2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219" w:type="pct"/>
                  <w:vMerge w:val="continue"/>
                  <w:vAlign w:val="center"/>
                </w:tcPr>
                <w:p w14:paraId="6275817E">
                  <w:pPr>
                    <w:pStyle w:val="73"/>
                  </w:pPr>
                </w:p>
              </w:tc>
              <w:tc>
                <w:tcPr>
                  <w:tcW w:w="346" w:type="pct"/>
                  <w:vMerge w:val="continue"/>
                  <w:vAlign w:val="center"/>
                </w:tcPr>
                <w:p w14:paraId="5FB73F50">
                  <w:pPr>
                    <w:pStyle w:val="73"/>
                  </w:pPr>
                </w:p>
              </w:tc>
              <w:tc>
                <w:tcPr>
                  <w:tcW w:w="2796" w:type="pct"/>
                  <w:vAlign w:val="center"/>
                </w:tcPr>
                <w:p w14:paraId="26F8E121">
                  <w:pPr>
                    <w:pStyle w:val="73"/>
                    <w:jc w:val="both"/>
                  </w:pPr>
                  <w:r>
                    <w:t>8.严格控制在优先保护类耕地集中区域新建有色金属冶炼、石油加工、化工、焦化、电镀、制革、制药、行业企业。</w:t>
                  </w:r>
                </w:p>
              </w:tc>
              <w:tc>
                <w:tcPr>
                  <w:tcW w:w="1370" w:type="pct"/>
                  <w:vAlign w:val="center"/>
                </w:tcPr>
                <w:p w14:paraId="5E3725D7">
                  <w:pPr>
                    <w:pStyle w:val="73"/>
                  </w:pPr>
                  <w:r>
                    <w:t>本项目位于园区，占地为工业用地，不占用耕地</w:t>
                  </w:r>
                </w:p>
              </w:tc>
              <w:tc>
                <w:tcPr>
                  <w:tcW w:w="266" w:type="pct"/>
                  <w:vAlign w:val="center"/>
                </w:tcPr>
                <w:p w14:paraId="2B216EBF">
                  <w:pPr>
                    <w:pStyle w:val="73"/>
                  </w:pPr>
                  <w:r>
                    <w:t>符合</w:t>
                  </w:r>
                </w:p>
              </w:tc>
            </w:tr>
            <w:tr w14:paraId="56CEFC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219" w:type="pct"/>
                  <w:vMerge w:val="continue"/>
                  <w:vAlign w:val="center"/>
                </w:tcPr>
                <w:p w14:paraId="0EF83FBA">
                  <w:pPr>
                    <w:pStyle w:val="73"/>
                  </w:pPr>
                </w:p>
              </w:tc>
              <w:tc>
                <w:tcPr>
                  <w:tcW w:w="346" w:type="pct"/>
                  <w:vMerge w:val="continue"/>
                  <w:vAlign w:val="center"/>
                </w:tcPr>
                <w:p w14:paraId="4769A7A5">
                  <w:pPr>
                    <w:pStyle w:val="73"/>
                  </w:pPr>
                </w:p>
              </w:tc>
              <w:tc>
                <w:tcPr>
                  <w:tcW w:w="2796" w:type="pct"/>
                  <w:vAlign w:val="center"/>
                </w:tcPr>
                <w:p w14:paraId="5DBE89ED">
                  <w:pPr>
                    <w:pStyle w:val="73"/>
                    <w:jc w:val="both"/>
                  </w:pPr>
                  <w:r>
                    <w:rPr>
                      <w:rFonts w:hint="eastAsia"/>
                    </w:rPr>
                    <w:t>9</w:t>
                  </w:r>
                  <w:r>
                    <w:t>.</w:t>
                  </w:r>
                  <w:r>
                    <w:rPr>
                      <w:rFonts w:hint="eastAsia"/>
                    </w:rPr>
                    <w:t>新建、改建、扩建“两高”项目须符合生态环境保护法律法规和相关法定规划，满足重点污染物排放总量控制、碳排放达峰目标、生态环境准入清单、相关规划环评和相应行业建设项目环境准入条件、环评文件审批原则要求。</w:t>
                  </w:r>
                </w:p>
              </w:tc>
              <w:tc>
                <w:tcPr>
                  <w:tcW w:w="1370" w:type="pct"/>
                  <w:vAlign w:val="center"/>
                </w:tcPr>
                <w:p w14:paraId="77FAD784">
                  <w:pPr>
                    <w:pStyle w:val="73"/>
                  </w:pPr>
                  <w:r>
                    <w:rPr>
                      <w:rFonts w:hint="eastAsia"/>
                    </w:rPr>
                    <w:t>本项目不属于“两高”项目，满足生态保护相关法律法规及规划要求，不涉及污染物排放总量控制、碳排放达峰目标，满足生态环境准入清单要求，项目的建设符合园区规划、规划环评及其审查意见要求</w:t>
                  </w:r>
                </w:p>
              </w:tc>
              <w:tc>
                <w:tcPr>
                  <w:tcW w:w="266" w:type="pct"/>
                  <w:vAlign w:val="center"/>
                </w:tcPr>
                <w:p w14:paraId="1F306203">
                  <w:pPr>
                    <w:pStyle w:val="73"/>
                  </w:pPr>
                  <w:r>
                    <w:rPr>
                      <w:rFonts w:hint="eastAsia"/>
                    </w:rPr>
                    <w:t>符合</w:t>
                  </w:r>
                </w:p>
              </w:tc>
            </w:tr>
            <w:tr w14:paraId="2515BD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219" w:type="pct"/>
                  <w:vMerge w:val="restart"/>
                  <w:vAlign w:val="center"/>
                </w:tcPr>
                <w:p w14:paraId="6C562334">
                  <w:pPr>
                    <w:pStyle w:val="73"/>
                  </w:pPr>
                  <w:bookmarkStart w:id="5" w:name="_Hlk160544787"/>
                  <w:r>
                    <w:rPr>
                      <w:rFonts w:hint="eastAsia"/>
                    </w:rPr>
                    <w:t>大气环境总体防控要求</w:t>
                  </w:r>
                  <w:bookmarkEnd w:id="5"/>
                </w:p>
              </w:tc>
              <w:tc>
                <w:tcPr>
                  <w:tcW w:w="346" w:type="pct"/>
                  <w:vMerge w:val="restart"/>
                  <w:vAlign w:val="center"/>
                </w:tcPr>
                <w:p w14:paraId="2C260563">
                  <w:pPr>
                    <w:pStyle w:val="73"/>
                  </w:pPr>
                  <w:r>
                    <w:rPr>
                      <w:rFonts w:hint="eastAsia"/>
                    </w:rPr>
                    <w:t>空间布局约束</w:t>
                  </w:r>
                </w:p>
              </w:tc>
              <w:tc>
                <w:tcPr>
                  <w:tcW w:w="2796" w:type="pct"/>
                  <w:vAlign w:val="center"/>
                </w:tcPr>
                <w:p w14:paraId="42174041">
                  <w:pPr>
                    <w:pStyle w:val="73"/>
                    <w:jc w:val="both"/>
                  </w:pPr>
                  <w:r>
                    <w:t>2、严禁违规新增钢铁、焦化、平板玻璃、水泥、陶瓷产能，禁止新建《产业结构调整指导目录》中限制类项目。</w:t>
                  </w:r>
                </w:p>
              </w:tc>
              <w:tc>
                <w:tcPr>
                  <w:tcW w:w="1370" w:type="pct"/>
                  <w:vAlign w:val="center"/>
                </w:tcPr>
                <w:p w14:paraId="099D786D">
                  <w:pPr>
                    <w:pStyle w:val="73"/>
                  </w:pPr>
                  <w:r>
                    <w:rPr>
                      <w:rFonts w:hint="eastAsia"/>
                    </w:rPr>
                    <w:t>本项目不涉及</w:t>
                  </w:r>
                  <w:r>
                    <w:t>《产业结构调整指导目录》中限制类项目</w:t>
                  </w:r>
                </w:p>
              </w:tc>
              <w:tc>
                <w:tcPr>
                  <w:tcW w:w="266" w:type="pct"/>
                  <w:vAlign w:val="center"/>
                </w:tcPr>
                <w:p w14:paraId="6530F6F8">
                  <w:pPr>
                    <w:pStyle w:val="73"/>
                  </w:pPr>
                  <w:r>
                    <w:rPr>
                      <w:rFonts w:hint="eastAsia"/>
                    </w:rPr>
                    <w:t>符合</w:t>
                  </w:r>
                </w:p>
              </w:tc>
            </w:tr>
            <w:tr w14:paraId="6EDA33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219" w:type="pct"/>
                  <w:vMerge w:val="continue"/>
                  <w:vAlign w:val="center"/>
                </w:tcPr>
                <w:p w14:paraId="790D14F2">
                  <w:pPr>
                    <w:pStyle w:val="73"/>
                  </w:pPr>
                </w:p>
              </w:tc>
              <w:tc>
                <w:tcPr>
                  <w:tcW w:w="346" w:type="pct"/>
                  <w:vMerge w:val="continue"/>
                  <w:vAlign w:val="center"/>
                </w:tcPr>
                <w:p w14:paraId="3384BE5B">
                  <w:pPr>
                    <w:pStyle w:val="73"/>
                  </w:pPr>
                </w:p>
              </w:tc>
              <w:tc>
                <w:tcPr>
                  <w:tcW w:w="2796" w:type="pct"/>
                  <w:vAlign w:val="center"/>
                </w:tcPr>
                <w:p w14:paraId="721980CD">
                  <w:pPr>
                    <w:pStyle w:val="73"/>
                    <w:jc w:val="both"/>
                  </w:pPr>
                  <w:r>
                    <w:rPr>
                      <w:rFonts w:hint="eastAsia"/>
                    </w:rPr>
                    <w:t>3、</w:t>
                  </w:r>
                  <w:r>
                    <w:t>新（改、扩）建项目严格执行产能置换、煤炭替代和污染物倍量削减替代制度，当地有关园区规划的，原则上要进入园区并配套建设高效环保治理设施，符合园区规划环评、建设项目环评要求。</w:t>
                  </w:r>
                </w:p>
              </w:tc>
              <w:tc>
                <w:tcPr>
                  <w:tcW w:w="1370" w:type="pct"/>
                  <w:vAlign w:val="center"/>
                </w:tcPr>
                <w:p w14:paraId="58801E15">
                  <w:pPr>
                    <w:pStyle w:val="73"/>
                  </w:pPr>
                  <w:r>
                    <w:rPr>
                      <w:rFonts w:hint="eastAsia"/>
                    </w:rPr>
                    <w:t>本</w:t>
                  </w:r>
                  <w:r>
                    <w:rPr>
                      <w:rFonts w:hint="eastAsia"/>
                      <w:szCs w:val="20"/>
                    </w:rPr>
                    <w:t>项目符合园区规划环评要求</w:t>
                  </w:r>
                </w:p>
              </w:tc>
              <w:tc>
                <w:tcPr>
                  <w:tcW w:w="266" w:type="pct"/>
                  <w:vAlign w:val="center"/>
                </w:tcPr>
                <w:p w14:paraId="56438048">
                  <w:pPr>
                    <w:pStyle w:val="73"/>
                  </w:pPr>
                  <w:r>
                    <w:rPr>
                      <w:rFonts w:hint="eastAsia"/>
                    </w:rPr>
                    <w:t>符合</w:t>
                  </w:r>
                </w:p>
              </w:tc>
            </w:tr>
            <w:tr w14:paraId="2BC3AF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219" w:type="pct"/>
                  <w:vMerge w:val="continue"/>
                  <w:vAlign w:val="center"/>
                </w:tcPr>
                <w:p w14:paraId="262D3198">
                  <w:pPr>
                    <w:pStyle w:val="73"/>
                  </w:pPr>
                </w:p>
              </w:tc>
              <w:tc>
                <w:tcPr>
                  <w:tcW w:w="346" w:type="pct"/>
                  <w:vAlign w:val="center"/>
                </w:tcPr>
                <w:p w14:paraId="54C65EE4">
                  <w:pPr>
                    <w:pStyle w:val="73"/>
                  </w:pPr>
                  <w:r>
                    <w:rPr>
                      <w:rFonts w:hint="eastAsia"/>
                    </w:rPr>
                    <w:t>资源开发利用</w:t>
                  </w:r>
                </w:p>
              </w:tc>
              <w:tc>
                <w:tcPr>
                  <w:tcW w:w="2796" w:type="pct"/>
                  <w:vAlign w:val="center"/>
                </w:tcPr>
                <w:p w14:paraId="56D57ED7">
                  <w:pPr>
                    <w:pStyle w:val="73"/>
                    <w:jc w:val="both"/>
                  </w:pPr>
                  <w:r>
                    <w:t>1</w:t>
                  </w:r>
                  <w:r>
                    <w:rPr>
                      <w:rFonts w:hint="eastAsia"/>
                    </w:rPr>
                    <w:t>、对新增耗煤项目实施减量替代。</w:t>
                  </w:r>
                </w:p>
                <w:p w14:paraId="6F63E5B6">
                  <w:pPr>
                    <w:pStyle w:val="73"/>
                    <w:jc w:val="both"/>
                  </w:pPr>
                  <w:r>
                    <w:rPr>
                      <w:rFonts w:hint="eastAsia"/>
                    </w:rPr>
                    <w:t>2、</w:t>
                  </w:r>
                  <w:r>
                    <w:t>提高能源利用效率。实现能源消耗总量和强度双控行动。健全节能标准体系，大力开发、推广节能高效技术和产品，实现重点用能行业、设备节能标准全覆盖。</w:t>
                  </w:r>
                </w:p>
              </w:tc>
              <w:tc>
                <w:tcPr>
                  <w:tcW w:w="1370" w:type="pct"/>
                  <w:vAlign w:val="center"/>
                </w:tcPr>
                <w:p w14:paraId="010628BC">
                  <w:pPr>
                    <w:pStyle w:val="73"/>
                  </w:pPr>
                  <w:r>
                    <w:rPr>
                      <w:rFonts w:hint="eastAsia"/>
                    </w:rPr>
                    <w:t>项目不涉及燃煤及燃料使用且不用水</w:t>
                  </w:r>
                </w:p>
              </w:tc>
              <w:tc>
                <w:tcPr>
                  <w:tcW w:w="266" w:type="pct"/>
                  <w:vAlign w:val="center"/>
                </w:tcPr>
                <w:p w14:paraId="32B8C0CA">
                  <w:pPr>
                    <w:pStyle w:val="73"/>
                  </w:pPr>
                  <w:r>
                    <w:rPr>
                      <w:rFonts w:hint="eastAsia"/>
                    </w:rPr>
                    <w:t>符合</w:t>
                  </w:r>
                </w:p>
              </w:tc>
            </w:tr>
            <w:tr w14:paraId="394AE7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219" w:type="pct"/>
                  <w:vMerge w:val="restart"/>
                  <w:vAlign w:val="center"/>
                </w:tcPr>
                <w:p w14:paraId="2DCCA44A">
                  <w:pPr>
                    <w:pStyle w:val="73"/>
                  </w:pPr>
                  <w:bookmarkStart w:id="6" w:name="_Hlk160544796"/>
                  <w:r>
                    <w:rPr>
                      <w:rFonts w:hint="eastAsia"/>
                    </w:rPr>
                    <w:t>土壤及地下水环境总体防控要求</w:t>
                  </w:r>
                  <w:bookmarkEnd w:id="6"/>
                </w:p>
              </w:tc>
              <w:tc>
                <w:tcPr>
                  <w:tcW w:w="346" w:type="pct"/>
                  <w:vAlign w:val="center"/>
                </w:tcPr>
                <w:p w14:paraId="7A57A79E">
                  <w:pPr>
                    <w:pStyle w:val="73"/>
                  </w:pPr>
                  <w:r>
                    <w:rPr>
                      <w:rFonts w:hint="eastAsia"/>
                    </w:rPr>
                    <w:t>空间布局约束</w:t>
                  </w:r>
                </w:p>
              </w:tc>
              <w:tc>
                <w:tcPr>
                  <w:tcW w:w="2796" w:type="pct"/>
                  <w:vAlign w:val="center"/>
                </w:tcPr>
                <w:p w14:paraId="3493E9FF">
                  <w:pPr>
                    <w:pStyle w:val="73"/>
                    <w:jc w:val="both"/>
                  </w:pPr>
                  <w:r>
                    <w:rPr>
                      <w:rFonts w:hint="eastAsia"/>
                    </w:rPr>
                    <w:t>严格执行相关行业企业布局选址要求，禁止在居民区和学校、医院、疗养院、养老院等单位周边新建、改建、扩建可能造成土壤污染的建设项目。</w:t>
                  </w:r>
                </w:p>
              </w:tc>
              <w:tc>
                <w:tcPr>
                  <w:tcW w:w="1370" w:type="pct"/>
                  <w:vAlign w:val="center"/>
                </w:tcPr>
                <w:p w14:paraId="1F401E3D">
                  <w:pPr>
                    <w:pStyle w:val="73"/>
                  </w:pPr>
                  <w:r>
                    <w:rPr>
                      <w:rFonts w:hint="eastAsia"/>
                    </w:rPr>
                    <w:t>项目选址符合园区规划要求，项目针对自身污染特点采取了完善的土壤污染防范措施，且项目周边不涉及居民区和学校、医院、疗养院、养老院等单位</w:t>
                  </w:r>
                </w:p>
              </w:tc>
              <w:tc>
                <w:tcPr>
                  <w:tcW w:w="266" w:type="pct"/>
                  <w:vAlign w:val="center"/>
                </w:tcPr>
                <w:p w14:paraId="3D68A9BA">
                  <w:pPr>
                    <w:pStyle w:val="73"/>
                  </w:pPr>
                  <w:r>
                    <w:rPr>
                      <w:rFonts w:hint="eastAsia"/>
                    </w:rPr>
                    <w:t>符合</w:t>
                  </w:r>
                </w:p>
              </w:tc>
            </w:tr>
            <w:tr w14:paraId="3A678F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219" w:type="pct"/>
                  <w:vMerge w:val="continue"/>
                  <w:vAlign w:val="center"/>
                </w:tcPr>
                <w:p w14:paraId="58E368AB">
                  <w:pPr>
                    <w:pStyle w:val="73"/>
                  </w:pPr>
                </w:p>
              </w:tc>
              <w:tc>
                <w:tcPr>
                  <w:tcW w:w="346" w:type="pct"/>
                  <w:vAlign w:val="center"/>
                </w:tcPr>
                <w:p w14:paraId="3F36891F">
                  <w:pPr>
                    <w:pStyle w:val="73"/>
                  </w:pPr>
                  <w:r>
                    <w:rPr>
                      <w:rFonts w:hint="eastAsia"/>
                    </w:rPr>
                    <w:t>污染排放管控</w:t>
                  </w:r>
                </w:p>
              </w:tc>
              <w:tc>
                <w:tcPr>
                  <w:tcW w:w="2796" w:type="pct"/>
                  <w:vAlign w:val="center"/>
                </w:tcPr>
                <w:p w14:paraId="33DACBD5">
                  <w:pPr>
                    <w:pStyle w:val="73"/>
                    <w:jc w:val="both"/>
                  </w:pPr>
                  <w:r>
                    <w:t>4、组织开展工业固体废物堆存场所环境整治</w:t>
                  </w:r>
                  <w:r>
                    <w:rPr>
                      <w:rFonts w:hint="eastAsia"/>
                    </w:rPr>
                    <w:t>，</w:t>
                  </w:r>
                  <w:r>
                    <w:t>提升大宗固体废物综合利用能力</w:t>
                  </w:r>
                  <w:r>
                    <w:rPr>
                      <w:rFonts w:hint="eastAsia"/>
                    </w:rPr>
                    <w:t>，</w:t>
                  </w:r>
                  <w:r>
                    <w:t>完善防扬散、防流失、防渗漏等设施。推动工业固废综合利用，促进工业固废减量化、资源化。推行生态环境保护综合执法，加强塑料废弃物回收、利用、处置等环节的环境监管，依法查处违法排污等行为。全面禁止洋垃圾入境，逐步实现固体废物零进口。</w:t>
                  </w:r>
                </w:p>
              </w:tc>
              <w:tc>
                <w:tcPr>
                  <w:tcW w:w="1370" w:type="pct"/>
                  <w:vAlign w:val="center"/>
                </w:tcPr>
                <w:p w14:paraId="547E8AF2">
                  <w:pPr>
                    <w:pStyle w:val="73"/>
                  </w:pPr>
                  <w:r>
                    <w:rPr>
                      <w:rFonts w:hint="eastAsia"/>
                    </w:rPr>
                    <w:t>项目建设危废库设置完善的防渗、导排等污染防治措施</w:t>
                  </w:r>
                </w:p>
              </w:tc>
              <w:tc>
                <w:tcPr>
                  <w:tcW w:w="266" w:type="pct"/>
                  <w:vAlign w:val="center"/>
                </w:tcPr>
                <w:p w14:paraId="309A810D">
                  <w:pPr>
                    <w:pStyle w:val="73"/>
                  </w:pPr>
                  <w:r>
                    <w:rPr>
                      <w:rFonts w:hint="eastAsia"/>
                    </w:rPr>
                    <w:t>符合</w:t>
                  </w:r>
                </w:p>
              </w:tc>
            </w:tr>
            <w:tr w14:paraId="1541E0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219" w:type="pct"/>
                  <w:vMerge w:val="restart"/>
                  <w:vAlign w:val="center"/>
                </w:tcPr>
                <w:p w14:paraId="1AB60B46">
                  <w:pPr>
                    <w:pStyle w:val="73"/>
                  </w:pPr>
                  <w:bookmarkStart w:id="7" w:name="_Hlk160544806"/>
                  <w:r>
                    <w:t>项目入园准入要求</w:t>
                  </w:r>
                  <w:bookmarkEnd w:id="7"/>
                </w:p>
              </w:tc>
              <w:tc>
                <w:tcPr>
                  <w:tcW w:w="346" w:type="pct"/>
                  <w:vMerge w:val="restart"/>
                  <w:vAlign w:val="center"/>
                </w:tcPr>
                <w:p w14:paraId="5ADE6BF7">
                  <w:pPr>
                    <w:pStyle w:val="73"/>
                  </w:pPr>
                  <w:r>
                    <w:t>空间布局约束</w:t>
                  </w:r>
                </w:p>
              </w:tc>
              <w:tc>
                <w:tcPr>
                  <w:tcW w:w="2796" w:type="pct"/>
                  <w:vAlign w:val="center"/>
                </w:tcPr>
                <w:p w14:paraId="0F6DD7B4">
                  <w:pPr>
                    <w:pStyle w:val="73"/>
                    <w:jc w:val="both"/>
                  </w:pPr>
                  <w:r>
                    <w:t>1.</w:t>
                  </w:r>
                  <w:r>
                    <w:rPr>
                      <w:rFonts w:hint="eastAsia"/>
                    </w:rPr>
                    <w:t>禁止资源消耗高、环境污染重、废物难处理、不符合国家、河北省、唐山市产业政策的落后生产技术、工艺、装备和产品进入工业园区</w:t>
                  </w:r>
                  <w:r>
                    <w:t>。</w:t>
                  </w:r>
                </w:p>
              </w:tc>
              <w:tc>
                <w:tcPr>
                  <w:tcW w:w="1370" w:type="pct"/>
                  <w:vAlign w:val="center"/>
                </w:tcPr>
                <w:p w14:paraId="35834C21">
                  <w:pPr>
                    <w:pStyle w:val="73"/>
                  </w:pPr>
                  <w:r>
                    <w:rPr>
                      <w:rFonts w:hint="eastAsia"/>
                    </w:rPr>
                    <w:t>不涉及</w:t>
                  </w:r>
                </w:p>
              </w:tc>
              <w:tc>
                <w:tcPr>
                  <w:tcW w:w="266" w:type="pct"/>
                  <w:vAlign w:val="center"/>
                </w:tcPr>
                <w:p w14:paraId="64A924B5">
                  <w:pPr>
                    <w:pStyle w:val="73"/>
                  </w:pPr>
                  <w:r>
                    <w:t>符合</w:t>
                  </w:r>
                </w:p>
              </w:tc>
            </w:tr>
            <w:tr w14:paraId="776115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219" w:type="pct"/>
                  <w:vMerge w:val="continue"/>
                  <w:vAlign w:val="center"/>
                </w:tcPr>
                <w:p w14:paraId="46473E8E">
                  <w:pPr>
                    <w:pStyle w:val="73"/>
                  </w:pPr>
                </w:p>
              </w:tc>
              <w:tc>
                <w:tcPr>
                  <w:tcW w:w="346" w:type="pct"/>
                  <w:vMerge w:val="continue"/>
                  <w:vAlign w:val="center"/>
                </w:tcPr>
                <w:p w14:paraId="6431BB00">
                  <w:pPr>
                    <w:pStyle w:val="73"/>
                  </w:pPr>
                </w:p>
              </w:tc>
              <w:tc>
                <w:tcPr>
                  <w:tcW w:w="2796" w:type="pct"/>
                  <w:vAlign w:val="center"/>
                </w:tcPr>
                <w:p w14:paraId="3C5D6D1F">
                  <w:pPr>
                    <w:pStyle w:val="73"/>
                    <w:jc w:val="both"/>
                  </w:pPr>
                  <w:r>
                    <w:t>2.</w:t>
                  </w:r>
                  <w:r>
                    <w:rPr>
                      <w:rFonts w:hint="eastAsia"/>
                    </w:rPr>
                    <w:t>加强企业入区管理，严格按照工业园区规划产业定位及产业布局安排入区项目，禁止不符工业园区产业定位的项目入驻。合理安排工业园区发展时序，入驻企业选址与周围居民点的距离应满足大气环境防护距离要求，生活空间周边禁止布局高噪声生产企业</w:t>
                  </w:r>
                  <w:r>
                    <w:t>。</w:t>
                  </w:r>
                </w:p>
              </w:tc>
              <w:tc>
                <w:tcPr>
                  <w:tcW w:w="1370" w:type="pct"/>
                  <w:vAlign w:val="center"/>
                </w:tcPr>
                <w:p w14:paraId="374430E3">
                  <w:pPr>
                    <w:pStyle w:val="73"/>
                  </w:pPr>
                  <w:r>
                    <w:rPr>
                      <w:rFonts w:hint="eastAsia"/>
                    </w:rPr>
                    <w:t>项目符合园区</w:t>
                  </w:r>
                  <w:r>
                    <w:t>产业布局</w:t>
                  </w:r>
                  <w:r>
                    <w:rPr>
                      <w:rFonts w:hint="eastAsia"/>
                    </w:rPr>
                    <w:t>及用地布局</w:t>
                  </w:r>
                  <w:r>
                    <w:t>，</w:t>
                  </w:r>
                  <w:r>
                    <w:rPr>
                      <w:rFonts w:hint="eastAsia"/>
                    </w:rPr>
                    <w:t>符合园区产业定位</w:t>
                  </w:r>
                </w:p>
              </w:tc>
              <w:tc>
                <w:tcPr>
                  <w:tcW w:w="266" w:type="pct"/>
                  <w:vAlign w:val="center"/>
                </w:tcPr>
                <w:p w14:paraId="3521A571">
                  <w:pPr>
                    <w:pStyle w:val="73"/>
                  </w:pPr>
                  <w:r>
                    <w:t>符合</w:t>
                  </w:r>
                </w:p>
              </w:tc>
            </w:tr>
            <w:tr w14:paraId="785A2A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219" w:type="pct"/>
                  <w:vMerge w:val="restart"/>
                  <w:vAlign w:val="center"/>
                </w:tcPr>
                <w:p w14:paraId="0CFA5264">
                  <w:pPr>
                    <w:pStyle w:val="73"/>
                  </w:pPr>
                  <w:bookmarkStart w:id="8" w:name="_Hlk160544814"/>
                  <w:r>
                    <w:rPr>
                      <w:rFonts w:hint="eastAsia"/>
                    </w:rPr>
                    <w:t>曹妃甸区重点管控单元要求</w:t>
                  </w:r>
                  <w:bookmarkEnd w:id="8"/>
                  <w:r>
                    <w:rPr>
                      <w:rFonts w:hint="eastAsia" w:cs="宋体"/>
                      <w:color w:val="000000"/>
                      <w:kern w:val="0"/>
                      <w:szCs w:val="21"/>
                    </w:rPr>
                    <w:t>ZH13020920003</w:t>
                  </w:r>
                </w:p>
              </w:tc>
              <w:tc>
                <w:tcPr>
                  <w:tcW w:w="346" w:type="pct"/>
                  <w:vAlign w:val="center"/>
                </w:tcPr>
                <w:p w14:paraId="037C4C66">
                  <w:pPr>
                    <w:pStyle w:val="73"/>
                  </w:pPr>
                  <w:r>
                    <w:rPr>
                      <w:rFonts w:hint="eastAsia"/>
                    </w:rPr>
                    <w:t>空间布局约束</w:t>
                  </w:r>
                </w:p>
              </w:tc>
              <w:tc>
                <w:tcPr>
                  <w:tcW w:w="2796" w:type="pct"/>
                  <w:vAlign w:val="center"/>
                </w:tcPr>
                <w:p w14:paraId="52BE77A6">
                  <w:pPr>
                    <w:pStyle w:val="73"/>
                    <w:jc w:val="both"/>
                  </w:pPr>
                  <w:r>
                    <w:rPr>
                      <w:rFonts w:hint="eastAsia"/>
                    </w:rPr>
                    <w:t>1.入园项目资源利用总量不满足工业区能源、水资源、土地资源等控制要求的项目不得进驻园区。</w:t>
                  </w:r>
                </w:p>
                <w:p w14:paraId="540DE641">
                  <w:pPr>
                    <w:pStyle w:val="73"/>
                    <w:jc w:val="both"/>
                  </w:pPr>
                  <w:r>
                    <w:rPr>
                      <w:rFonts w:hint="eastAsia"/>
                    </w:rPr>
                    <w:t>2.优化基地内部产业链上下游项目的空间布局，尽量将产业链下游项目与上游项目靠近设置，缩短输送危险化学品的管道长度，最大限度减少氯等高风险物料管道敷设距离。</w:t>
                  </w:r>
                </w:p>
              </w:tc>
              <w:tc>
                <w:tcPr>
                  <w:tcW w:w="1370" w:type="pct"/>
                  <w:vAlign w:val="center"/>
                </w:tcPr>
                <w:p w14:paraId="22CD2561">
                  <w:pPr>
                    <w:pStyle w:val="73"/>
                  </w:pPr>
                  <w:r>
                    <w:rPr>
                      <w:rFonts w:hint="eastAsia"/>
                    </w:rPr>
                    <w:t>本项目为危废库建设项目，满足园区资源利用上线要求</w:t>
                  </w:r>
                </w:p>
              </w:tc>
              <w:tc>
                <w:tcPr>
                  <w:tcW w:w="266" w:type="pct"/>
                  <w:vAlign w:val="center"/>
                </w:tcPr>
                <w:p w14:paraId="6BBC920B">
                  <w:pPr>
                    <w:pStyle w:val="73"/>
                  </w:pPr>
                  <w:r>
                    <w:rPr>
                      <w:rFonts w:hint="eastAsia"/>
                    </w:rPr>
                    <w:t>符合</w:t>
                  </w:r>
                </w:p>
              </w:tc>
            </w:tr>
            <w:tr w14:paraId="5A52FD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219" w:type="pct"/>
                  <w:vMerge w:val="continue"/>
                  <w:vAlign w:val="center"/>
                </w:tcPr>
                <w:p w14:paraId="49332DC7">
                  <w:pPr>
                    <w:pStyle w:val="73"/>
                  </w:pPr>
                </w:p>
              </w:tc>
              <w:tc>
                <w:tcPr>
                  <w:tcW w:w="346" w:type="pct"/>
                  <w:vAlign w:val="center"/>
                </w:tcPr>
                <w:p w14:paraId="5C6CE71A">
                  <w:pPr>
                    <w:pStyle w:val="73"/>
                  </w:pPr>
                  <w:r>
                    <w:rPr>
                      <w:rFonts w:hint="eastAsia"/>
                    </w:rPr>
                    <w:t>污染物排放管控</w:t>
                  </w:r>
                </w:p>
              </w:tc>
              <w:tc>
                <w:tcPr>
                  <w:tcW w:w="2796" w:type="pct"/>
                  <w:vAlign w:val="center"/>
                </w:tcPr>
                <w:p w14:paraId="3F77BECD">
                  <w:pPr>
                    <w:pStyle w:val="73"/>
                    <w:jc w:val="both"/>
                  </w:pPr>
                  <w:r>
                    <w:rPr>
                      <w:rFonts w:hint="eastAsia"/>
                    </w:rPr>
                    <w:t>1.深化企业超低排放标准治理，加快“五大行业”全流程达标治理。钢铁、焦化、电力、水泥、平板玻璃等五大行业在点源达到超低排放的基础上强化无组织排放管理，完成全流程整治。</w:t>
                  </w:r>
                </w:p>
                <w:p w14:paraId="231CAAFD">
                  <w:pPr>
                    <w:pStyle w:val="73"/>
                    <w:jc w:val="both"/>
                  </w:pPr>
                  <w:r>
                    <w:rPr>
                      <w:rFonts w:hint="eastAsia"/>
                    </w:rPr>
                    <w:t>2.开发区应建设基地的公共应急设施与开发区内企业三级防控体系相互连通，确保基地陆域事故废水不入海。</w:t>
                  </w:r>
                </w:p>
                <w:p w14:paraId="14A82C88">
                  <w:pPr>
                    <w:pStyle w:val="73"/>
                    <w:jc w:val="both"/>
                  </w:pPr>
                  <w:r>
                    <w:rPr>
                      <w:rFonts w:hint="eastAsia"/>
                    </w:rPr>
                    <w:t>3.推进园区内工业企业废水统一收集、集中处理，污水集中处理设施稳定达标运行，逐步提高全市工业聚集区监管水平，完善工业园区水污染防治工作台账。</w:t>
                  </w:r>
                </w:p>
              </w:tc>
              <w:tc>
                <w:tcPr>
                  <w:tcW w:w="1370" w:type="pct"/>
                  <w:vAlign w:val="center"/>
                </w:tcPr>
                <w:p w14:paraId="3A33BB66">
                  <w:pPr>
                    <w:pStyle w:val="73"/>
                  </w:pPr>
                  <w:r>
                    <w:rPr>
                      <w:rFonts w:hint="eastAsia"/>
                    </w:rPr>
                    <w:t>本项目为危废库建设项目，不用水，不排水</w:t>
                  </w:r>
                </w:p>
              </w:tc>
              <w:tc>
                <w:tcPr>
                  <w:tcW w:w="266" w:type="pct"/>
                  <w:vAlign w:val="center"/>
                </w:tcPr>
                <w:p w14:paraId="2901BD77">
                  <w:pPr>
                    <w:pStyle w:val="73"/>
                  </w:pPr>
                </w:p>
              </w:tc>
            </w:tr>
            <w:tr w14:paraId="32B3AC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219" w:type="pct"/>
                  <w:vMerge w:val="continue"/>
                  <w:vAlign w:val="center"/>
                </w:tcPr>
                <w:p w14:paraId="4CF91552">
                  <w:pPr>
                    <w:pStyle w:val="73"/>
                  </w:pPr>
                </w:p>
              </w:tc>
              <w:tc>
                <w:tcPr>
                  <w:tcW w:w="346" w:type="pct"/>
                  <w:vAlign w:val="center"/>
                </w:tcPr>
                <w:p w14:paraId="0C273298">
                  <w:pPr>
                    <w:pStyle w:val="73"/>
                  </w:pPr>
                  <w:r>
                    <w:rPr>
                      <w:rFonts w:hint="eastAsia"/>
                    </w:rPr>
                    <w:t>环境风险防控</w:t>
                  </w:r>
                </w:p>
              </w:tc>
              <w:tc>
                <w:tcPr>
                  <w:tcW w:w="2796" w:type="pct"/>
                  <w:vAlign w:val="center"/>
                </w:tcPr>
                <w:p w14:paraId="00F6AC59">
                  <w:pPr>
                    <w:pStyle w:val="73"/>
                    <w:jc w:val="both"/>
                  </w:pPr>
                  <w:r>
                    <w:rPr>
                      <w:rFonts w:hint="eastAsia"/>
                    </w:rPr>
                    <w:t>1.开发区及入区企业需组织编制《环境风险应急预案》，成立应急组织机构，定期开展应急演练，提高区域环境风险防范能力。</w:t>
                  </w:r>
                </w:p>
                <w:p w14:paraId="7E8673C4">
                  <w:pPr>
                    <w:pStyle w:val="73"/>
                    <w:jc w:val="both"/>
                  </w:pPr>
                  <w:r>
                    <w:rPr>
                      <w:rFonts w:hint="eastAsia"/>
                    </w:rPr>
                    <w:t>2.危险废物集中处置行业企业需严格执行其环评文件要求的卫生防护距离；贮存危险废物需满足《中华人民共和国固体废物污染环境防治法》及《唐山市强化危险废物监管和利用处置能力改革行动方案》（唐政办字〔2021〕70号）规定。</w:t>
                  </w:r>
                </w:p>
              </w:tc>
              <w:tc>
                <w:tcPr>
                  <w:tcW w:w="1370" w:type="pct"/>
                  <w:vAlign w:val="center"/>
                </w:tcPr>
                <w:p w14:paraId="5866C1BC">
                  <w:pPr>
                    <w:pStyle w:val="73"/>
                  </w:pPr>
                  <w:r>
                    <w:rPr>
                      <w:rFonts w:hint="eastAsia"/>
                    </w:rPr>
                    <w:t>本项目已制定严格的环境风险防控措施，项目建成后企业将编制突发环境事件应急预案并按相关要求进行备案。危废库建设满足《中华人民共和国固体废物污染环境防治法》及《唐山市强化危险废物监管和利用处置能力改革行动方案》相关规定。</w:t>
                  </w:r>
                </w:p>
              </w:tc>
              <w:tc>
                <w:tcPr>
                  <w:tcW w:w="266" w:type="pct"/>
                  <w:vAlign w:val="center"/>
                </w:tcPr>
                <w:p w14:paraId="7FAED23D">
                  <w:pPr>
                    <w:pStyle w:val="73"/>
                  </w:pPr>
                </w:p>
              </w:tc>
            </w:tr>
            <w:tr w14:paraId="27AC4E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219" w:type="pct"/>
                  <w:vMerge w:val="continue"/>
                  <w:vAlign w:val="center"/>
                </w:tcPr>
                <w:p w14:paraId="392E307A">
                  <w:pPr>
                    <w:pStyle w:val="73"/>
                  </w:pPr>
                </w:p>
              </w:tc>
              <w:tc>
                <w:tcPr>
                  <w:tcW w:w="346" w:type="pct"/>
                  <w:vAlign w:val="center"/>
                </w:tcPr>
                <w:p w14:paraId="409B0C8C">
                  <w:pPr>
                    <w:pStyle w:val="73"/>
                  </w:pPr>
                  <w:r>
                    <w:rPr>
                      <w:rFonts w:hint="eastAsia"/>
                    </w:rPr>
                    <w:t>资源利用</w:t>
                  </w:r>
                </w:p>
                <w:p w14:paraId="39B452A3">
                  <w:pPr>
                    <w:pStyle w:val="73"/>
                  </w:pPr>
                  <w:r>
                    <w:rPr>
                      <w:rFonts w:hint="eastAsia"/>
                    </w:rPr>
                    <w:t>效率要求</w:t>
                  </w:r>
                </w:p>
              </w:tc>
              <w:tc>
                <w:tcPr>
                  <w:tcW w:w="2796" w:type="pct"/>
                  <w:vAlign w:val="center"/>
                </w:tcPr>
                <w:p w14:paraId="141B57DF">
                  <w:pPr>
                    <w:pStyle w:val="73"/>
                    <w:jc w:val="both"/>
                  </w:pPr>
                  <w:r>
                    <w:rPr>
                      <w:rFonts w:hint="eastAsia"/>
                    </w:rPr>
                    <w:t>1.严控煤炭消费量，对钢铁、焦化、煤炭、电力等重点用煤行业加强煤耗管控，采取去产能、减少煤电机组出力和电煤消耗、推进可再生清洁能源代煤改造等综合性削煤措施，充分利用天然气等各种清洁能源，促进天然气产业上中下游协调发展。</w:t>
                  </w:r>
                </w:p>
                <w:p w14:paraId="75AF9570">
                  <w:pPr>
                    <w:pStyle w:val="73"/>
                    <w:jc w:val="both"/>
                  </w:pPr>
                  <w:r>
                    <w:rPr>
                      <w:rFonts w:hint="eastAsia"/>
                    </w:rPr>
                    <w:t>2.在禁燃区内，禁止新建、改建、扩建燃用高污染燃料的锅炉、炉窑、炉灶等燃烧设施（城市集中供热应急调峰锅炉除外）。</w:t>
                  </w:r>
                </w:p>
              </w:tc>
              <w:tc>
                <w:tcPr>
                  <w:tcW w:w="1370" w:type="pct"/>
                  <w:vAlign w:val="center"/>
                </w:tcPr>
                <w:p w14:paraId="545C3D52">
                  <w:pPr>
                    <w:pStyle w:val="73"/>
                  </w:pPr>
                  <w:r>
                    <w:rPr>
                      <w:rFonts w:hint="eastAsia"/>
                    </w:rPr>
                    <w:t>不涉及</w:t>
                  </w:r>
                </w:p>
              </w:tc>
              <w:tc>
                <w:tcPr>
                  <w:tcW w:w="266" w:type="pct"/>
                  <w:vAlign w:val="center"/>
                </w:tcPr>
                <w:p w14:paraId="20E8C504">
                  <w:pPr>
                    <w:pStyle w:val="73"/>
                  </w:pPr>
                  <w:r>
                    <w:rPr>
                      <w:rFonts w:hint="eastAsia"/>
                    </w:rPr>
                    <w:t>符合</w:t>
                  </w:r>
                </w:p>
              </w:tc>
            </w:tr>
          </w:tbl>
          <w:p w14:paraId="3326B328">
            <w:pPr>
              <w:autoSpaceDE w:val="0"/>
              <w:autoSpaceDN w:val="0"/>
              <w:adjustRightInd w:val="0"/>
              <w:snapToGrid w:val="0"/>
              <w:spacing w:line="480" w:lineRule="exact"/>
              <w:ind w:firstLine="482" w:firstLineChars="200"/>
              <w:rPr>
                <w:rFonts w:cs="宋体"/>
                <w:b/>
                <w:bCs/>
                <w:color w:val="000000"/>
                <w:kern w:val="0"/>
                <w:szCs w:val="21"/>
              </w:rPr>
            </w:pPr>
            <w:r>
              <w:rPr>
                <w:rFonts w:hint="eastAsia" w:cs="宋体"/>
                <w:b/>
                <w:bCs/>
                <w:color w:val="000000"/>
                <w:kern w:val="0"/>
                <w:szCs w:val="21"/>
              </w:rPr>
              <w:t>3、项目与相关生态环境保护规划符合性分析</w:t>
            </w:r>
          </w:p>
          <w:p w14:paraId="0CDFD393">
            <w:pPr>
              <w:autoSpaceDE w:val="0"/>
              <w:autoSpaceDN w:val="0"/>
              <w:adjustRightInd w:val="0"/>
              <w:snapToGrid w:val="0"/>
              <w:spacing w:line="480" w:lineRule="exact"/>
              <w:ind w:firstLine="480" w:firstLineChars="200"/>
              <w:rPr>
                <w:rFonts w:cs="宋体"/>
                <w:color w:val="000000"/>
                <w:kern w:val="0"/>
                <w:szCs w:val="21"/>
              </w:rPr>
            </w:pPr>
            <w:r>
              <w:rPr>
                <w:rFonts w:hint="eastAsia" w:cs="宋体"/>
                <w:color w:val="000000"/>
                <w:kern w:val="0"/>
                <w:szCs w:val="21"/>
              </w:rPr>
              <w:t>本项目同相关生态环境保护规划符合性分析见下表。</w:t>
            </w:r>
          </w:p>
          <w:p w14:paraId="45BB3200">
            <w:pPr>
              <w:autoSpaceDE w:val="0"/>
              <w:autoSpaceDN w:val="0"/>
              <w:adjustRightInd w:val="0"/>
              <w:snapToGrid w:val="0"/>
              <w:spacing w:line="480" w:lineRule="exact"/>
              <w:ind w:firstLine="480"/>
              <w:jc w:val="center"/>
              <w:rPr>
                <w:rFonts w:eastAsia="黑体" w:cs="宋体"/>
                <w:color w:val="000000"/>
                <w:kern w:val="0"/>
                <w:szCs w:val="21"/>
              </w:rPr>
            </w:pPr>
            <w:r>
              <w:rPr>
                <w:rFonts w:hint="eastAsia" w:eastAsia="黑体" w:cs="宋体"/>
                <w:color w:val="000000"/>
                <w:kern w:val="0"/>
                <w:szCs w:val="21"/>
              </w:rPr>
              <w:t>表1</w:t>
            </w:r>
            <w:r>
              <w:rPr>
                <w:rFonts w:eastAsia="黑体" w:cs="宋体"/>
                <w:color w:val="000000"/>
                <w:kern w:val="0"/>
                <w:szCs w:val="21"/>
              </w:rPr>
              <w:t>.</w:t>
            </w:r>
            <w:r>
              <w:rPr>
                <w:rFonts w:hint="eastAsia" w:eastAsia="黑体" w:cs="宋体"/>
                <w:color w:val="000000"/>
                <w:kern w:val="0"/>
                <w:szCs w:val="21"/>
              </w:rPr>
              <w:t>5 本项目同相关生态环境保护规划符合性一览表</w:t>
            </w:r>
          </w:p>
          <w:tbl>
            <w:tblPr>
              <w:tblStyle w:val="19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6"/>
              <w:gridCol w:w="3648"/>
              <w:gridCol w:w="2447"/>
              <w:gridCol w:w="845"/>
            </w:tblGrid>
            <w:tr w14:paraId="3A3048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vAlign w:val="center"/>
                </w:tcPr>
                <w:p w14:paraId="23253853">
                  <w:pPr>
                    <w:pStyle w:val="73"/>
                    <w:overflowPunct w:val="0"/>
                    <w:topLinePunct/>
                    <w:autoSpaceDE w:val="0"/>
                    <w:autoSpaceDN w:val="0"/>
                  </w:pPr>
                  <w:r>
                    <w:rPr>
                      <w:rFonts w:hint="eastAsia"/>
                    </w:rPr>
                    <w:t>规划</w:t>
                  </w:r>
                </w:p>
              </w:tc>
              <w:tc>
                <w:tcPr>
                  <w:tcW w:w="2266" w:type="pct"/>
                  <w:vAlign w:val="center"/>
                </w:tcPr>
                <w:p w14:paraId="72F53372">
                  <w:pPr>
                    <w:pStyle w:val="73"/>
                    <w:overflowPunct w:val="0"/>
                    <w:topLinePunct/>
                    <w:autoSpaceDE w:val="0"/>
                    <w:autoSpaceDN w:val="0"/>
                  </w:pPr>
                  <w:r>
                    <w:rPr>
                      <w:rFonts w:hint="eastAsia"/>
                    </w:rPr>
                    <w:t>规划要求</w:t>
                  </w:r>
                </w:p>
              </w:tc>
              <w:tc>
                <w:tcPr>
                  <w:tcW w:w="1520" w:type="pct"/>
                  <w:vAlign w:val="center"/>
                </w:tcPr>
                <w:p w14:paraId="22B729C2">
                  <w:pPr>
                    <w:pStyle w:val="73"/>
                    <w:overflowPunct w:val="0"/>
                    <w:topLinePunct/>
                    <w:autoSpaceDE w:val="0"/>
                    <w:autoSpaceDN w:val="0"/>
                  </w:pPr>
                  <w:r>
                    <w:rPr>
                      <w:rFonts w:hint="eastAsia"/>
                    </w:rPr>
                    <w:t>项目情况</w:t>
                  </w:r>
                </w:p>
              </w:tc>
              <w:tc>
                <w:tcPr>
                  <w:tcW w:w="525" w:type="pct"/>
                  <w:vAlign w:val="center"/>
                </w:tcPr>
                <w:p w14:paraId="0A468ECF">
                  <w:pPr>
                    <w:pStyle w:val="73"/>
                    <w:overflowPunct w:val="0"/>
                    <w:topLinePunct/>
                    <w:autoSpaceDE w:val="0"/>
                    <w:autoSpaceDN w:val="0"/>
                  </w:pPr>
                  <w:r>
                    <w:rPr>
                      <w:rFonts w:hint="eastAsia"/>
                    </w:rPr>
                    <w:t>符合性</w:t>
                  </w:r>
                </w:p>
              </w:tc>
            </w:tr>
            <w:tr w14:paraId="2CA39D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vMerge w:val="restart"/>
                  <w:vAlign w:val="center"/>
                </w:tcPr>
                <w:p w14:paraId="71061A9D">
                  <w:pPr>
                    <w:pStyle w:val="73"/>
                    <w:overflowPunct w:val="0"/>
                    <w:topLinePunct/>
                    <w:autoSpaceDE w:val="0"/>
                    <w:autoSpaceDN w:val="0"/>
                  </w:pPr>
                  <w:r>
                    <w:rPr>
                      <w:rFonts w:hint="eastAsia"/>
                    </w:rPr>
                    <w:t>河北省生态环境保护“十四五”规划</w:t>
                  </w:r>
                </w:p>
              </w:tc>
              <w:tc>
                <w:tcPr>
                  <w:tcW w:w="2266" w:type="pct"/>
                  <w:vAlign w:val="center"/>
                </w:tcPr>
                <w:p w14:paraId="5198B1EC">
                  <w:pPr>
                    <w:pStyle w:val="73"/>
                    <w:overflowPunct w:val="0"/>
                    <w:topLinePunct/>
                    <w:autoSpaceDE w:val="0"/>
                    <w:autoSpaceDN w:val="0"/>
                  </w:pPr>
                  <w:r>
                    <w:rPr>
                      <w:rFonts w:hint="eastAsia"/>
                    </w:rPr>
                    <w:t>基本原则：坚持底线思维。严格落实“三线一单”生态环境分区管控，健全环境风险防控机制，有效应对各类突发环境事件，全力保障生态环境</w:t>
                  </w:r>
                </w:p>
                <w:p w14:paraId="595D92C9">
                  <w:pPr>
                    <w:pStyle w:val="73"/>
                    <w:overflowPunct w:val="0"/>
                    <w:topLinePunct/>
                    <w:autoSpaceDE w:val="0"/>
                    <w:autoSpaceDN w:val="0"/>
                  </w:pPr>
                  <w:r>
                    <w:rPr>
                      <w:rFonts w:hint="eastAsia"/>
                    </w:rPr>
                    <w:t>安全，当好首都政治“护城河”。</w:t>
                  </w:r>
                </w:p>
              </w:tc>
              <w:tc>
                <w:tcPr>
                  <w:tcW w:w="1520" w:type="pct"/>
                  <w:vAlign w:val="center"/>
                </w:tcPr>
                <w:p w14:paraId="5BA741AA">
                  <w:pPr>
                    <w:pStyle w:val="73"/>
                    <w:overflowPunct w:val="0"/>
                    <w:topLinePunct/>
                    <w:autoSpaceDE w:val="0"/>
                    <w:autoSpaceDN w:val="0"/>
                  </w:pPr>
                  <w:r>
                    <w:rPr>
                      <w:rFonts w:hint="eastAsia"/>
                    </w:rPr>
                    <w:t>本项目的建设符合《河北省人民政府关于加快实施“三线一单”生态环境分区管控的意见》（冀政字〔</w:t>
                  </w:r>
                  <w:r>
                    <w:t>2020〕71号）</w:t>
                  </w:r>
                  <w:r>
                    <w:rPr>
                      <w:rFonts w:hint="eastAsia"/>
                    </w:rPr>
                    <w:t>、《唐山市人民政府关于实施“三线一单”生态环境分区管控的意见》（唐政字〔</w:t>
                  </w:r>
                  <w:r>
                    <w:t>2021〕48号）管控要求</w:t>
                  </w:r>
                </w:p>
              </w:tc>
              <w:tc>
                <w:tcPr>
                  <w:tcW w:w="525" w:type="pct"/>
                  <w:vAlign w:val="center"/>
                </w:tcPr>
                <w:p w14:paraId="4342F027">
                  <w:pPr>
                    <w:pStyle w:val="73"/>
                    <w:overflowPunct w:val="0"/>
                    <w:topLinePunct/>
                    <w:autoSpaceDE w:val="0"/>
                    <w:autoSpaceDN w:val="0"/>
                  </w:pPr>
                  <w:r>
                    <w:rPr>
                      <w:rFonts w:hint="eastAsia"/>
                    </w:rPr>
                    <w:t>符合</w:t>
                  </w:r>
                </w:p>
              </w:tc>
            </w:tr>
            <w:tr w14:paraId="371823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vMerge w:val="continue"/>
                  <w:vAlign w:val="center"/>
                </w:tcPr>
                <w:p w14:paraId="221A0A3E">
                  <w:pPr>
                    <w:pStyle w:val="73"/>
                    <w:overflowPunct w:val="0"/>
                    <w:topLinePunct/>
                    <w:autoSpaceDE w:val="0"/>
                    <w:autoSpaceDN w:val="0"/>
                  </w:pPr>
                </w:p>
              </w:tc>
              <w:tc>
                <w:tcPr>
                  <w:tcW w:w="2266" w:type="pct"/>
                  <w:vAlign w:val="center"/>
                </w:tcPr>
                <w:p w14:paraId="46EDA57B">
                  <w:pPr>
                    <w:pStyle w:val="73"/>
                    <w:overflowPunct w:val="0"/>
                    <w:topLinePunct/>
                    <w:autoSpaceDE w:val="0"/>
                    <w:autoSpaceDN w:val="0"/>
                  </w:pPr>
                  <w:r>
                    <w:rPr>
                      <w:rFonts w:hint="eastAsia"/>
                    </w:rPr>
                    <w:t>环境风险得到有效防控。土壤污染风险得到有效管控，危险废物和新污染物治理能力明显增强，核与辐射环境风险有效管控，防范化解生态环境风险能力显著增强。</w:t>
                  </w:r>
                </w:p>
              </w:tc>
              <w:tc>
                <w:tcPr>
                  <w:tcW w:w="1520" w:type="pct"/>
                  <w:vAlign w:val="center"/>
                </w:tcPr>
                <w:p w14:paraId="454EC4DB">
                  <w:pPr>
                    <w:pStyle w:val="73"/>
                    <w:overflowPunct w:val="0"/>
                    <w:topLinePunct/>
                    <w:autoSpaceDE w:val="0"/>
                    <w:autoSpaceDN w:val="0"/>
                  </w:pPr>
                  <w:r>
                    <w:rPr>
                      <w:rFonts w:hint="eastAsia"/>
                    </w:rPr>
                    <w:t>项目采取严格防渗等措施，防止污染土壤和地下水</w:t>
                  </w:r>
                </w:p>
              </w:tc>
              <w:tc>
                <w:tcPr>
                  <w:tcW w:w="525" w:type="pct"/>
                  <w:vAlign w:val="center"/>
                </w:tcPr>
                <w:p w14:paraId="195199A0">
                  <w:pPr>
                    <w:pStyle w:val="73"/>
                    <w:overflowPunct w:val="0"/>
                    <w:topLinePunct/>
                    <w:autoSpaceDE w:val="0"/>
                    <w:autoSpaceDN w:val="0"/>
                  </w:pPr>
                  <w:r>
                    <w:rPr>
                      <w:rFonts w:hint="eastAsia"/>
                    </w:rPr>
                    <w:t>符合</w:t>
                  </w:r>
                </w:p>
              </w:tc>
            </w:tr>
            <w:tr w14:paraId="07228D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vAlign w:val="center"/>
                </w:tcPr>
                <w:p w14:paraId="34701EAD">
                  <w:pPr>
                    <w:pStyle w:val="73"/>
                    <w:overflowPunct w:val="0"/>
                    <w:topLinePunct/>
                    <w:autoSpaceDE w:val="0"/>
                    <w:autoSpaceDN w:val="0"/>
                  </w:pPr>
                  <w:r>
                    <w:rPr>
                      <w:rFonts w:hint="eastAsia"/>
                    </w:rPr>
                    <w:t>“十四五”土壤、地下水和农村生态环境保护规划</w:t>
                  </w:r>
                </w:p>
              </w:tc>
              <w:tc>
                <w:tcPr>
                  <w:tcW w:w="2266" w:type="pct"/>
                  <w:vAlign w:val="center"/>
                </w:tcPr>
                <w:p w14:paraId="2A8485B0">
                  <w:pPr>
                    <w:pStyle w:val="73"/>
                    <w:overflowPunct w:val="0"/>
                    <w:topLinePunct/>
                    <w:autoSpaceDE w:val="0"/>
                    <w:autoSpaceDN w:val="0"/>
                  </w:pPr>
                  <w:r>
                    <w:rPr>
                      <w:rFonts w:hint="eastAsia"/>
                    </w:rPr>
                    <w:t>严格建设项目土壤环境影响评价制度。对涉及有毒有害物质可能造成土壤污染的新（改、扩）建项目，依法进行环境影响评价，提出并落实防腐蚀、防渗漏、防遗撒等土壤污染防治具体措施</w:t>
                  </w:r>
                </w:p>
              </w:tc>
              <w:tc>
                <w:tcPr>
                  <w:tcW w:w="1520" w:type="pct"/>
                  <w:vAlign w:val="center"/>
                </w:tcPr>
                <w:p w14:paraId="1E11AB6A">
                  <w:pPr>
                    <w:pStyle w:val="73"/>
                    <w:overflowPunct w:val="0"/>
                    <w:topLinePunct/>
                    <w:autoSpaceDE w:val="0"/>
                    <w:autoSpaceDN w:val="0"/>
                  </w:pPr>
                  <w:r>
                    <w:rPr>
                      <w:rFonts w:hint="eastAsia"/>
                    </w:rPr>
                    <w:t>项目采取严格防渗等措施，防止污染土壤和地下水</w:t>
                  </w:r>
                </w:p>
              </w:tc>
              <w:tc>
                <w:tcPr>
                  <w:tcW w:w="525" w:type="pct"/>
                  <w:vAlign w:val="center"/>
                </w:tcPr>
                <w:p w14:paraId="0FF9CEF6">
                  <w:pPr>
                    <w:pStyle w:val="73"/>
                    <w:overflowPunct w:val="0"/>
                    <w:topLinePunct/>
                    <w:autoSpaceDE w:val="0"/>
                    <w:autoSpaceDN w:val="0"/>
                  </w:pPr>
                  <w:r>
                    <w:rPr>
                      <w:rFonts w:hint="eastAsia"/>
                    </w:rPr>
                    <w:t>符合</w:t>
                  </w:r>
                </w:p>
              </w:tc>
            </w:tr>
            <w:tr w14:paraId="38D22E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vAlign w:val="center"/>
                </w:tcPr>
                <w:p w14:paraId="441783A5">
                  <w:pPr>
                    <w:pStyle w:val="73"/>
                    <w:overflowPunct w:val="0"/>
                    <w:topLinePunct/>
                    <w:autoSpaceDE w:val="0"/>
                    <w:autoSpaceDN w:val="0"/>
                  </w:pPr>
                  <w:r>
                    <w:rPr>
                      <w:rFonts w:hint="eastAsia"/>
                    </w:rPr>
                    <w:t>河北省土壤与地下水污染防治“十四五”规划</w:t>
                  </w:r>
                </w:p>
              </w:tc>
              <w:tc>
                <w:tcPr>
                  <w:tcW w:w="2266" w:type="pct"/>
                  <w:vAlign w:val="center"/>
                </w:tcPr>
                <w:p w14:paraId="5D03FB01">
                  <w:pPr>
                    <w:pStyle w:val="73"/>
                    <w:overflowPunct w:val="0"/>
                    <w:topLinePunct/>
                    <w:autoSpaceDE w:val="0"/>
                    <w:autoSpaceDN w:val="0"/>
                  </w:pPr>
                  <w:r>
                    <w:rPr>
                      <w:rFonts w:hint="eastAsia"/>
                    </w:rPr>
                    <w:t>坚持预防为主、保护优先。加强空间布局管控，严格环境准入管理，强化源头防控。理顺源头预防压力传导机制，落实溯源断源、减排措施，切断污染物进入土壤、地下水环境的途径。</w:t>
                  </w:r>
                </w:p>
                <w:p w14:paraId="1A47540D">
                  <w:pPr>
                    <w:pStyle w:val="73"/>
                    <w:overflowPunct w:val="0"/>
                    <w:topLinePunct/>
                    <w:autoSpaceDE w:val="0"/>
                    <w:autoSpaceDN w:val="0"/>
                  </w:pPr>
                  <w:r>
                    <w:rPr>
                      <w:rFonts w:hint="eastAsia"/>
                    </w:rPr>
                    <w:t>推动实施绿色化生产改造。以重有色金属及黑色金属采选冶炼等行业为重点，鼓励企业推进工艺技术设备清洁化改造，率先在电镀、制革行业实施清洁生产技术改造。鼓励推动金属制品业、化学原料和化学制品制造业等行业企业实施管道化、密闭化改造，实施物料、污水、废气管线架空建设和重点区域防腐防渗改造。开展工业固体废物堆存和废旧资源再生利用活动场所及企业危废贮存场所的防扬散、防流失、防渗漏等环境风险排查整治。</w:t>
                  </w:r>
                </w:p>
              </w:tc>
              <w:tc>
                <w:tcPr>
                  <w:tcW w:w="1520" w:type="pct"/>
                  <w:vAlign w:val="center"/>
                </w:tcPr>
                <w:p w14:paraId="56E8EEA8">
                  <w:pPr>
                    <w:pStyle w:val="73"/>
                    <w:overflowPunct w:val="0"/>
                    <w:topLinePunct/>
                    <w:autoSpaceDE w:val="0"/>
                    <w:autoSpaceDN w:val="0"/>
                  </w:pPr>
                  <w:r>
                    <w:rPr>
                      <w:rFonts w:hint="eastAsia"/>
                    </w:rPr>
                    <w:t>本项目危废暂存间采取严格防渗等措施，防止污染土壤和地下水</w:t>
                  </w:r>
                </w:p>
              </w:tc>
              <w:tc>
                <w:tcPr>
                  <w:tcW w:w="525" w:type="pct"/>
                  <w:vAlign w:val="center"/>
                </w:tcPr>
                <w:p w14:paraId="02F06AC8">
                  <w:pPr>
                    <w:pStyle w:val="73"/>
                    <w:overflowPunct w:val="0"/>
                    <w:topLinePunct/>
                    <w:autoSpaceDE w:val="0"/>
                    <w:autoSpaceDN w:val="0"/>
                  </w:pPr>
                  <w:r>
                    <w:rPr>
                      <w:rFonts w:hint="eastAsia"/>
                    </w:rPr>
                    <w:t>符合</w:t>
                  </w:r>
                </w:p>
              </w:tc>
            </w:tr>
            <w:tr w14:paraId="642C00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vAlign w:val="center"/>
                </w:tcPr>
                <w:p w14:paraId="1F21D9C8">
                  <w:pPr>
                    <w:pStyle w:val="73"/>
                    <w:overflowPunct w:val="0"/>
                    <w:topLinePunct/>
                    <w:autoSpaceDE w:val="0"/>
                    <w:autoSpaceDN w:val="0"/>
                  </w:pPr>
                  <w:r>
                    <w:rPr>
                      <w:rFonts w:hint="eastAsia"/>
                    </w:rPr>
                    <w:t>唐山市生态环境保护“十四五”规划</w:t>
                  </w:r>
                </w:p>
              </w:tc>
              <w:tc>
                <w:tcPr>
                  <w:tcW w:w="2266" w:type="pct"/>
                  <w:vAlign w:val="center"/>
                </w:tcPr>
                <w:p w14:paraId="23FC42B8">
                  <w:pPr>
                    <w:pStyle w:val="73"/>
                    <w:overflowPunct w:val="0"/>
                    <w:topLinePunct/>
                    <w:autoSpaceDE w:val="0"/>
                    <w:autoSpaceDN w:val="0"/>
                  </w:pPr>
                  <w:r>
                    <w:rPr>
                      <w:rFonts w:hint="eastAsia"/>
                    </w:rPr>
                    <w:t>①</w:t>
                  </w:r>
                  <w:r>
                    <w:t>严禁新增钢铁</w:t>
                  </w:r>
                  <w:r>
                    <w:rPr>
                      <w:rFonts w:hint="eastAsia"/>
                    </w:rPr>
                    <w:t>、</w:t>
                  </w:r>
                  <w:r>
                    <w:t>焦化</w:t>
                  </w:r>
                  <w:r>
                    <w:rPr>
                      <w:rFonts w:hint="eastAsia"/>
                    </w:rPr>
                    <w:t>、</w:t>
                  </w:r>
                  <w:r>
                    <w:t>水泥熟料</w:t>
                  </w:r>
                  <w:r>
                    <w:rPr>
                      <w:rFonts w:hint="eastAsia"/>
                    </w:rPr>
                    <w:t>、</w:t>
                  </w:r>
                  <w:r>
                    <w:t>平板玻璃</w:t>
                  </w:r>
                  <w:r>
                    <w:rPr>
                      <w:rFonts w:hint="eastAsia"/>
                    </w:rPr>
                    <w:t>、</w:t>
                  </w:r>
                  <w:r>
                    <w:t>煤化工产能</w:t>
                  </w:r>
                  <w:r>
                    <w:rPr>
                      <w:rFonts w:hint="eastAsia"/>
                    </w:rPr>
                    <w:t>。②大力推进进港、进园、进厂“最后一公里”建设，完善集疏港铁路和大型工矿企业、物流园区铁路专用线网络，提高铁路货物运输能力。③加强工业园区环境风险评估和应急预案编制，常态化组织演练和培训。</w:t>
                  </w:r>
                </w:p>
              </w:tc>
              <w:tc>
                <w:tcPr>
                  <w:tcW w:w="1520" w:type="pct"/>
                  <w:vAlign w:val="center"/>
                </w:tcPr>
                <w:p w14:paraId="6F01A724">
                  <w:pPr>
                    <w:pStyle w:val="73"/>
                    <w:overflowPunct w:val="0"/>
                    <w:topLinePunct/>
                    <w:autoSpaceDE w:val="0"/>
                    <w:autoSpaceDN w:val="0"/>
                  </w:pPr>
                  <w:r>
                    <w:rPr>
                      <w:rFonts w:hint="eastAsia"/>
                    </w:rPr>
                    <w:t>①本项目不涉及</w:t>
                  </w:r>
                  <w:r>
                    <w:t>新增钢铁</w:t>
                  </w:r>
                  <w:r>
                    <w:rPr>
                      <w:rFonts w:hint="eastAsia"/>
                    </w:rPr>
                    <w:t>、</w:t>
                  </w:r>
                  <w:r>
                    <w:t>焦化</w:t>
                  </w:r>
                  <w:r>
                    <w:rPr>
                      <w:rFonts w:hint="eastAsia"/>
                    </w:rPr>
                    <w:t>、</w:t>
                  </w:r>
                  <w:r>
                    <w:t>水泥熟料</w:t>
                  </w:r>
                  <w:r>
                    <w:rPr>
                      <w:rFonts w:hint="eastAsia"/>
                    </w:rPr>
                    <w:t>、</w:t>
                  </w:r>
                  <w:r>
                    <w:t>平板玻璃</w:t>
                  </w:r>
                  <w:r>
                    <w:rPr>
                      <w:rFonts w:hint="eastAsia"/>
                    </w:rPr>
                    <w:t>、</w:t>
                  </w:r>
                  <w:r>
                    <w:t>煤化工产能</w:t>
                  </w:r>
                  <w:r>
                    <w:rPr>
                      <w:rFonts w:hint="eastAsia"/>
                    </w:rPr>
                    <w:t>。②所在曹妃甸区正在实施大宗物料综合管廊项目。③园区已发布《突发环境事件应急预案》，并完成备案</w:t>
                  </w:r>
                </w:p>
              </w:tc>
              <w:tc>
                <w:tcPr>
                  <w:tcW w:w="525" w:type="pct"/>
                  <w:vAlign w:val="center"/>
                </w:tcPr>
                <w:p w14:paraId="5305FE93">
                  <w:pPr>
                    <w:pStyle w:val="73"/>
                    <w:overflowPunct w:val="0"/>
                    <w:topLinePunct/>
                    <w:autoSpaceDE w:val="0"/>
                    <w:autoSpaceDN w:val="0"/>
                  </w:pPr>
                  <w:r>
                    <w:rPr>
                      <w:rFonts w:hint="eastAsia"/>
                    </w:rPr>
                    <w:t>符合</w:t>
                  </w:r>
                </w:p>
              </w:tc>
            </w:tr>
            <w:tr w14:paraId="1D2448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vAlign w:val="center"/>
                </w:tcPr>
                <w:p w14:paraId="26D83B46">
                  <w:pPr>
                    <w:pStyle w:val="73"/>
                    <w:overflowPunct w:val="0"/>
                    <w:topLinePunct/>
                    <w:autoSpaceDE w:val="0"/>
                    <w:autoSpaceDN w:val="0"/>
                  </w:pPr>
                  <w:r>
                    <w:rPr>
                      <w:rFonts w:hint="eastAsia"/>
                    </w:rPr>
                    <w:t>唐山市土壤与地下水污染防治“十四五”规划</w:t>
                  </w:r>
                </w:p>
              </w:tc>
              <w:tc>
                <w:tcPr>
                  <w:tcW w:w="2266" w:type="pct"/>
                  <w:vAlign w:val="center"/>
                </w:tcPr>
                <w:p w14:paraId="0E282E34">
                  <w:pPr>
                    <w:pStyle w:val="73"/>
                    <w:overflowPunct w:val="0"/>
                    <w:topLinePunct/>
                    <w:autoSpaceDE w:val="0"/>
                    <w:autoSpaceDN w:val="0"/>
                  </w:pPr>
                  <w:r>
                    <w:t>严格落实环境影响评价制度</w:t>
                  </w:r>
                  <w:r>
                    <w:rPr>
                      <w:rFonts w:hint="eastAsia"/>
                    </w:rPr>
                    <w:t>，</w:t>
                  </w:r>
                  <w:r>
                    <w:t>涉及</w:t>
                  </w:r>
                  <w:r>
                    <w:rPr>
                      <w:rFonts w:hint="eastAsia"/>
                    </w:rPr>
                    <w:t>排放有毒有害物质可能造成土壤污染的新（改、扩）建项目，依法进行环境影响评价，提出并落实防腐蚀、防渗漏、防遗撒等土壤污染防治具体措施。加强企业拆除活动污染防治监管，监督企业落实拆除活动土壤污染防治措施，防范拆除活动造成土壤二次污染。督促“一企一库”“两场两区”采取防渗漏措施，建设地下水环境监测井，开展地下水环境自行监测。</w:t>
                  </w:r>
                </w:p>
              </w:tc>
              <w:tc>
                <w:tcPr>
                  <w:tcW w:w="1520" w:type="pct"/>
                  <w:vAlign w:val="center"/>
                </w:tcPr>
                <w:p w14:paraId="231AC3FA">
                  <w:pPr>
                    <w:pStyle w:val="73"/>
                    <w:overflowPunct w:val="0"/>
                    <w:topLinePunct/>
                    <w:autoSpaceDE w:val="0"/>
                    <w:autoSpaceDN w:val="0"/>
                  </w:pPr>
                  <w:r>
                    <w:t>本项目依法开展环评手续</w:t>
                  </w:r>
                  <w:r>
                    <w:rPr>
                      <w:rFonts w:hint="eastAsia"/>
                    </w:rPr>
                    <w:t>，项目按照“源头控制、过程防控、跟踪监测、应急响应”相结合的原则采取了相应土壤污染防治措施；从源头控制和分区防渗方面采取严格的防腐防渗措施</w:t>
                  </w:r>
                </w:p>
              </w:tc>
              <w:tc>
                <w:tcPr>
                  <w:tcW w:w="525" w:type="pct"/>
                  <w:vAlign w:val="center"/>
                </w:tcPr>
                <w:p w14:paraId="6C5B50C7">
                  <w:pPr>
                    <w:pStyle w:val="73"/>
                    <w:overflowPunct w:val="0"/>
                    <w:topLinePunct/>
                    <w:autoSpaceDE w:val="0"/>
                    <w:autoSpaceDN w:val="0"/>
                  </w:pPr>
                  <w:r>
                    <w:rPr>
                      <w:rFonts w:hint="eastAsia"/>
                    </w:rPr>
                    <w:t>符合</w:t>
                  </w:r>
                </w:p>
              </w:tc>
            </w:tr>
          </w:tbl>
          <w:p w14:paraId="508FDB1F">
            <w:pPr>
              <w:autoSpaceDE w:val="0"/>
              <w:autoSpaceDN w:val="0"/>
              <w:adjustRightInd w:val="0"/>
              <w:snapToGrid w:val="0"/>
              <w:spacing w:line="480" w:lineRule="exact"/>
              <w:ind w:firstLine="482" w:firstLineChars="200"/>
              <w:rPr>
                <w:rFonts w:cs="宋体"/>
                <w:b/>
                <w:bCs/>
                <w:color w:val="000000"/>
                <w:kern w:val="0"/>
                <w:szCs w:val="21"/>
              </w:rPr>
            </w:pPr>
            <w:r>
              <w:rPr>
                <w:rFonts w:hint="eastAsia" w:cs="宋体"/>
                <w:b/>
                <w:bCs/>
                <w:color w:val="000000"/>
                <w:kern w:val="0"/>
                <w:szCs w:val="21"/>
              </w:rPr>
              <w:t>4、项目与相关功能区划符合性分析</w:t>
            </w:r>
          </w:p>
          <w:p w14:paraId="15A1806B">
            <w:pPr>
              <w:autoSpaceDE w:val="0"/>
              <w:autoSpaceDN w:val="0"/>
              <w:adjustRightInd w:val="0"/>
              <w:snapToGrid w:val="0"/>
              <w:spacing w:line="480" w:lineRule="exact"/>
              <w:ind w:firstLine="480" w:firstLineChars="200"/>
              <w:rPr>
                <w:rFonts w:cs="宋体"/>
                <w:color w:val="000000"/>
                <w:kern w:val="0"/>
                <w:szCs w:val="21"/>
              </w:rPr>
            </w:pPr>
            <w:r>
              <w:rPr>
                <w:rFonts w:hint="eastAsia" w:cs="宋体"/>
                <w:color w:val="000000"/>
                <w:kern w:val="0"/>
                <w:szCs w:val="21"/>
              </w:rPr>
              <w:t>本项目同相关相关功能区划符合性分析见下表。</w:t>
            </w:r>
          </w:p>
          <w:p w14:paraId="6F189B23">
            <w:pPr>
              <w:autoSpaceDE w:val="0"/>
              <w:autoSpaceDN w:val="0"/>
              <w:adjustRightInd w:val="0"/>
              <w:snapToGrid w:val="0"/>
              <w:spacing w:line="480" w:lineRule="exact"/>
              <w:ind w:firstLine="480"/>
              <w:jc w:val="center"/>
              <w:rPr>
                <w:rFonts w:eastAsia="黑体" w:cs="宋体"/>
                <w:color w:val="000000"/>
                <w:kern w:val="0"/>
                <w:szCs w:val="21"/>
              </w:rPr>
            </w:pPr>
            <w:r>
              <w:rPr>
                <w:rFonts w:hint="eastAsia" w:eastAsia="黑体" w:cs="宋体"/>
                <w:color w:val="000000"/>
                <w:kern w:val="0"/>
                <w:szCs w:val="21"/>
              </w:rPr>
              <w:t>表1</w:t>
            </w:r>
            <w:r>
              <w:rPr>
                <w:rFonts w:eastAsia="黑体" w:cs="宋体"/>
                <w:color w:val="000000"/>
                <w:kern w:val="0"/>
                <w:szCs w:val="21"/>
              </w:rPr>
              <w:t>.</w:t>
            </w:r>
            <w:r>
              <w:rPr>
                <w:rFonts w:hint="eastAsia" w:eastAsia="黑体" w:cs="宋体"/>
                <w:color w:val="000000"/>
                <w:kern w:val="0"/>
                <w:szCs w:val="21"/>
              </w:rPr>
              <w:t>6</w:t>
            </w:r>
            <w:r>
              <w:rPr>
                <w:rFonts w:eastAsia="黑体" w:cs="宋体"/>
                <w:color w:val="000000"/>
                <w:kern w:val="0"/>
                <w:szCs w:val="21"/>
              </w:rPr>
              <w:t xml:space="preserve"> </w:t>
            </w:r>
            <w:r>
              <w:rPr>
                <w:rFonts w:hint="eastAsia" w:eastAsia="黑体" w:cs="宋体"/>
                <w:color w:val="000000"/>
                <w:kern w:val="0"/>
                <w:szCs w:val="21"/>
              </w:rPr>
              <w:t>本项目同相关生态环境保护规划符合性一览表</w:t>
            </w:r>
          </w:p>
          <w:tbl>
            <w:tblPr>
              <w:tblStyle w:val="28"/>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108" w:type="dxa"/>
                <w:bottom w:w="0" w:type="dxa"/>
                <w:right w:w="108" w:type="dxa"/>
              </w:tblCellMar>
            </w:tblPr>
            <w:tblGrid>
              <w:gridCol w:w="909"/>
              <w:gridCol w:w="6498"/>
              <w:gridCol w:w="636"/>
            </w:tblGrid>
            <w:tr w14:paraId="75A09798">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PrEx>
              <w:trPr>
                <w:trHeight w:val="340" w:hRule="atLeast"/>
                <w:tblHeader/>
                <w:jc w:val="center"/>
              </w:trPr>
              <w:tc>
                <w:tcPr>
                  <w:tcW w:w="565" w:type="pct"/>
                  <w:tcBorders>
                    <w:top w:val="single" w:color="auto" w:sz="4" w:space="0"/>
                  </w:tcBorders>
                  <w:vAlign w:val="center"/>
                </w:tcPr>
                <w:p w14:paraId="09B4AC32">
                  <w:pPr>
                    <w:pStyle w:val="73"/>
                  </w:pPr>
                  <w:r>
                    <w:rPr>
                      <w:rFonts w:hint="eastAsia"/>
                    </w:rPr>
                    <w:t>类别</w:t>
                  </w:r>
                </w:p>
              </w:tc>
              <w:tc>
                <w:tcPr>
                  <w:tcW w:w="4038" w:type="pct"/>
                  <w:tcBorders>
                    <w:top w:val="single" w:color="auto" w:sz="4" w:space="0"/>
                  </w:tcBorders>
                  <w:vAlign w:val="center"/>
                </w:tcPr>
                <w:p w14:paraId="1BFECDAD">
                  <w:pPr>
                    <w:pStyle w:val="73"/>
                  </w:pPr>
                  <w:r>
                    <w:rPr>
                      <w:rFonts w:hint="eastAsia"/>
                    </w:rPr>
                    <w:t>本项目情况</w:t>
                  </w:r>
                </w:p>
              </w:tc>
              <w:tc>
                <w:tcPr>
                  <w:tcW w:w="395" w:type="pct"/>
                  <w:tcBorders>
                    <w:top w:val="single" w:color="auto" w:sz="4" w:space="0"/>
                  </w:tcBorders>
                  <w:vAlign w:val="center"/>
                </w:tcPr>
                <w:p w14:paraId="116923CE">
                  <w:pPr>
                    <w:pStyle w:val="73"/>
                  </w:pPr>
                  <w:r>
                    <w:rPr>
                      <w:rFonts w:hint="eastAsia"/>
                    </w:rPr>
                    <w:t>符合性</w:t>
                  </w:r>
                </w:p>
              </w:tc>
            </w:tr>
            <w:tr w14:paraId="74F5A74F">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blHeader/>
                <w:jc w:val="center"/>
              </w:trPr>
              <w:tc>
                <w:tcPr>
                  <w:tcW w:w="565" w:type="pct"/>
                  <w:tcBorders>
                    <w:top w:val="single" w:color="auto" w:sz="4" w:space="0"/>
                  </w:tcBorders>
                  <w:vAlign w:val="center"/>
                </w:tcPr>
                <w:p w14:paraId="1FD7857D">
                  <w:pPr>
                    <w:pStyle w:val="73"/>
                  </w:pPr>
                  <w:r>
                    <w:rPr>
                      <w:rFonts w:hint="eastAsia"/>
                    </w:rPr>
                    <w:t>《全国主体功能区划》</w:t>
                  </w:r>
                </w:p>
              </w:tc>
              <w:tc>
                <w:tcPr>
                  <w:tcW w:w="4038" w:type="pct"/>
                  <w:tcBorders>
                    <w:top w:val="single" w:color="auto" w:sz="4" w:space="0"/>
                  </w:tcBorders>
                  <w:vAlign w:val="center"/>
                </w:tcPr>
                <w:p w14:paraId="0187FE94">
                  <w:pPr>
                    <w:pStyle w:val="73"/>
                  </w:pPr>
                  <w:r>
                    <w:rPr>
                      <w:rFonts w:hint="eastAsia"/>
                    </w:rPr>
                    <w:t>区划将我国国土空间分为以下主体功能区：按开发方式，分为优化开发区域、重点开发区域、限制开发区域和禁止开发区域；按开发内容，分为城市化地区、农产品主产区和重点生态功能区；按层级，分为国家和省级两个层面。</w:t>
                  </w:r>
                </w:p>
                <w:p w14:paraId="50B1527B">
                  <w:pPr>
                    <w:pStyle w:val="73"/>
                  </w:pPr>
                  <w:r>
                    <w:rPr>
                      <w:rFonts w:hint="eastAsia"/>
                    </w:rPr>
                    <w:t>本项目位于京津冀地区，属于国家层面的优化开发区域，不属于《全国主体功能区规划》中的限制开发区域和禁止开发区。</w:t>
                  </w:r>
                </w:p>
              </w:tc>
              <w:tc>
                <w:tcPr>
                  <w:tcW w:w="395" w:type="pct"/>
                  <w:tcBorders>
                    <w:top w:val="single" w:color="auto" w:sz="4" w:space="0"/>
                  </w:tcBorders>
                  <w:vAlign w:val="center"/>
                </w:tcPr>
                <w:p w14:paraId="422AB660">
                  <w:pPr>
                    <w:pStyle w:val="73"/>
                  </w:pPr>
                  <w:r>
                    <w:rPr>
                      <w:rFonts w:hint="eastAsia"/>
                    </w:rPr>
                    <w:t>符合</w:t>
                  </w:r>
                </w:p>
              </w:tc>
            </w:tr>
            <w:tr w14:paraId="38CC9C39">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PrEx>
              <w:trPr>
                <w:trHeight w:val="340" w:hRule="atLeast"/>
                <w:tblHeader/>
                <w:jc w:val="center"/>
              </w:trPr>
              <w:tc>
                <w:tcPr>
                  <w:tcW w:w="565" w:type="pct"/>
                  <w:tcBorders>
                    <w:top w:val="single" w:color="auto" w:sz="4" w:space="0"/>
                  </w:tcBorders>
                  <w:vAlign w:val="center"/>
                </w:tcPr>
                <w:p w14:paraId="7AB449C8">
                  <w:pPr>
                    <w:pStyle w:val="73"/>
                  </w:pPr>
                  <w:r>
                    <w:rPr>
                      <w:rFonts w:hint="eastAsia"/>
                    </w:rPr>
                    <w:t>《河北省主体功能区划》</w:t>
                  </w:r>
                </w:p>
              </w:tc>
              <w:tc>
                <w:tcPr>
                  <w:tcW w:w="4038" w:type="pct"/>
                  <w:tcBorders>
                    <w:top w:val="single" w:color="auto" w:sz="4" w:space="0"/>
                  </w:tcBorders>
                  <w:vAlign w:val="center"/>
                </w:tcPr>
                <w:p w14:paraId="72B7B2D0">
                  <w:pPr>
                    <w:pStyle w:val="73"/>
                  </w:pPr>
                  <w:r>
                    <w:rPr>
                      <w:rFonts w:hint="eastAsia"/>
                    </w:rPr>
                    <w:t>将河北省各区域根据资源环境承载能力、现有开发强度、发展潜力，经综合评价，省域国土空间划分为优化开发区域、重点开发区域、限制开发区域（农产品主产区、重点生态功能区）、禁止开发区域。环渤海地区新兴增长区域，京津城市功能拓展和产业转移的主要承接地，全国重要的新型工业化基地，我国开放合作的新高地，北方沿海生态良好的宜居区，国家循环经济示范区，面向东北亚、内联华北、西北地区对外开放的重要门户，国家重要的海陆综合交通物流枢纽，全省重要的产业、人口聚集区和经济隆起带。</w:t>
                  </w:r>
                </w:p>
                <w:p w14:paraId="4E3B2264">
                  <w:pPr>
                    <w:pStyle w:val="73"/>
                  </w:pPr>
                  <w:r>
                    <w:rPr>
                      <w:rFonts w:hint="eastAsia"/>
                    </w:rPr>
                    <w:t>项目所在区域属于《河北省主体功能区划》中确定的沿海地区，属于国家优化开发区域。区划中明确，充分发挥沿渤海的区位优势，以优化开发为主，打造曹妃甸区和渤海新区两大增长极，加快北戴河新区开发建设，积极培育沿海线经济隆起带。环首都地区，充分利用京津教育文化资源，以优化开发和重点开发为主，兼顾农业和生态功能，大规模推进工业化城镇进程。促进沿海地区、环首都地区、冀中南地区的互联互动，努力形成区域特色鲜明、重点突出、功能合理、协调发展的区域经济发展新格局。</w:t>
                  </w:r>
                </w:p>
              </w:tc>
              <w:tc>
                <w:tcPr>
                  <w:tcW w:w="395" w:type="pct"/>
                  <w:tcBorders>
                    <w:top w:val="single" w:color="auto" w:sz="4" w:space="0"/>
                  </w:tcBorders>
                  <w:vAlign w:val="center"/>
                </w:tcPr>
                <w:p w14:paraId="1DA8C3EA">
                  <w:pPr>
                    <w:pStyle w:val="73"/>
                  </w:pPr>
                  <w:r>
                    <w:rPr>
                      <w:rFonts w:hint="eastAsia"/>
                    </w:rPr>
                    <w:t>符合</w:t>
                  </w:r>
                </w:p>
              </w:tc>
            </w:tr>
            <w:tr w14:paraId="2BE0F56B">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jc w:val="center"/>
              </w:trPr>
              <w:tc>
                <w:tcPr>
                  <w:tcW w:w="565" w:type="pct"/>
                  <w:vAlign w:val="center"/>
                </w:tcPr>
                <w:p w14:paraId="240DC825">
                  <w:pPr>
                    <w:pStyle w:val="73"/>
                  </w:pPr>
                  <w:r>
                    <w:rPr>
                      <w:rFonts w:hint="eastAsia"/>
                    </w:rPr>
                    <w:t>《全国生态功能区划》</w:t>
                  </w:r>
                </w:p>
              </w:tc>
              <w:tc>
                <w:tcPr>
                  <w:tcW w:w="4038" w:type="pct"/>
                  <w:vAlign w:val="center"/>
                </w:tcPr>
                <w:p w14:paraId="279BCCB2">
                  <w:pPr>
                    <w:pStyle w:val="73"/>
                  </w:pPr>
                  <w:r>
                    <w:rPr>
                      <w:rFonts w:hint="eastAsia"/>
                    </w:rPr>
                    <w:t>将全国生态功能区分为3个等级，其中一级区共有3类31个区，生态功能二级区共有9类67个区以及216个生态功能三级区。</w:t>
                  </w:r>
                </w:p>
                <w:p w14:paraId="03A30B18">
                  <w:pPr>
                    <w:pStyle w:val="73"/>
                  </w:pPr>
                  <w:r>
                    <w:rPr>
                      <w:rFonts w:hint="eastAsia"/>
                    </w:rPr>
                    <w:t>项目所在区域属于《全国生态功能区划》中的“III-01-01京津冀大都市群”，其生态系统服务功能为人居保障。该类型区的主要生态问题：城市无限制扩张，生态承载力严重超载，生态功能低，污染严重，人居环境质量下降。该类型区生态保护主要方向：加强城市发展规划，控制城市规模，合理布局城市功能组团；加强生态城市建设，大力调整产业结构，提高资源利用效率，控制城市污染，推进循环经济和循环社会的建设。</w:t>
                  </w:r>
                </w:p>
              </w:tc>
              <w:tc>
                <w:tcPr>
                  <w:tcW w:w="395" w:type="pct"/>
                  <w:vAlign w:val="center"/>
                </w:tcPr>
                <w:p w14:paraId="6F041BBC">
                  <w:pPr>
                    <w:pStyle w:val="73"/>
                  </w:pPr>
                  <w:r>
                    <w:rPr>
                      <w:rFonts w:hint="eastAsia"/>
                    </w:rPr>
                    <w:t>符合</w:t>
                  </w:r>
                </w:p>
              </w:tc>
            </w:tr>
            <w:tr w14:paraId="1894F0B0">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jc w:val="center"/>
              </w:trPr>
              <w:tc>
                <w:tcPr>
                  <w:tcW w:w="565" w:type="pct"/>
                  <w:vAlign w:val="center"/>
                </w:tcPr>
                <w:p w14:paraId="217F3E7F">
                  <w:pPr>
                    <w:pStyle w:val="73"/>
                  </w:pPr>
                  <w:r>
                    <w:rPr>
                      <w:rFonts w:hint="eastAsia"/>
                    </w:rPr>
                    <w:t>《河北省生态功能区划》</w:t>
                  </w:r>
                </w:p>
              </w:tc>
              <w:tc>
                <w:tcPr>
                  <w:tcW w:w="4038" w:type="pct"/>
                  <w:vAlign w:val="center"/>
                </w:tcPr>
                <w:p w14:paraId="20B7CF0B">
                  <w:pPr>
                    <w:pStyle w:val="73"/>
                  </w:pPr>
                  <w:r>
                    <w:rPr>
                      <w:rFonts w:hint="eastAsia"/>
                    </w:rPr>
                    <w:t>区划根据河北省生态系统评价和区划结果，以生物多样性保护、水源涵养、水土保持、防风固沙和洪水调蓄5类主导生态功能为依据，初步确定了对于河北省和京津地区生态安全具有显著意义的15个生态系统服务功能重要区域，本项目位于工业园区，不涉及区划中规定的生态功能重要区域</w:t>
                  </w:r>
                </w:p>
              </w:tc>
              <w:tc>
                <w:tcPr>
                  <w:tcW w:w="395" w:type="pct"/>
                  <w:vAlign w:val="center"/>
                </w:tcPr>
                <w:p w14:paraId="1B6FFEDE">
                  <w:pPr>
                    <w:pStyle w:val="73"/>
                  </w:pPr>
                  <w:r>
                    <w:rPr>
                      <w:rFonts w:hint="eastAsia"/>
                    </w:rPr>
                    <w:t>符合</w:t>
                  </w:r>
                </w:p>
              </w:tc>
            </w:tr>
          </w:tbl>
          <w:p w14:paraId="6CCC112F">
            <w:pPr>
              <w:autoSpaceDE w:val="0"/>
              <w:autoSpaceDN w:val="0"/>
              <w:adjustRightInd w:val="0"/>
              <w:snapToGrid w:val="0"/>
              <w:spacing w:line="480" w:lineRule="exact"/>
              <w:ind w:firstLine="482" w:firstLineChars="200"/>
              <w:rPr>
                <w:rFonts w:cs="宋体"/>
                <w:b/>
                <w:bCs/>
                <w:color w:val="000000"/>
                <w:kern w:val="0"/>
                <w:szCs w:val="21"/>
              </w:rPr>
            </w:pPr>
            <w:r>
              <w:rPr>
                <w:rFonts w:hint="eastAsia" w:cs="宋体"/>
                <w:b/>
                <w:bCs/>
                <w:color w:val="000000"/>
                <w:kern w:val="0"/>
                <w:szCs w:val="21"/>
              </w:rPr>
              <w:t>5、《危险废物贮存污染控制标准》（GB18597-2023）符合性</w:t>
            </w:r>
          </w:p>
          <w:p w14:paraId="2C155CDE">
            <w:pPr>
              <w:pStyle w:val="9"/>
              <w:ind w:firstLine="480"/>
            </w:pPr>
            <w:r>
              <w:rPr>
                <w:rFonts w:hint="eastAsia"/>
              </w:rPr>
              <w:t>本项目与</w:t>
            </w:r>
            <w:r>
              <w:rPr>
                <w:rFonts w:hint="eastAsia" w:cs="宋体"/>
                <w:color w:val="000000"/>
                <w:kern w:val="0"/>
                <w:szCs w:val="21"/>
              </w:rPr>
              <w:t>《危险废物贮存污染控制标准》（GB18597-2023）符合性分析见下表。</w:t>
            </w:r>
          </w:p>
          <w:p w14:paraId="4DF0A44E">
            <w:pPr>
              <w:autoSpaceDE w:val="0"/>
              <w:autoSpaceDN w:val="0"/>
              <w:adjustRightInd w:val="0"/>
              <w:snapToGrid w:val="0"/>
              <w:spacing w:line="480" w:lineRule="exact"/>
              <w:ind w:firstLine="480"/>
              <w:jc w:val="center"/>
              <w:rPr>
                <w:rFonts w:eastAsia="黑体" w:cs="宋体"/>
                <w:color w:val="000000"/>
                <w:kern w:val="0"/>
                <w:szCs w:val="21"/>
              </w:rPr>
            </w:pPr>
            <w:r>
              <w:rPr>
                <w:rFonts w:hint="eastAsia" w:eastAsia="黑体" w:cs="宋体"/>
                <w:color w:val="000000"/>
                <w:kern w:val="0"/>
                <w:szCs w:val="21"/>
              </w:rPr>
              <w:t>表1</w:t>
            </w:r>
            <w:r>
              <w:rPr>
                <w:rFonts w:eastAsia="黑体" w:cs="宋体"/>
                <w:color w:val="000000"/>
                <w:kern w:val="0"/>
                <w:szCs w:val="21"/>
              </w:rPr>
              <w:t>.</w:t>
            </w:r>
            <w:r>
              <w:rPr>
                <w:rFonts w:hint="eastAsia" w:eastAsia="黑体" w:cs="宋体"/>
                <w:color w:val="000000"/>
                <w:kern w:val="0"/>
                <w:szCs w:val="21"/>
              </w:rPr>
              <w:t>6</w:t>
            </w:r>
            <w:r>
              <w:rPr>
                <w:rFonts w:eastAsia="黑体" w:cs="宋体"/>
                <w:color w:val="000000"/>
                <w:kern w:val="0"/>
                <w:szCs w:val="21"/>
              </w:rPr>
              <w:t xml:space="preserve"> </w:t>
            </w:r>
            <w:r>
              <w:rPr>
                <w:rFonts w:hint="eastAsia" w:eastAsia="黑体" w:cs="宋体"/>
                <w:color w:val="000000"/>
                <w:kern w:val="0"/>
                <w:szCs w:val="21"/>
              </w:rPr>
              <w:t>本项目同《危险废物贮存污染控制标准》（GB18597-2023）符合性分析一览表</w:t>
            </w:r>
          </w:p>
          <w:tbl>
            <w:tblPr>
              <w:tblStyle w:val="19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47"/>
              <w:gridCol w:w="4006"/>
              <w:gridCol w:w="2501"/>
              <w:gridCol w:w="692"/>
            </w:tblGrid>
            <w:tr w14:paraId="768E06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5" w:type="pct"/>
                  <w:gridSpan w:val="2"/>
                  <w:vAlign w:val="center"/>
                </w:tcPr>
                <w:p w14:paraId="380C33FD">
                  <w:pPr>
                    <w:pStyle w:val="73"/>
                    <w:overflowPunct w:val="0"/>
                    <w:topLinePunct/>
                    <w:autoSpaceDE w:val="0"/>
                    <w:autoSpaceDN w:val="0"/>
                  </w:pPr>
                  <w:r>
                    <w:rPr>
                      <w:rFonts w:hint="eastAsia"/>
                    </w:rPr>
                    <w:t>文件要求</w:t>
                  </w:r>
                </w:p>
              </w:tc>
              <w:tc>
                <w:tcPr>
                  <w:tcW w:w="1554" w:type="pct"/>
                  <w:vAlign w:val="center"/>
                </w:tcPr>
                <w:p w14:paraId="408C341A">
                  <w:pPr>
                    <w:pStyle w:val="73"/>
                    <w:overflowPunct w:val="0"/>
                    <w:topLinePunct/>
                    <w:autoSpaceDE w:val="0"/>
                    <w:autoSpaceDN w:val="0"/>
                  </w:pPr>
                  <w:r>
                    <w:rPr>
                      <w:rFonts w:hint="eastAsia"/>
                    </w:rPr>
                    <w:t>项目情况</w:t>
                  </w:r>
                </w:p>
              </w:tc>
              <w:tc>
                <w:tcPr>
                  <w:tcW w:w="430" w:type="pct"/>
                  <w:vAlign w:val="center"/>
                </w:tcPr>
                <w:p w14:paraId="29C351EC">
                  <w:pPr>
                    <w:pStyle w:val="73"/>
                    <w:overflowPunct w:val="0"/>
                    <w:topLinePunct/>
                    <w:autoSpaceDE w:val="0"/>
                    <w:autoSpaceDN w:val="0"/>
                  </w:pPr>
                  <w:r>
                    <w:rPr>
                      <w:rFonts w:hint="eastAsia"/>
                    </w:rPr>
                    <w:t>符合性</w:t>
                  </w:r>
                </w:p>
              </w:tc>
            </w:tr>
            <w:tr w14:paraId="7B8B69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vMerge w:val="restart"/>
                  <w:vAlign w:val="center"/>
                </w:tcPr>
                <w:p w14:paraId="51273E55">
                  <w:pPr>
                    <w:pStyle w:val="73"/>
                    <w:overflowPunct w:val="0"/>
                    <w:topLinePunct/>
                    <w:autoSpaceDE w:val="0"/>
                    <w:autoSpaceDN w:val="0"/>
                  </w:pPr>
                  <w:r>
                    <w:rPr>
                      <w:rFonts w:hint="eastAsia"/>
                    </w:rPr>
                    <w:t>贮存设施选址要求</w:t>
                  </w:r>
                </w:p>
              </w:tc>
              <w:tc>
                <w:tcPr>
                  <w:tcW w:w="2489" w:type="pct"/>
                  <w:vAlign w:val="center"/>
                </w:tcPr>
                <w:p w14:paraId="0601FEE8">
                  <w:pPr>
                    <w:pStyle w:val="73"/>
                    <w:overflowPunct w:val="0"/>
                    <w:topLinePunct/>
                    <w:autoSpaceDE w:val="0"/>
                    <w:autoSpaceDN w:val="0"/>
                  </w:pPr>
                  <w:r>
                    <w:rPr>
                      <w:rFonts w:hint="eastAsia"/>
                    </w:rPr>
                    <w:t>贮存设施选址应满足生态环境保护法律法规、规划和“三线一单”生态环境分区管控的要求，建设项目应依法进行环境影响评价。</w:t>
                  </w:r>
                </w:p>
              </w:tc>
              <w:tc>
                <w:tcPr>
                  <w:tcW w:w="1554" w:type="pct"/>
                  <w:vAlign w:val="center"/>
                </w:tcPr>
                <w:p w14:paraId="431384EE">
                  <w:pPr>
                    <w:pStyle w:val="73"/>
                    <w:overflowPunct w:val="0"/>
                    <w:topLinePunct/>
                    <w:autoSpaceDE w:val="0"/>
                    <w:autoSpaceDN w:val="0"/>
                  </w:pPr>
                  <w:r>
                    <w:rPr>
                      <w:rFonts w:hint="eastAsia"/>
                    </w:rPr>
                    <w:t>项目位于曹妃甸中小企业园区文丰新材料现有厂区内，符合生态环境保护法律法规，符合园区规划和“三线一单，本次进行环境影响评价</w:t>
                  </w:r>
                </w:p>
              </w:tc>
              <w:tc>
                <w:tcPr>
                  <w:tcW w:w="430" w:type="pct"/>
                  <w:vAlign w:val="center"/>
                </w:tcPr>
                <w:p w14:paraId="3F2AFAAD">
                  <w:pPr>
                    <w:pStyle w:val="73"/>
                    <w:overflowPunct w:val="0"/>
                    <w:topLinePunct/>
                    <w:autoSpaceDE w:val="0"/>
                    <w:autoSpaceDN w:val="0"/>
                  </w:pPr>
                  <w:r>
                    <w:rPr>
                      <w:rFonts w:hint="eastAsia"/>
                    </w:rPr>
                    <w:t>符合</w:t>
                  </w:r>
                </w:p>
              </w:tc>
            </w:tr>
            <w:tr w14:paraId="70A80F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vMerge w:val="continue"/>
                  <w:vAlign w:val="center"/>
                </w:tcPr>
                <w:p w14:paraId="2071E25F">
                  <w:pPr>
                    <w:pStyle w:val="73"/>
                    <w:overflowPunct w:val="0"/>
                    <w:topLinePunct/>
                    <w:autoSpaceDE w:val="0"/>
                    <w:autoSpaceDN w:val="0"/>
                  </w:pPr>
                </w:p>
              </w:tc>
              <w:tc>
                <w:tcPr>
                  <w:tcW w:w="2489" w:type="pct"/>
                  <w:vAlign w:val="center"/>
                </w:tcPr>
                <w:p w14:paraId="14E3FED9">
                  <w:pPr>
                    <w:pStyle w:val="73"/>
                    <w:overflowPunct w:val="0"/>
                    <w:topLinePunct/>
                    <w:autoSpaceDE w:val="0"/>
                    <w:autoSpaceDN w:val="0"/>
                  </w:pPr>
                  <w:r>
                    <w:rPr>
                      <w:rFonts w:hint="eastAsia"/>
                    </w:rPr>
                    <w:t>集中贮存设施不应选在生态保护红线区域、永久基本农田和其他需要特别保护的区域内，不应建在溶洞区或易遭受洪水、滑坡、泥石流、潮汐等严重自然灾害影响的地区。</w:t>
                  </w:r>
                </w:p>
              </w:tc>
              <w:tc>
                <w:tcPr>
                  <w:tcW w:w="1554" w:type="pct"/>
                  <w:vMerge w:val="restart"/>
                  <w:vAlign w:val="center"/>
                </w:tcPr>
                <w:p w14:paraId="63D6A525">
                  <w:pPr>
                    <w:pStyle w:val="73"/>
                    <w:overflowPunct w:val="0"/>
                    <w:topLinePunct/>
                    <w:autoSpaceDE w:val="0"/>
                    <w:autoSpaceDN w:val="0"/>
                  </w:pPr>
                  <w:r>
                    <w:rPr>
                      <w:rFonts w:hint="eastAsia"/>
                    </w:rPr>
                    <w:t>项目位于曹妃甸中小企业园区文丰新材料现有厂区内，不新增占地，不在限制区域内</w:t>
                  </w:r>
                </w:p>
              </w:tc>
              <w:tc>
                <w:tcPr>
                  <w:tcW w:w="430" w:type="pct"/>
                  <w:vMerge w:val="restart"/>
                  <w:vAlign w:val="center"/>
                </w:tcPr>
                <w:p w14:paraId="7D98BF74">
                  <w:pPr>
                    <w:pStyle w:val="73"/>
                    <w:overflowPunct w:val="0"/>
                    <w:topLinePunct/>
                    <w:autoSpaceDE w:val="0"/>
                    <w:autoSpaceDN w:val="0"/>
                  </w:pPr>
                  <w:r>
                    <w:rPr>
                      <w:rFonts w:hint="eastAsia"/>
                    </w:rPr>
                    <w:t>符合</w:t>
                  </w:r>
                </w:p>
              </w:tc>
            </w:tr>
            <w:tr w14:paraId="106B84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vMerge w:val="continue"/>
                  <w:vAlign w:val="center"/>
                </w:tcPr>
                <w:p w14:paraId="0244A8D4">
                  <w:pPr>
                    <w:pStyle w:val="73"/>
                    <w:overflowPunct w:val="0"/>
                    <w:topLinePunct/>
                    <w:autoSpaceDE w:val="0"/>
                    <w:autoSpaceDN w:val="0"/>
                  </w:pPr>
                </w:p>
              </w:tc>
              <w:tc>
                <w:tcPr>
                  <w:tcW w:w="2489" w:type="pct"/>
                  <w:vAlign w:val="center"/>
                </w:tcPr>
                <w:p w14:paraId="2D9D4D02">
                  <w:pPr>
                    <w:pStyle w:val="73"/>
                    <w:overflowPunct w:val="0"/>
                    <w:topLinePunct/>
                    <w:autoSpaceDE w:val="0"/>
                    <w:autoSpaceDN w:val="0"/>
                  </w:pPr>
                  <w:r>
                    <w:rPr>
                      <w:rFonts w:hint="eastAsia"/>
                    </w:rPr>
                    <w:t>贮存设施不应选在江河、湖泊、运河、渠道、水库及其最高水位线以下的滩地和岸坡，以及法律法规规定禁止贮存危险废物的其他地点。</w:t>
                  </w:r>
                </w:p>
              </w:tc>
              <w:tc>
                <w:tcPr>
                  <w:tcW w:w="1554" w:type="pct"/>
                  <w:vMerge w:val="continue"/>
                  <w:vAlign w:val="center"/>
                </w:tcPr>
                <w:p w14:paraId="09E58154">
                  <w:pPr>
                    <w:pStyle w:val="73"/>
                    <w:overflowPunct w:val="0"/>
                    <w:topLinePunct/>
                    <w:autoSpaceDE w:val="0"/>
                    <w:autoSpaceDN w:val="0"/>
                  </w:pPr>
                </w:p>
              </w:tc>
              <w:tc>
                <w:tcPr>
                  <w:tcW w:w="430" w:type="pct"/>
                  <w:vMerge w:val="continue"/>
                  <w:vAlign w:val="center"/>
                </w:tcPr>
                <w:p w14:paraId="48C5D5D5">
                  <w:pPr>
                    <w:pStyle w:val="73"/>
                    <w:overflowPunct w:val="0"/>
                    <w:topLinePunct/>
                    <w:autoSpaceDE w:val="0"/>
                    <w:autoSpaceDN w:val="0"/>
                  </w:pPr>
                </w:p>
              </w:tc>
            </w:tr>
            <w:tr w14:paraId="792948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vMerge w:val="continue"/>
                  <w:vAlign w:val="center"/>
                </w:tcPr>
                <w:p w14:paraId="0061797C">
                  <w:pPr>
                    <w:pStyle w:val="73"/>
                    <w:overflowPunct w:val="0"/>
                    <w:topLinePunct/>
                    <w:autoSpaceDE w:val="0"/>
                    <w:autoSpaceDN w:val="0"/>
                  </w:pPr>
                </w:p>
              </w:tc>
              <w:tc>
                <w:tcPr>
                  <w:tcW w:w="2489" w:type="pct"/>
                  <w:vAlign w:val="center"/>
                </w:tcPr>
                <w:p w14:paraId="720EA27B">
                  <w:pPr>
                    <w:pStyle w:val="73"/>
                    <w:overflowPunct w:val="0"/>
                    <w:topLinePunct/>
                    <w:autoSpaceDE w:val="0"/>
                    <w:autoSpaceDN w:val="0"/>
                  </w:pPr>
                  <w:r>
                    <w:rPr>
                      <w:rFonts w:hint="eastAsia"/>
                    </w:rPr>
                    <w:t>贮存设施应采取技术和管理措施防止无关人员进入。</w:t>
                  </w:r>
                </w:p>
              </w:tc>
              <w:tc>
                <w:tcPr>
                  <w:tcW w:w="1554" w:type="pct"/>
                  <w:vAlign w:val="center"/>
                </w:tcPr>
                <w:p w14:paraId="6F2121C7">
                  <w:pPr>
                    <w:pStyle w:val="73"/>
                    <w:overflowPunct w:val="0"/>
                    <w:topLinePunct/>
                    <w:autoSpaceDE w:val="0"/>
                    <w:autoSpaceDN w:val="0"/>
                  </w:pPr>
                  <w:r>
                    <w:rPr>
                      <w:rFonts w:hint="eastAsia"/>
                    </w:rPr>
                    <w:t>本项目制定管理制度，防止无关人员进入</w:t>
                  </w:r>
                </w:p>
              </w:tc>
              <w:tc>
                <w:tcPr>
                  <w:tcW w:w="430" w:type="pct"/>
                  <w:vAlign w:val="center"/>
                </w:tcPr>
                <w:p w14:paraId="4BA2E10E">
                  <w:pPr>
                    <w:pStyle w:val="73"/>
                    <w:overflowPunct w:val="0"/>
                    <w:topLinePunct/>
                    <w:autoSpaceDE w:val="0"/>
                    <w:autoSpaceDN w:val="0"/>
                  </w:pPr>
                  <w:r>
                    <w:rPr>
                      <w:rFonts w:hint="eastAsia"/>
                    </w:rPr>
                    <w:t>符合</w:t>
                  </w:r>
                </w:p>
              </w:tc>
            </w:tr>
            <w:tr w14:paraId="619C2A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vMerge w:val="restart"/>
                  <w:vAlign w:val="center"/>
                </w:tcPr>
                <w:p w14:paraId="68261F9A">
                  <w:pPr>
                    <w:pStyle w:val="73"/>
                    <w:overflowPunct w:val="0"/>
                    <w:topLinePunct/>
                    <w:autoSpaceDE w:val="0"/>
                    <w:autoSpaceDN w:val="0"/>
                  </w:pPr>
                  <w:r>
                    <w:rPr>
                      <w:rFonts w:hint="eastAsia"/>
                    </w:rPr>
                    <w:t>贮存库</w:t>
                  </w:r>
                </w:p>
              </w:tc>
              <w:tc>
                <w:tcPr>
                  <w:tcW w:w="2489" w:type="pct"/>
                  <w:vAlign w:val="center"/>
                </w:tcPr>
                <w:p w14:paraId="0417D0E7">
                  <w:pPr>
                    <w:pStyle w:val="73"/>
                    <w:overflowPunct w:val="0"/>
                    <w:topLinePunct/>
                    <w:autoSpaceDE w:val="0"/>
                    <w:autoSpaceDN w:val="0"/>
                  </w:pPr>
                  <w:r>
                    <w:rPr>
                      <w:rFonts w:hint="eastAsia"/>
                    </w:rPr>
                    <w:t>贮存库内不同贮存分区之间应采取隔离措施。隔离措施可根据危险废物特性采用过道隔板或隔墙等方式。</w:t>
                  </w:r>
                </w:p>
              </w:tc>
              <w:tc>
                <w:tcPr>
                  <w:tcW w:w="1554" w:type="pct"/>
                  <w:vAlign w:val="center"/>
                </w:tcPr>
                <w:p w14:paraId="359288AC">
                  <w:pPr>
                    <w:pStyle w:val="73"/>
                    <w:overflowPunct w:val="0"/>
                    <w:topLinePunct/>
                    <w:autoSpaceDE w:val="0"/>
                    <w:autoSpaceDN w:val="0"/>
                  </w:pPr>
                  <w:r>
                    <w:rPr>
                      <w:rFonts w:hint="eastAsia"/>
                    </w:rPr>
                    <w:t>项目建设的危废库只暂存草酸盐，不分区。</w:t>
                  </w:r>
                </w:p>
              </w:tc>
              <w:tc>
                <w:tcPr>
                  <w:tcW w:w="430" w:type="pct"/>
                  <w:vAlign w:val="center"/>
                </w:tcPr>
                <w:p w14:paraId="245F5353">
                  <w:pPr>
                    <w:pStyle w:val="73"/>
                    <w:overflowPunct w:val="0"/>
                    <w:topLinePunct/>
                    <w:autoSpaceDE w:val="0"/>
                    <w:autoSpaceDN w:val="0"/>
                  </w:pPr>
                  <w:r>
                    <w:rPr>
                      <w:rFonts w:hint="eastAsia"/>
                    </w:rPr>
                    <w:t>符合</w:t>
                  </w:r>
                </w:p>
              </w:tc>
            </w:tr>
            <w:tr w14:paraId="42F5DA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vMerge w:val="continue"/>
                  <w:vAlign w:val="center"/>
                </w:tcPr>
                <w:p w14:paraId="65B4FFF8">
                  <w:pPr>
                    <w:pStyle w:val="73"/>
                    <w:overflowPunct w:val="0"/>
                    <w:topLinePunct/>
                    <w:autoSpaceDE w:val="0"/>
                    <w:autoSpaceDN w:val="0"/>
                  </w:pPr>
                </w:p>
              </w:tc>
              <w:tc>
                <w:tcPr>
                  <w:tcW w:w="2489" w:type="pct"/>
                  <w:vAlign w:val="center"/>
                </w:tcPr>
                <w:p w14:paraId="106D8673">
                  <w:pPr>
                    <w:pStyle w:val="73"/>
                    <w:overflowPunct w:val="0"/>
                    <w:topLinePunct/>
                    <w:autoSpaceDE w:val="0"/>
                    <w:autoSpaceDN w:val="0"/>
                  </w:pPr>
                  <w:r>
                    <w:rPr>
                      <w:rFonts w:hint="eastAsia"/>
                    </w:rPr>
                    <w:t>在贮存库内或通过贮存分区方式贮存液态危险废物的，应具有液体泄堵截设施，堵截设施最小容积不应低于对应贮存区域最大液态废物容器容积或液态废物总储量1/10(二者取较大者)；用于贮存可能产生渗滤液的危险废物的贮存库或贮存分区应设计渗滤液收集设施，收集设施容积应满足渗滤液的收集要求。</w:t>
                  </w:r>
                </w:p>
              </w:tc>
              <w:tc>
                <w:tcPr>
                  <w:tcW w:w="1554" w:type="pct"/>
                  <w:vAlign w:val="center"/>
                </w:tcPr>
                <w:p w14:paraId="1BE49126">
                  <w:pPr>
                    <w:pStyle w:val="73"/>
                    <w:overflowPunct w:val="0"/>
                    <w:topLinePunct/>
                    <w:autoSpaceDE w:val="0"/>
                    <w:autoSpaceDN w:val="0"/>
                  </w:pPr>
                  <w:r>
                    <w:rPr>
                      <w:rFonts w:hint="eastAsia"/>
                    </w:rPr>
                    <w:t>本项目配套设置导流沟及收集池，可有效收集泄漏危险废物</w:t>
                  </w:r>
                </w:p>
              </w:tc>
              <w:tc>
                <w:tcPr>
                  <w:tcW w:w="430" w:type="pct"/>
                  <w:vAlign w:val="center"/>
                </w:tcPr>
                <w:p w14:paraId="2B716D12">
                  <w:pPr>
                    <w:pStyle w:val="73"/>
                    <w:overflowPunct w:val="0"/>
                    <w:topLinePunct/>
                    <w:autoSpaceDE w:val="0"/>
                    <w:autoSpaceDN w:val="0"/>
                  </w:pPr>
                  <w:r>
                    <w:rPr>
                      <w:rFonts w:hint="eastAsia"/>
                    </w:rPr>
                    <w:t>符合</w:t>
                  </w:r>
                </w:p>
              </w:tc>
            </w:tr>
            <w:tr w14:paraId="5292E0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vMerge w:val="continue"/>
                  <w:vAlign w:val="center"/>
                </w:tcPr>
                <w:p w14:paraId="73E9069B">
                  <w:pPr>
                    <w:pStyle w:val="73"/>
                    <w:overflowPunct w:val="0"/>
                    <w:topLinePunct/>
                    <w:autoSpaceDE w:val="0"/>
                    <w:autoSpaceDN w:val="0"/>
                  </w:pPr>
                </w:p>
              </w:tc>
              <w:tc>
                <w:tcPr>
                  <w:tcW w:w="2489" w:type="pct"/>
                  <w:vAlign w:val="center"/>
                </w:tcPr>
                <w:p w14:paraId="34C5972D">
                  <w:pPr>
                    <w:pStyle w:val="73"/>
                    <w:overflowPunct w:val="0"/>
                    <w:topLinePunct/>
                    <w:autoSpaceDE w:val="0"/>
                    <w:autoSpaceDN w:val="0"/>
                  </w:pPr>
                  <w:r>
                    <w:rPr>
                      <w:rFonts w:hint="eastAsia"/>
                    </w:rPr>
                    <w:t>贮存易产生粉尘、V0Cs、酸雾、有毒有害大气污染物和刺激性气味气体的危险废物贮存库，应设置气体收集装置和气体净化设施；气体净化设施的排气简高度应符合GB16297要求。</w:t>
                  </w:r>
                </w:p>
              </w:tc>
              <w:tc>
                <w:tcPr>
                  <w:tcW w:w="1554" w:type="pct"/>
                  <w:vAlign w:val="center"/>
                </w:tcPr>
                <w:p w14:paraId="3D6A2DD0">
                  <w:pPr>
                    <w:pStyle w:val="73"/>
                    <w:overflowPunct w:val="0"/>
                    <w:topLinePunct/>
                    <w:autoSpaceDE w:val="0"/>
                    <w:autoSpaceDN w:val="0"/>
                  </w:pPr>
                  <w:r>
                    <w:rPr>
                      <w:rFonts w:hint="eastAsia"/>
                    </w:rPr>
                    <w:t>项目草酸盐采用专用封闭包装袋，不涉及废气排放</w:t>
                  </w:r>
                </w:p>
              </w:tc>
              <w:tc>
                <w:tcPr>
                  <w:tcW w:w="430" w:type="pct"/>
                  <w:vAlign w:val="center"/>
                </w:tcPr>
                <w:p w14:paraId="0B2C8C19">
                  <w:pPr>
                    <w:pStyle w:val="73"/>
                    <w:overflowPunct w:val="0"/>
                    <w:topLinePunct/>
                    <w:autoSpaceDE w:val="0"/>
                    <w:autoSpaceDN w:val="0"/>
                  </w:pPr>
                  <w:r>
                    <w:rPr>
                      <w:rFonts w:hint="eastAsia"/>
                    </w:rPr>
                    <w:t>符合</w:t>
                  </w:r>
                </w:p>
              </w:tc>
            </w:tr>
            <w:tr w14:paraId="556D52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vMerge w:val="restart"/>
                  <w:vAlign w:val="center"/>
                </w:tcPr>
                <w:p w14:paraId="777B08F5">
                  <w:pPr>
                    <w:pStyle w:val="73"/>
                    <w:overflowPunct w:val="0"/>
                    <w:topLinePunct/>
                    <w:autoSpaceDE w:val="0"/>
                    <w:autoSpaceDN w:val="0"/>
                  </w:pPr>
                  <w:r>
                    <w:rPr>
                      <w:rFonts w:hint="eastAsia"/>
                    </w:rPr>
                    <w:t>容器和包装物污染控制要求</w:t>
                  </w:r>
                </w:p>
              </w:tc>
              <w:tc>
                <w:tcPr>
                  <w:tcW w:w="2489" w:type="pct"/>
                  <w:vAlign w:val="center"/>
                </w:tcPr>
                <w:p w14:paraId="53A3029E">
                  <w:pPr>
                    <w:pStyle w:val="73"/>
                    <w:overflowPunct w:val="0"/>
                    <w:topLinePunct/>
                    <w:autoSpaceDE w:val="0"/>
                    <w:autoSpaceDN w:val="0"/>
                  </w:pPr>
                  <w:r>
                    <w:rPr>
                      <w:rFonts w:hint="eastAsia"/>
                    </w:rPr>
                    <w:t>容器和包装物材质、内衬应与盛装的危险废物相容。</w:t>
                  </w:r>
                </w:p>
              </w:tc>
              <w:tc>
                <w:tcPr>
                  <w:tcW w:w="1554" w:type="pct"/>
                  <w:vAlign w:val="center"/>
                </w:tcPr>
                <w:p w14:paraId="3B567315">
                  <w:pPr>
                    <w:pStyle w:val="73"/>
                    <w:overflowPunct w:val="0"/>
                    <w:topLinePunct/>
                    <w:autoSpaceDE w:val="0"/>
                    <w:autoSpaceDN w:val="0"/>
                  </w:pPr>
                  <w:r>
                    <w:rPr>
                      <w:rFonts w:hint="eastAsia"/>
                    </w:rPr>
                    <w:t>项目采用专用封闭包装袋。</w:t>
                  </w:r>
                </w:p>
              </w:tc>
              <w:tc>
                <w:tcPr>
                  <w:tcW w:w="430" w:type="pct"/>
                  <w:vAlign w:val="center"/>
                </w:tcPr>
                <w:p w14:paraId="77A909EF">
                  <w:pPr>
                    <w:pStyle w:val="73"/>
                    <w:overflowPunct w:val="0"/>
                    <w:topLinePunct/>
                    <w:autoSpaceDE w:val="0"/>
                    <w:autoSpaceDN w:val="0"/>
                  </w:pPr>
                  <w:r>
                    <w:rPr>
                      <w:rFonts w:hint="eastAsia"/>
                    </w:rPr>
                    <w:t>符合</w:t>
                  </w:r>
                </w:p>
              </w:tc>
            </w:tr>
            <w:tr w14:paraId="734240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vMerge w:val="continue"/>
                  <w:vAlign w:val="center"/>
                </w:tcPr>
                <w:p w14:paraId="13F1FB48">
                  <w:pPr>
                    <w:pStyle w:val="73"/>
                    <w:overflowPunct w:val="0"/>
                    <w:topLinePunct/>
                    <w:autoSpaceDE w:val="0"/>
                    <w:autoSpaceDN w:val="0"/>
                  </w:pPr>
                </w:p>
              </w:tc>
              <w:tc>
                <w:tcPr>
                  <w:tcW w:w="2489" w:type="pct"/>
                  <w:vAlign w:val="center"/>
                </w:tcPr>
                <w:p w14:paraId="195323F4">
                  <w:pPr>
                    <w:pStyle w:val="73"/>
                    <w:overflowPunct w:val="0"/>
                    <w:topLinePunct/>
                    <w:autoSpaceDE w:val="0"/>
                    <w:autoSpaceDN w:val="0"/>
                  </w:pPr>
                  <w:r>
                    <w:rPr>
                      <w:rFonts w:hint="eastAsia"/>
                    </w:rPr>
                    <w:t>针对不同类别、形态、物理化学性质的危险废物，其容器和包装物应满足相应的防渗防漏、防腐和强度等要求。</w:t>
                  </w:r>
                </w:p>
              </w:tc>
              <w:tc>
                <w:tcPr>
                  <w:tcW w:w="1554" w:type="pct"/>
                  <w:vAlign w:val="center"/>
                </w:tcPr>
                <w:p w14:paraId="08EADB5C">
                  <w:pPr>
                    <w:pStyle w:val="73"/>
                    <w:overflowPunct w:val="0"/>
                    <w:topLinePunct/>
                    <w:autoSpaceDE w:val="0"/>
                    <w:autoSpaceDN w:val="0"/>
                  </w:pPr>
                  <w:r>
                    <w:rPr>
                      <w:rFonts w:hint="eastAsia"/>
                    </w:rPr>
                    <w:t>草酸盐采用专用封闭包装袋储存，满足相应的防渗防漏、防腐和强度等要求。</w:t>
                  </w:r>
                </w:p>
              </w:tc>
              <w:tc>
                <w:tcPr>
                  <w:tcW w:w="430" w:type="pct"/>
                  <w:vAlign w:val="center"/>
                </w:tcPr>
                <w:p w14:paraId="11832B43">
                  <w:pPr>
                    <w:pStyle w:val="73"/>
                    <w:overflowPunct w:val="0"/>
                    <w:topLinePunct/>
                    <w:autoSpaceDE w:val="0"/>
                    <w:autoSpaceDN w:val="0"/>
                  </w:pPr>
                  <w:r>
                    <w:rPr>
                      <w:rFonts w:hint="eastAsia"/>
                    </w:rPr>
                    <w:t>符合</w:t>
                  </w:r>
                </w:p>
              </w:tc>
            </w:tr>
            <w:tr w14:paraId="6E56BF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vMerge w:val="continue"/>
                  <w:vAlign w:val="center"/>
                </w:tcPr>
                <w:p w14:paraId="47A4716D">
                  <w:pPr>
                    <w:pStyle w:val="73"/>
                    <w:overflowPunct w:val="0"/>
                    <w:topLinePunct/>
                    <w:autoSpaceDE w:val="0"/>
                    <w:autoSpaceDN w:val="0"/>
                  </w:pPr>
                </w:p>
              </w:tc>
              <w:tc>
                <w:tcPr>
                  <w:tcW w:w="2489" w:type="pct"/>
                  <w:vAlign w:val="center"/>
                </w:tcPr>
                <w:p w14:paraId="0217E085">
                  <w:pPr>
                    <w:pStyle w:val="73"/>
                    <w:overflowPunct w:val="0"/>
                    <w:topLinePunct/>
                    <w:autoSpaceDE w:val="0"/>
                    <w:autoSpaceDN w:val="0"/>
                  </w:pPr>
                  <w:r>
                    <w:rPr>
                      <w:rFonts w:hint="eastAsia"/>
                    </w:rPr>
                    <w:t>硬质容器和包装物及其支护结构堆叠码放时不应有明显变形，无破损泄漏。</w:t>
                  </w:r>
                </w:p>
              </w:tc>
              <w:tc>
                <w:tcPr>
                  <w:tcW w:w="1554" w:type="pct"/>
                  <w:vAlign w:val="center"/>
                </w:tcPr>
                <w:p w14:paraId="20D3629D">
                  <w:pPr>
                    <w:pStyle w:val="73"/>
                    <w:overflowPunct w:val="0"/>
                    <w:topLinePunct/>
                    <w:autoSpaceDE w:val="0"/>
                    <w:autoSpaceDN w:val="0"/>
                  </w:pPr>
                  <w:r>
                    <w:rPr>
                      <w:rFonts w:hint="eastAsia"/>
                    </w:rPr>
                    <w:t>不涉及</w:t>
                  </w:r>
                </w:p>
              </w:tc>
              <w:tc>
                <w:tcPr>
                  <w:tcW w:w="430" w:type="pct"/>
                  <w:vAlign w:val="center"/>
                </w:tcPr>
                <w:p w14:paraId="49F1CFF9">
                  <w:pPr>
                    <w:pStyle w:val="73"/>
                    <w:overflowPunct w:val="0"/>
                    <w:topLinePunct/>
                    <w:autoSpaceDE w:val="0"/>
                    <w:autoSpaceDN w:val="0"/>
                  </w:pPr>
                  <w:r>
                    <w:rPr>
                      <w:rFonts w:hint="eastAsia"/>
                    </w:rPr>
                    <w:t>符合</w:t>
                  </w:r>
                </w:p>
              </w:tc>
            </w:tr>
            <w:tr w14:paraId="401598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vMerge w:val="continue"/>
                  <w:vAlign w:val="center"/>
                </w:tcPr>
                <w:p w14:paraId="7A2D954E">
                  <w:pPr>
                    <w:pStyle w:val="73"/>
                    <w:overflowPunct w:val="0"/>
                    <w:topLinePunct/>
                    <w:autoSpaceDE w:val="0"/>
                    <w:autoSpaceDN w:val="0"/>
                  </w:pPr>
                </w:p>
              </w:tc>
              <w:tc>
                <w:tcPr>
                  <w:tcW w:w="2489" w:type="pct"/>
                  <w:vAlign w:val="center"/>
                </w:tcPr>
                <w:p w14:paraId="6A3E0533">
                  <w:pPr>
                    <w:pStyle w:val="73"/>
                    <w:overflowPunct w:val="0"/>
                    <w:topLinePunct/>
                    <w:autoSpaceDE w:val="0"/>
                    <w:autoSpaceDN w:val="0"/>
                  </w:pPr>
                  <w:r>
                    <w:rPr>
                      <w:rFonts w:hint="eastAsia"/>
                    </w:rPr>
                    <w:t>柔性容器和包装物堆叠码放时应封口严密，无破损泄漏。</w:t>
                  </w:r>
                </w:p>
              </w:tc>
              <w:tc>
                <w:tcPr>
                  <w:tcW w:w="1554" w:type="pct"/>
                  <w:vMerge w:val="restart"/>
                  <w:vAlign w:val="center"/>
                </w:tcPr>
                <w:p w14:paraId="3146B6F3">
                  <w:pPr>
                    <w:pStyle w:val="73"/>
                    <w:overflowPunct w:val="0"/>
                    <w:topLinePunct/>
                    <w:autoSpaceDE w:val="0"/>
                    <w:autoSpaceDN w:val="0"/>
                  </w:pPr>
                  <w:r>
                    <w:rPr>
                      <w:rFonts w:hint="eastAsia"/>
                    </w:rPr>
                    <w:t>草酸盐为半固态，包装袋填充量高于85%，堆叠码放时封口严密且无破损泄漏。</w:t>
                  </w:r>
                </w:p>
              </w:tc>
              <w:tc>
                <w:tcPr>
                  <w:tcW w:w="430" w:type="pct"/>
                  <w:vMerge w:val="restart"/>
                  <w:vAlign w:val="center"/>
                </w:tcPr>
                <w:p w14:paraId="5B56181B">
                  <w:pPr>
                    <w:pStyle w:val="73"/>
                    <w:overflowPunct w:val="0"/>
                    <w:topLinePunct/>
                    <w:autoSpaceDE w:val="0"/>
                    <w:autoSpaceDN w:val="0"/>
                  </w:pPr>
                  <w:r>
                    <w:rPr>
                      <w:rFonts w:hint="eastAsia"/>
                    </w:rPr>
                    <w:t>符合</w:t>
                  </w:r>
                </w:p>
              </w:tc>
            </w:tr>
            <w:tr w14:paraId="2243D5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vMerge w:val="continue"/>
                  <w:vAlign w:val="center"/>
                </w:tcPr>
                <w:p w14:paraId="7BF89317">
                  <w:pPr>
                    <w:pStyle w:val="73"/>
                    <w:overflowPunct w:val="0"/>
                    <w:topLinePunct/>
                    <w:autoSpaceDE w:val="0"/>
                    <w:autoSpaceDN w:val="0"/>
                  </w:pPr>
                </w:p>
              </w:tc>
              <w:tc>
                <w:tcPr>
                  <w:tcW w:w="2489" w:type="pct"/>
                  <w:vAlign w:val="center"/>
                </w:tcPr>
                <w:p w14:paraId="623A6467">
                  <w:pPr>
                    <w:pStyle w:val="73"/>
                    <w:overflowPunct w:val="0"/>
                    <w:topLinePunct/>
                    <w:autoSpaceDE w:val="0"/>
                    <w:autoSpaceDN w:val="0"/>
                  </w:pPr>
                  <w:r>
                    <w:rPr>
                      <w:rFonts w:hint="eastAsia"/>
                    </w:rPr>
                    <w:t>使用容器盛装液态、半固态危险废物时，容器内部应留有适当的空间，以适应因温度变化等可能引发的收缩和膨胀，防止其导致容器渗漏或永久变形。</w:t>
                  </w:r>
                </w:p>
              </w:tc>
              <w:tc>
                <w:tcPr>
                  <w:tcW w:w="1554" w:type="pct"/>
                  <w:vMerge w:val="continue"/>
                  <w:vAlign w:val="center"/>
                </w:tcPr>
                <w:p w14:paraId="39AC431B">
                  <w:pPr>
                    <w:pStyle w:val="73"/>
                    <w:overflowPunct w:val="0"/>
                    <w:topLinePunct/>
                    <w:autoSpaceDE w:val="0"/>
                    <w:autoSpaceDN w:val="0"/>
                  </w:pPr>
                </w:p>
              </w:tc>
              <w:tc>
                <w:tcPr>
                  <w:tcW w:w="430" w:type="pct"/>
                  <w:vMerge w:val="continue"/>
                  <w:vAlign w:val="center"/>
                </w:tcPr>
                <w:p w14:paraId="51A0B050">
                  <w:pPr>
                    <w:pStyle w:val="73"/>
                    <w:overflowPunct w:val="0"/>
                    <w:topLinePunct/>
                    <w:autoSpaceDE w:val="0"/>
                    <w:autoSpaceDN w:val="0"/>
                  </w:pPr>
                </w:p>
              </w:tc>
            </w:tr>
            <w:tr w14:paraId="2B022F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526" w:type="pct"/>
                  <w:vMerge w:val="continue"/>
                  <w:vAlign w:val="center"/>
                </w:tcPr>
                <w:p w14:paraId="6AA7F791">
                  <w:pPr>
                    <w:pStyle w:val="73"/>
                    <w:overflowPunct w:val="0"/>
                    <w:topLinePunct/>
                    <w:autoSpaceDE w:val="0"/>
                    <w:autoSpaceDN w:val="0"/>
                  </w:pPr>
                </w:p>
              </w:tc>
              <w:tc>
                <w:tcPr>
                  <w:tcW w:w="2489" w:type="pct"/>
                  <w:vAlign w:val="center"/>
                </w:tcPr>
                <w:p w14:paraId="3FE991C6">
                  <w:pPr>
                    <w:pStyle w:val="73"/>
                    <w:overflowPunct w:val="0"/>
                    <w:topLinePunct/>
                    <w:autoSpaceDE w:val="0"/>
                    <w:autoSpaceDN w:val="0"/>
                  </w:pPr>
                  <w:r>
                    <w:rPr>
                      <w:rFonts w:hint="eastAsia"/>
                    </w:rPr>
                    <w:t>容器和包装物外表面应保持清洁。</w:t>
                  </w:r>
                </w:p>
              </w:tc>
              <w:tc>
                <w:tcPr>
                  <w:tcW w:w="1554" w:type="pct"/>
                  <w:vAlign w:val="center"/>
                </w:tcPr>
                <w:p w14:paraId="361551A7">
                  <w:pPr>
                    <w:pStyle w:val="73"/>
                    <w:overflowPunct w:val="0"/>
                    <w:topLinePunct/>
                    <w:autoSpaceDE w:val="0"/>
                    <w:autoSpaceDN w:val="0"/>
                  </w:pPr>
                  <w:r>
                    <w:rPr>
                      <w:rFonts w:hint="eastAsia"/>
                    </w:rPr>
                    <w:t>包装袋外表面保持清洁</w:t>
                  </w:r>
                </w:p>
              </w:tc>
              <w:tc>
                <w:tcPr>
                  <w:tcW w:w="430" w:type="pct"/>
                  <w:vAlign w:val="center"/>
                </w:tcPr>
                <w:p w14:paraId="36C4A070">
                  <w:pPr>
                    <w:pStyle w:val="73"/>
                    <w:overflowPunct w:val="0"/>
                    <w:topLinePunct/>
                    <w:autoSpaceDE w:val="0"/>
                    <w:autoSpaceDN w:val="0"/>
                  </w:pPr>
                  <w:r>
                    <w:rPr>
                      <w:rFonts w:hint="eastAsia"/>
                    </w:rPr>
                    <w:t>符合</w:t>
                  </w:r>
                </w:p>
              </w:tc>
            </w:tr>
          </w:tbl>
          <w:p w14:paraId="18F41DCC">
            <w:pPr>
              <w:autoSpaceDE w:val="0"/>
              <w:autoSpaceDN w:val="0"/>
              <w:adjustRightInd w:val="0"/>
              <w:snapToGrid w:val="0"/>
              <w:spacing w:line="480" w:lineRule="exact"/>
              <w:ind w:firstLine="482" w:firstLineChars="200"/>
              <w:rPr>
                <w:rFonts w:cs="宋体"/>
                <w:b/>
                <w:bCs/>
                <w:color w:val="000000"/>
                <w:kern w:val="0"/>
                <w:szCs w:val="21"/>
              </w:rPr>
            </w:pPr>
            <w:r>
              <w:rPr>
                <w:rFonts w:hint="eastAsia" w:cs="宋体"/>
                <w:b/>
                <w:bCs/>
                <w:color w:val="000000"/>
                <w:kern w:val="0"/>
                <w:szCs w:val="21"/>
              </w:rPr>
              <w:t>6、全国防沙治沙规划</w:t>
            </w:r>
          </w:p>
          <w:p w14:paraId="223F7E92">
            <w:pPr>
              <w:autoSpaceDE w:val="0"/>
              <w:autoSpaceDN w:val="0"/>
              <w:adjustRightInd w:val="0"/>
              <w:snapToGrid w:val="0"/>
              <w:spacing w:line="480" w:lineRule="exact"/>
              <w:ind w:firstLine="480" w:firstLineChars="200"/>
              <w:rPr>
                <w:rFonts w:cs="宋体"/>
                <w:color w:val="000000"/>
                <w:kern w:val="0"/>
                <w:szCs w:val="21"/>
              </w:rPr>
            </w:pPr>
            <w:r>
              <w:rPr>
                <w:rFonts w:hint="eastAsia"/>
              </w:rPr>
              <w:t>经查阅河北省“三线一单”信息管理平台，本项目选址未在全省沙化土地范围以内</w:t>
            </w:r>
            <w:r>
              <w:rPr>
                <w:rFonts w:hint="eastAsia" w:cs="宋体"/>
                <w:color w:val="000000"/>
                <w:kern w:val="0"/>
                <w:szCs w:val="21"/>
              </w:rPr>
              <w:t>。</w:t>
            </w:r>
          </w:p>
        </w:tc>
      </w:tr>
    </w:tbl>
    <w:p w14:paraId="6BEA2C8A">
      <w:pPr>
        <w:spacing w:line="360" w:lineRule="auto"/>
        <w:ind w:firstLine="600"/>
        <w:outlineLvl w:val="0"/>
        <w:rPr>
          <w:rFonts w:eastAsia="黑体"/>
          <w:color w:val="000000"/>
          <w:sz w:val="30"/>
        </w:rPr>
        <w:sectPr>
          <w:footerReference r:id="rId6" w:type="default"/>
          <w:pgSz w:w="11906" w:h="16838"/>
          <w:pgMar w:top="1701" w:right="1531" w:bottom="1701" w:left="1531" w:header="851" w:footer="1077" w:gutter="0"/>
          <w:pgNumType w:start="1"/>
          <w:cols w:space="720" w:num="1"/>
          <w:docGrid w:linePitch="312" w:charSpace="0"/>
        </w:sectPr>
      </w:pPr>
    </w:p>
    <w:p w14:paraId="028D8B13">
      <w:pPr>
        <w:pStyle w:val="24"/>
        <w:jc w:val="center"/>
        <w:outlineLvl w:val="0"/>
        <w:rPr>
          <w:rFonts w:ascii="黑体" w:hAnsi="黑体" w:eastAsia="黑体"/>
          <w:snapToGrid w:val="0"/>
          <w:color w:val="000000"/>
          <w:sz w:val="30"/>
          <w:szCs w:val="30"/>
        </w:rPr>
      </w:pPr>
      <w:r>
        <w:rPr>
          <w:rFonts w:hint="eastAsia" w:ascii="黑体" w:hAnsi="黑体" w:eastAsia="黑体"/>
          <w:snapToGrid w:val="0"/>
          <w:color w:val="000000"/>
          <w:sz w:val="30"/>
          <w:szCs w:val="30"/>
        </w:rPr>
        <w:t>二、建设项目工程分析</w:t>
      </w:r>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03"/>
        <w:gridCol w:w="8657"/>
      </w:tblGrid>
      <w:tr w14:paraId="2353B2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3" w:type="dxa"/>
            <w:vAlign w:val="center"/>
          </w:tcPr>
          <w:p w14:paraId="0394CB70">
            <w:pPr>
              <w:pStyle w:val="24"/>
              <w:adjustRightInd w:val="0"/>
              <w:snapToGrid w:val="0"/>
              <w:spacing w:before="0" w:beforeAutospacing="0" w:after="0" w:afterAutospacing="0"/>
              <w:jc w:val="center"/>
              <w:rPr>
                <w:rFonts w:cs="宋体"/>
                <w:color w:val="000000"/>
                <w:sz w:val="21"/>
                <w:szCs w:val="21"/>
              </w:rPr>
            </w:pPr>
            <w:r>
              <w:rPr>
                <w:rFonts w:hint="eastAsia" w:cs="宋体"/>
                <w:color w:val="000000"/>
                <w:szCs w:val="24"/>
              </w:rPr>
              <w:t>建设内容</w:t>
            </w:r>
          </w:p>
        </w:tc>
        <w:tc>
          <w:tcPr>
            <w:tcW w:w="8657" w:type="dxa"/>
          </w:tcPr>
          <w:p w14:paraId="57752865">
            <w:pPr>
              <w:adjustRightInd w:val="0"/>
              <w:snapToGrid w:val="0"/>
              <w:spacing w:line="480" w:lineRule="exact"/>
              <w:ind w:firstLine="482" w:firstLineChars="200"/>
              <w:rPr>
                <w:rFonts w:cs="宋体"/>
                <w:b/>
                <w:bCs/>
                <w:color w:val="000000"/>
                <w:kern w:val="0"/>
                <w:szCs w:val="21"/>
              </w:rPr>
            </w:pPr>
            <w:r>
              <w:rPr>
                <w:rFonts w:hint="eastAsia" w:cs="宋体"/>
                <w:b/>
                <w:bCs/>
                <w:color w:val="000000"/>
                <w:kern w:val="0"/>
                <w:szCs w:val="21"/>
              </w:rPr>
              <w:t>1、项目由来</w:t>
            </w:r>
          </w:p>
          <w:p w14:paraId="78EEC8C4">
            <w:pPr>
              <w:adjustRightInd w:val="0"/>
              <w:snapToGrid w:val="0"/>
              <w:spacing w:line="480" w:lineRule="exact"/>
              <w:ind w:firstLine="480" w:firstLineChars="200"/>
              <w:rPr>
                <w:rFonts w:cs="宋体"/>
                <w:color w:val="000000"/>
                <w:kern w:val="0"/>
                <w:szCs w:val="21"/>
              </w:rPr>
            </w:pPr>
            <w:r>
              <w:rPr>
                <w:rFonts w:hint="eastAsia" w:cs="宋体"/>
                <w:color w:val="000000"/>
                <w:kern w:val="0"/>
                <w:szCs w:val="21"/>
              </w:rPr>
              <w:t>河北文丰实业集团成立于2020年2月，是一家集炼铁、炼钢、轧钢、冶金级氧化铝等生产为一体的大型民营企业集团。河北文丰新材料有限公司为集团全资子公司，位于曹妃甸中小企业园区，主要从事冶金级氧化铝的生产，公司现有4条</w:t>
            </w:r>
            <w:r>
              <w:rPr>
                <w:color w:val="000000" w:themeColor="text1"/>
              </w:rPr>
              <w:t>年产120万吨冶金级氧化铝</w:t>
            </w:r>
            <w:r>
              <w:rPr>
                <w:rFonts w:hint="eastAsia"/>
                <w:color w:val="000000" w:themeColor="text1"/>
              </w:rPr>
              <w:t>生产线，合计产能480万吨/年。氧化铝生产过程中会产生8000吨/年的危险废物草酸盐，现有危废间贮存能力无法满足草酸盐暂存需求，为妥善安排草酸盐暂存问题，公司拟投资100万元</w:t>
            </w:r>
            <w:r>
              <w:rPr>
                <w:rFonts w:hint="eastAsia" w:cs="宋体"/>
                <w:color w:val="000000"/>
                <w:kern w:val="0"/>
                <w:szCs w:val="21"/>
              </w:rPr>
              <w:t>将原石灰消化灰渣装车区域（闲置厂房）改建为危废库用于暂存危废草酸盐，总建筑面积369平方米，项目建成后，可贮存草酸盐800吨。项目建成后，原危废库不在暂存草酸盐，仅暂存废催化剂、废机油及废机油桶等危废，本项目新建危废库仅暂存草酸盐。</w:t>
            </w:r>
          </w:p>
          <w:p w14:paraId="0B033D5B">
            <w:pPr>
              <w:adjustRightInd w:val="0"/>
              <w:snapToGrid w:val="0"/>
              <w:spacing w:line="480" w:lineRule="exact"/>
              <w:ind w:firstLine="480" w:firstLineChars="200"/>
              <w:rPr>
                <w:rFonts w:cs="宋体"/>
                <w:color w:val="000000"/>
                <w:kern w:val="0"/>
                <w:szCs w:val="21"/>
              </w:rPr>
            </w:pPr>
            <w:r>
              <w:rPr>
                <w:rFonts w:hint="eastAsia" w:cs="宋体"/>
                <w:color w:val="000000"/>
                <w:kern w:val="0"/>
                <w:szCs w:val="21"/>
              </w:rPr>
              <w:t xml:space="preserve">根据《中华人民共和国环境影响评价法》和《建设项目环境影响评价分类管理名录》等有关环保政策法规的要求，项目属于“四十七、生态保护和环境治理业，101危险废物（不含医疗废物）利用及处置-其他”，需编制环境影响报告表。为此，河北文丰新材料有限公司委托我公司承担该项目环境影响评价工作。接受委托后，我公司立即成立项目评价组，并组织相关评价人员进行了现场踏勘，收集了工程相关技术资料，在此基础上按照《建设项目环境影响报告表编制技术指南（污染影响类）》（试行）等有关要求开展环境影响评价工作，编制完成了环境影响报告表。                                                                                                                                                                                                                                                                                                                                                                                                                                                                                                                                                                                                                                                                                                                                                                                                                                                                                                                                                                                                                                                                                                                                                                                                                                                                                                                                                                                                                                                                                                                                                                                                                                                                                   </w:t>
            </w:r>
          </w:p>
          <w:p w14:paraId="6BA6D7E6">
            <w:pPr>
              <w:adjustRightInd w:val="0"/>
              <w:snapToGrid w:val="0"/>
              <w:spacing w:line="480" w:lineRule="exact"/>
              <w:ind w:firstLine="482" w:firstLineChars="200"/>
              <w:rPr>
                <w:rFonts w:cs="宋体"/>
                <w:b/>
                <w:bCs/>
                <w:color w:val="000000"/>
                <w:kern w:val="0"/>
                <w:szCs w:val="21"/>
              </w:rPr>
            </w:pPr>
            <w:r>
              <w:rPr>
                <w:rFonts w:hint="eastAsia" w:cs="宋体"/>
                <w:b/>
                <w:bCs/>
                <w:color w:val="000000"/>
                <w:kern w:val="0"/>
                <w:szCs w:val="21"/>
              </w:rPr>
              <w:t>2、建设内容</w:t>
            </w:r>
          </w:p>
          <w:p w14:paraId="215DEA34">
            <w:pPr>
              <w:adjustRightInd w:val="0"/>
              <w:snapToGrid w:val="0"/>
              <w:spacing w:line="480" w:lineRule="exact"/>
              <w:ind w:firstLine="480" w:firstLineChars="200"/>
              <w:rPr>
                <w:rFonts w:cs="宋体"/>
                <w:color w:val="000000"/>
                <w:kern w:val="0"/>
                <w:szCs w:val="21"/>
              </w:rPr>
            </w:pPr>
            <w:r>
              <w:rPr>
                <w:rFonts w:hint="eastAsia" w:cs="宋体"/>
                <w:color w:val="000000"/>
                <w:kern w:val="0"/>
                <w:szCs w:val="21"/>
              </w:rPr>
              <w:t>本项目将原石灰消化灰渣装车区域（闲置厂房）改建为危废库，原闲置厂房墙体采用钢结构，厂房内部无需拆除工程。</w:t>
            </w:r>
            <w:r>
              <w:rPr>
                <w:rFonts w:cs="宋体"/>
                <w:color w:val="000000"/>
                <w:kern w:val="0"/>
                <w:szCs w:val="21"/>
              </w:rPr>
              <w:t>主要建设规模及内容</w:t>
            </w:r>
            <w:r>
              <w:rPr>
                <w:rFonts w:hint="eastAsia" w:cs="宋体"/>
                <w:color w:val="000000"/>
                <w:kern w:val="0"/>
                <w:szCs w:val="21"/>
              </w:rPr>
              <w:t>：</w:t>
            </w:r>
            <w:r>
              <w:rPr>
                <w:rFonts w:cs="宋体"/>
                <w:color w:val="000000"/>
                <w:kern w:val="0"/>
                <w:szCs w:val="21"/>
              </w:rPr>
              <w:t>占用河北文丰新材料既有用地，不新增占地，总建筑面积369平方米，建设危险废物贮存间一间。项目建成后，可达到贮存草酸盐 800吨的规模。</w:t>
            </w:r>
            <w:r>
              <w:rPr>
                <w:rFonts w:hint="eastAsia" w:cs="宋体"/>
                <w:color w:val="000000"/>
                <w:kern w:val="0"/>
                <w:szCs w:val="21"/>
              </w:rPr>
              <w:t>具体建设内容见下表。</w:t>
            </w:r>
          </w:p>
          <w:p w14:paraId="1C158F35">
            <w:pPr>
              <w:autoSpaceDE w:val="0"/>
              <w:autoSpaceDN w:val="0"/>
              <w:adjustRightInd w:val="0"/>
              <w:snapToGrid w:val="0"/>
              <w:spacing w:line="480" w:lineRule="exact"/>
              <w:ind w:firstLine="480"/>
              <w:jc w:val="center"/>
              <w:rPr>
                <w:rFonts w:eastAsia="黑体" w:cs="宋体"/>
                <w:color w:val="000000"/>
                <w:kern w:val="0"/>
                <w:szCs w:val="21"/>
              </w:rPr>
            </w:pPr>
            <w:r>
              <w:rPr>
                <w:rFonts w:hint="eastAsia" w:eastAsia="黑体" w:cs="宋体"/>
                <w:color w:val="000000"/>
                <w:kern w:val="0"/>
                <w:szCs w:val="21"/>
              </w:rPr>
              <w:t>表</w:t>
            </w:r>
            <w:r>
              <w:rPr>
                <w:rFonts w:eastAsia="黑体" w:cs="宋体"/>
                <w:color w:val="000000"/>
                <w:kern w:val="0"/>
                <w:szCs w:val="21"/>
              </w:rPr>
              <w:t xml:space="preserve">2.1  </w:t>
            </w:r>
            <w:r>
              <w:rPr>
                <w:rFonts w:hint="eastAsia" w:eastAsia="黑体" w:cs="宋体"/>
                <w:color w:val="000000"/>
                <w:kern w:val="0"/>
                <w:szCs w:val="21"/>
              </w:rPr>
              <w:t>本工程建设内容一览表</w:t>
            </w:r>
          </w:p>
          <w:tbl>
            <w:tblPr>
              <w:tblStyle w:val="28"/>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2"/>
              <w:gridCol w:w="1323"/>
              <w:gridCol w:w="5586"/>
              <w:gridCol w:w="780"/>
            </w:tblGrid>
            <w:tr w14:paraId="369C38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45" w:type="pct"/>
                  <w:vAlign w:val="center"/>
                </w:tcPr>
                <w:p w14:paraId="2FD2FAB1">
                  <w:pPr>
                    <w:pStyle w:val="73"/>
                    <w:overflowPunct w:val="0"/>
                    <w:topLinePunct/>
                    <w:autoSpaceDE w:val="0"/>
                    <w:autoSpaceDN w:val="0"/>
                  </w:pPr>
                  <w:r>
                    <w:rPr>
                      <w:rFonts w:hint="eastAsia"/>
                    </w:rPr>
                    <w:t>类别</w:t>
                  </w:r>
                </w:p>
              </w:tc>
              <w:tc>
                <w:tcPr>
                  <w:tcW w:w="4091" w:type="pct"/>
                  <w:gridSpan w:val="2"/>
                  <w:vAlign w:val="center"/>
                </w:tcPr>
                <w:p w14:paraId="5B50C29E">
                  <w:pPr>
                    <w:pStyle w:val="73"/>
                    <w:overflowPunct w:val="0"/>
                    <w:topLinePunct/>
                    <w:autoSpaceDE w:val="0"/>
                    <w:autoSpaceDN w:val="0"/>
                  </w:pPr>
                  <w:r>
                    <w:rPr>
                      <w:rFonts w:hint="eastAsia"/>
                    </w:rPr>
                    <w:t>建设内容</w:t>
                  </w:r>
                </w:p>
              </w:tc>
              <w:tc>
                <w:tcPr>
                  <w:tcW w:w="462" w:type="pct"/>
                  <w:vAlign w:val="center"/>
                </w:tcPr>
                <w:p w14:paraId="2C1DD80F">
                  <w:pPr>
                    <w:pStyle w:val="73"/>
                    <w:overflowPunct w:val="0"/>
                    <w:topLinePunct/>
                    <w:autoSpaceDE w:val="0"/>
                    <w:autoSpaceDN w:val="0"/>
                  </w:pPr>
                  <w:r>
                    <w:rPr>
                      <w:rFonts w:hint="eastAsia"/>
                    </w:rPr>
                    <w:t>备注</w:t>
                  </w:r>
                </w:p>
              </w:tc>
            </w:tr>
            <w:tr w14:paraId="2576CE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5" w:type="pct"/>
                  <w:vAlign w:val="center"/>
                </w:tcPr>
                <w:p w14:paraId="60E0F837">
                  <w:pPr>
                    <w:pStyle w:val="73"/>
                    <w:overflowPunct w:val="0"/>
                    <w:topLinePunct/>
                    <w:autoSpaceDE w:val="0"/>
                    <w:autoSpaceDN w:val="0"/>
                  </w:pPr>
                  <w:r>
                    <w:rPr>
                      <w:rFonts w:hint="eastAsia"/>
                    </w:rPr>
                    <w:t>主体工程</w:t>
                  </w:r>
                </w:p>
              </w:tc>
              <w:tc>
                <w:tcPr>
                  <w:tcW w:w="4091" w:type="pct"/>
                  <w:gridSpan w:val="2"/>
                  <w:vAlign w:val="center"/>
                </w:tcPr>
                <w:p w14:paraId="29110870">
                  <w:pPr>
                    <w:pStyle w:val="73"/>
                    <w:overflowPunct w:val="0"/>
                    <w:topLinePunct/>
                    <w:autoSpaceDE w:val="0"/>
                    <w:autoSpaceDN w:val="0"/>
                    <w:jc w:val="both"/>
                  </w:pPr>
                  <w:r>
                    <w:rPr>
                      <w:rFonts w:hint="eastAsia"/>
                    </w:rPr>
                    <w:t>将原石灰消化灰渣装车区域（闲置厂房）改建为危废库，总建筑面积369平方米，主要对地面、导流沟、收集池、围堰进行防渗处理。</w:t>
                  </w:r>
                </w:p>
              </w:tc>
              <w:tc>
                <w:tcPr>
                  <w:tcW w:w="462" w:type="pct"/>
                  <w:vAlign w:val="center"/>
                </w:tcPr>
                <w:p w14:paraId="209D356B">
                  <w:pPr>
                    <w:pStyle w:val="73"/>
                    <w:overflowPunct w:val="0"/>
                    <w:topLinePunct/>
                    <w:autoSpaceDE w:val="0"/>
                    <w:autoSpaceDN w:val="0"/>
                  </w:pPr>
                  <w:r>
                    <w:rPr>
                      <w:rFonts w:hint="eastAsia"/>
                    </w:rPr>
                    <w:t>改建</w:t>
                  </w:r>
                </w:p>
              </w:tc>
            </w:tr>
            <w:tr w14:paraId="3D18BC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5" w:type="pct"/>
                  <w:vMerge w:val="restart"/>
                  <w:vAlign w:val="center"/>
                </w:tcPr>
                <w:p w14:paraId="4381E504">
                  <w:pPr>
                    <w:pStyle w:val="73"/>
                    <w:overflowPunct w:val="0"/>
                    <w:topLinePunct/>
                    <w:autoSpaceDE w:val="0"/>
                    <w:autoSpaceDN w:val="0"/>
                  </w:pPr>
                  <w:r>
                    <w:rPr>
                      <w:rFonts w:hint="eastAsia"/>
                    </w:rPr>
                    <w:t>公用工程</w:t>
                  </w:r>
                </w:p>
              </w:tc>
              <w:tc>
                <w:tcPr>
                  <w:tcW w:w="783" w:type="pct"/>
                  <w:vAlign w:val="center"/>
                </w:tcPr>
                <w:p w14:paraId="6E13CCA8">
                  <w:pPr>
                    <w:pStyle w:val="73"/>
                    <w:overflowPunct w:val="0"/>
                    <w:topLinePunct/>
                    <w:autoSpaceDE w:val="0"/>
                    <w:autoSpaceDN w:val="0"/>
                  </w:pPr>
                  <w:r>
                    <w:rPr>
                      <w:rFonts w:hint="eastAsia"/>
                    </w:rPr>
                    <w:t>供电</w:t>
                  </w:r>
                </w:p>
              </w:tc>
              <w:tc>
                <w:tcPr>
                  <w:tcW w:w="3308" w:type="pct"/>
                  <w:vAlign w:val="center"/>
                </w:tcPr>
                <w:p w14:paraId="2D0D6CB6">
                  <w:pPr>
                    <w:pStyle w:val="73"/>
                    <w:overflowPunct w:val="0"/>
                    <w:topLinePunct/>
                    <w:autoSpaceDE w:val="0"/>
                    <w:autoSpaceDN w:val="0"/>
                    <w:jc w:val="both"/>
                  </w:pPr>
                  <w:r>
                    <w:rPr>
                      <w:rFonts w:hint="eastAsia"/>
                    </w:rPr>
                    <w:t>由厂区现有供电系统提供</w:t>
                  </w:r>
                </w:p>
              </w:tc>
              <w:tc>
                <w:tcPr>
                  <w:tcW w:w="462" w:type="pct"/>
                  <w:vAlign w:val="center"/>
                </w:tcPr>
                <w:p w14:paraId="2DCB10E9">
                  <w:pPr>
                    <w:pStyle w:val="73"/>
                    <w:overflowPunct w:val="0"/>
                    <w:topLinePunct/>
                    <w:autoSpaceDE w:val="0"/>
                    <w:autoSpaceDN w:val="0"/>
                  </w:pPr>
                  <w:r>
                    <w:rPr>
                      <w:rFonts w:hint="eastAsia"/>
                    </w:rPr>
                    <w:t>依托</w:t>
                  </w:r>
                </w:p>
              </w:tc>
            </w:tr>
            <w:tr w14:paraId="2D7109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5" w:type="pct"/>
                  <w:vMerge w:val="continue"/>
                  <w:vAlign w:val="center"/>
                </w:tcPr>
                <w:p w14:paraId="64BA798A">
                  <w:pPr>
                    <w:pStyle w:val="73"/>
                    <w:overflowPunct w:val="0"/>
                    <w:topLinePunct/>
                    <w:autoSpaceDE w:val="0"/>
                    <w:autoSpaceDN w:val="0"/>
                  </w:pPr>
                </w:p>
              </w:tc>
              <w:tc>
                <w:tcPr>
                  <w:tcW w:w="783" w:type="pct"/>
                  <w:vAlign w:val="center"/>
                </w:tcPr>
                <w:p w14:paraId="2A524ADF">
                  <w:pPr>
                    <w:pStyle w:val="73"/>
                    <w:tabs>
                      <w:tab w:val="left" w:pos="465"/>
                    </w:tabs>
                    <w:overflowPunct w:val="0"/>
                    <w:topLinePunct/>
                    <w:autoSpaceDE w:val="0"/>
                    <w:autoSpaceDN w:val="0"/>
                  </w:pPr>
                  <w:r>
                    <w:rPr>
                      <w:rFonts w:hint="eastAsia"/>
                    </w:rPr>
                    <w:t>供水</w:t>
                  </w:r>
                </w:p>
              </w:tc>
              <w:tc>
                <w:tcPr>
                  <w:tcW w:w="3308" w:type="pct"/>
                  <w:vAlign w:val="center"/>
                </w:tcPr>
                <w:p w14:paraId="5126624F">
                  <w:pPr>
                    <w:pStyle w:val="73"/>
                    <w:overflowPunct w:val="0"/>
                    <w:topLinePunct/>
                    <w:autoSpaceDE w:val="0"/>
                    <w:autoSpaceDN w:val="0"/>
                    <w:jc w:val="both"/>
                  </w:pPr>
                  <w:r>
                    <w:rPr>
                      <w:rFonts w:hint="eastAsia"/>
                    </w:rPr>
                    <w:t>本项目运行不用水</w:t>
                  </w:r>
                </w:p>
              </w:tc>
              <w:tc>
                <w:tcPr>
                  <w:tcW w:w="462" w:type="pct"/>
                  <w:vAlign w:val="center"/>
                </w:tcPr>
                <w:p w14:paraId="02B2B7BD">
                  <w:pPr>
                    <w:pStyle w:val="73"/>
                    <w:overflowPunct w:val="0"/>
                    <w:topLinePunct/>
                    <w:autoSpaceDE w:val="0"/>
                    <w:autoSpaceDN w:val="0"/>
                  </w:pPr>
                  <w:r>
                    <w:rPr>
                      <w:rFonts w:hint="eastAsia"/>
                    </w:rPr>
                    <w:t>/</w:t>
                  </w:r>
                </w:p>
              </w:tc>
            </w:tr>
            <w:tr w14:paraId="797130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5" w:type="pct"/>
                  <w:vMerge w:val="continue"/>
                  <w:vAlign w:val="center"/>
                </w:tcPr>
                <w:p w14:paraId="2414AC66">
                  <w:pPr>
                    <w:pStyle w:val="73"/>
                    <w:overflowPunct w:val="0"/>
                    <w:topLinePunct/>
                    <w:autoSpaceDE w:val="0"/>
                    <w:autoSpaceDN w:val="0"/>
                  </w:pPr>
                </w:p>
              </w:tc>
              <w:tc>
                <w:tcPr>
                  <w:tcW w:w="783" w:type="pct"/>
                  <w:vAlign w:val="center"/>
                </w:tcPr>
                <w:p w14:paraId="42ED5F91">
                  <w:pPr>
                    <w:pStyle w:val="73"/>
                    <w:overflowPunct w:val="0"/>
                    <w:topLinePunct/>
                    <w:autoSpaceDE w:val="0"/>
                    <w:autoSpaceDN w:val="0"/>
                  </w:pPr>
                  <w:r>
                    <w:rPr>
                      <w:rFonts w:hint="eastAsia"/>
                    </w:rPr>
                    <w:t>供热</w:t>
                  </w:r>
                </w:p>
              </w:tc>
              <w:tc>
                <w:tcPr>
                  <w:tcW w:w="3308" w:type="pct"/>
                  <w:vAlign w:val="center"/>
                </w:tcPr>
                <w:p w14:paraId="3CB1338A">
                  <w:pPr>
                    <w:pStyle w:val="73"/>
                    <w:overflowPunct w:val="0"/>
                    <w:topLinePunct/>
                    <w:autoSpaceDE w:val="0"/>
                    <w:autoSpaceDN w:val="0"/>
                    <w:jc w:val="both"/>
                  </w:pPr>
                  <w:r>
                    <w:rPr>
                      <w:rFonts w:hint="eastAsia"/>
                    </w:rPr>
                    <w:t>本项目运行不用热</w:t>
                  </w:r>
                </w:p>
              </w:tc>
              <w:tc>
                <w:tcPr>
                  <w:tcW w:w="462" w:type="pct"/>
                  <w:vAlign w:val="center"/>
                </w:tcPr>
                <w:p w14:paraId="78E8DB20">
                  <w:pPr>
                    <w:pStyle w:val="73"/>
                    <w:overflowPunct w:val="0"/>
                    <w:topLinePunct/>
                    <w:autoSpaceDE w:val="0"/>
                    <w:autoSpaceDN w:val="0"/>
                  </w:pPr>
                  <w:r>
                    <w:rPr>
                      <w:rFonts w:hint="eastAsia"/>
                    </w:rPr>
                    <w:t>/</w:t>
                  </w:r>
                </w:p>
              </w:tc>
            </w:tr>
            <w:tr w14:paraId="182F49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5" w:type="pct"/>
                  <w:vMerge w:val="restart"/>
                  <w:vAlign w:val="center"/>
                </w:tcPr>
                <w:p w14:paraId="558FA05A">
                  <w:pPr>
                    <w:pStyle w:val="73"/>
                    <w:overflowPunct w:val="0"/>
                    <w:topLinePunct/>
                    <w:autoSpaceDE w:val="0"/>
                    <w:autoSpaceDN w:val="0"/>
                  </w:pPr>
                  <w:r>
                    <w:rPr>
                      <w:rFonts w:hint="eastAsia"/>
                    </w:rPr>
                    <w:t>环保工程</w:t>
                  </w:r>
                </w:p>
              </w:tc>
              <w:tc>
                <w:tcPr>
                  <w:tcW w:w="783" w:type="pct"/>
                  <w:vAlign w:val="center"/>
                </w:tcPr>
                <w:p w14:paraId="72EDE5B5">
                  <w:pPr>
                    <w:pStyle w:val="73"/>
                    <w:overflowPunct w:val="0"/>
                    <w:topLinePunct/>
                    <w:autoSpaceDE w:val="0"/>
                    <w:autoSpaceDN w:val="0"/>
                  </w:pPr>
                  <w:r>
                    <w:rPr>
                      <w:rFonts w:hint="eastAsia"/>
                    </w:rPr>
                    <w:t>废气</w:t>
                  </w:r>
                </w:p>
              </w:tc>
              <w:tc>
                <w:tcPr>
                  <w:tcW w:w="3308" w:type="pct"/>
                  <w:vAlign w:val="center"/>
                </w:tcPr>
                <w:p w14:paraId="2FBFD95E">
                  <w:pPr>
                    <w:pStyle w:val="73"/>
                    <w:overflowPunct w:val="0"/>
                    <w:topLinePunct/>
                    <w:autoSpaceDE w:val="0"/>
                    <w:autoSpaceDN w:val="0"/>
                    <w:jc w:val="both"/>
                  </w:pPr>
                  <w:r>
                    <w:rPr>
                      <w:rFonts w:hint="eastAsia"/>
                    </w:rPr>
                    <w:t>危废库暂存草酸盐为半固态物质，不含有机物成分，且采用专用封闭包装袋密封储存，无废气排放</w:t>
                  </w:r>
                </w:p>
              </w:tc>
              <w:tc>
                <w:tcPr>
                  <w:tcW w:w="462" w:type="pct"/>
                  <w:vAlign w:val="center"/>
                </w:tcPr>
                <w:p w14:paraId="577CD677">
                  <w:pPr>
                    <w:pStyle w:val="73"/>
                    <w:overflowPunct w:val="0"/>
                    <w:topLinePunct/>
                    <w:autoSpaceDE w:val="0"/>
                    <w:autoSpaceDN w:val="0"/>
                  </w:pPr>
                  <w:r>
                    <w:rPr>
                      <w:rFonts w:hint="eastAsia"/>
                    </w:rPr>
                    <w:t>/</w:t>
                  </w:r>
                </w:p>
              </w:tc>
            </w:tr>
            <w:tr w14:paraId="5F98A6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5" w:type="pct"/>
                  <w:vMerge w:val="continue"/>
                  <w:vAlign w:val="center"/>
                </w:tcPr>
                <w:p w14:paraId="45D5CD6B">
                  <w:pPr>
                    <w:pStyle w:val="73"/>
                    <w:overflowPunct w:val="0"/>
                    <w:topLinePunct/>
                    <w:autoSpaceDE w:val="0"/>
                    <w:autoSpaceDN w:val="0"/>
                  </w:pPr>
                </w:p>
              </w:tc>
              <w:tc>
                <w:tcPr>
                  <w:tcW w:w="783" w:type="pct"/>
                  <w:vAlign w:val="center"/>
                </w:tcPr>
                <w:p w14:paraId="266EDF38">
                  <w:pPr>
                    <w:pStyle w:val="73"/>
                    <w:overflowPunct w:val="0"/>
                    <w:topLinePunct/>
                    <w:autoSpaceDE w:val="0"/>
                    <w:autoSpaceDN w:val="0"/>
                  </w:pPr>
                  <w:r>
                    <w:rPr>
                      <w:rFonts w:hint="eastAsia"/>
                    </w:rPr>
                    <w:t>废水</w:t>
                  </w:r>
                </w:p>
              </w:tc>
              <w:tc>
                <w:tcPr>
                  <w:tcW w:w="3308" w:type="pct"/>
                  <w:vAlign w:val="center"/>
                </w:tcPr>
                <w:p w14:paraId="772D43D5">
                  <w:pPr>
                    <w:pStyle w:val="73"/>
                    <w:overflowPunct w:val="0"/>
                    <w:topLinePunct/>
                    <w:autoSpaceDE w:val="0"/>
                    <w:autoSpaceDN w:val="0"/>
                    <w:jc w:val="both"/>
                  </w:pPr>
                  <w:r>
                    <w:rPr>
                      <w:rFonts w:hint="eastAsia"/>
                    </w:rPr>
                    <w:t>本项目运行不用水且不产生废水</w:t>
                  </w:r>
                </w:p>
              </w:tc>
              <w:tc>
                <w:tcPr>
                  <w:tcW w:w="462" w:type="pct"/>
                  <w:vAlign w:val="center"/>
                </w:tcPr>
                <w:p w14:paraId="0D3FECCB">
                  <w:pPr>
                    <w:pStyle w:val="73"/>
                    <w:overflowPunct w:val="0"/>
                    <w:topLinePunct/>
                    <w:autoSpaceDE w:val="0"/>
                    <w:autoSpaceDN w:val="0"/>
                  </w:pPr>
                  <w:r>
                    <w:rPr>
                      <w:rFonts w:hint="eastAsia"/>
                    </w:rPr>
                    <w:t>/</w:t>
                  </w:r>
                </w:p>
              </w:tc>
            </w:tr>
            <w:tr w14:paraId="426A74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5" w:type="pct"/>
                  <w:vMerge w:val="continue"/>
                  <w:vAlign w:val="center"/>
                </w:tcPr>
                <w:p w14:paraId="395A3A32">
                  <w:pPr>
                    <w:pStyle w:val="73"/>
                    <w:overflowPunct w:val="0"/>
                    <w:topLinePunct/>
                    <w:autoSpaceDE w:val="0"/>
                    <w:autoSpaceDN w:val="0"/>
                  </w:pPr>
                </w:p>
              </w:tc>
              <w:tc>
                <w:tcPr>
                  <w:tcW w:w="783" w:type="pct"/>
                  <w:vAlign w:val="center"/>
                </w:tcPr>
                <w:p w14:paraId="5050C7A2">
                  <w:pPr>
                    <w:pStyle w:val="73"/>
                    <w:overflowPunct w:val="0"/>
                    <w:topLinePunct/>
                    <w:autoSpaceDE w:val="0"/>
                    <w:autoSpaceDN w:val="0"/>
                  </w:pPr>
                  <w:r>
                    <w:rPr>
                      <w:rFonts w:hint="eastAsia"/>
                    </w:rPr>
                    <w:t>噪声</w:t>
                  </w:r>
                </w:p>
              </w:tc>
              <w:tc>
                <w:tcPr>
                  <w:tcW w:w="3308" w:type="pct"/>
                  <w:vAlign w:val="center"/>
                </w:tcPr>
                <w:p w14:paraId="7292B802">
                  <w:pPr>
                    <w:pStyle w:val="73"/>
                    <w:overflowPunct w:val="0"/>
                    <w:topLinePunct/>
                    <w:autoSpaceDE w:val="0"/>
                    <w:autoSpaceDN w:val="0"/>
                    <w:jc w:val="both"/>
                  </w:pPr>
                  <w:r>
                    <w:rPr>
                      <w:rFonts w:hint="eastAsia"/>
                    </w:rPr>
                    <w:t>采取厂房隔声降噪措施</w:t>
                  </w:r>
                </w:p>
              </w:tc>
              <w:tc>
                <w:tcPr>
                  <w:tcW w:w="462" w:type="pct"/>
                  <w:vAlign w:val="center"/>
                </w:tcPr>
                <w:p w14:paraId="30A6C555">
                  <w:pPr>
                    <w:pStyle w:val="73"/>
                    <w:overflowPunct w:val="0"/>
                    <w:topLinePunct/>
                    <w:autoSpaceDE w:val="0"/>
                    <w:autoSpaceDN w:val="0"/>
                  </w:pPr>
                  <w:r>
                    <w:rPr>
                      <w:rFonts w:hint="eastAsia"/>
                    </w:rPr>
                    <w:t>依托</w:t>
                  </w:r>
                </w:p>
              </w:tc>
            </w:tr>
            <w:tr w14:paraId="77E2473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5" w:type="pct"/>
                  <w:vMerge w:val="continue"/>
                  <w:vAlign w:val="center"/>
                </w:tcPr>
                <w:p w14:paraId="105B58B0">
                  <w:pPr>
                    <w:pStyle w:val="73"/>
                    <w:overflowPunct w:val="0"/>
                    <w:topLinePunct/>
                    <w:autoSpaceDE w:val="0"/>
                    <w:autoSpaceDN w:val="0"/>
                  </w:pPr>
                </w:p>
              </w:tc>
              <w:tc>
                <w:tcPr>
                  <w:tcW w:w="783" w:type="pct"/>
                  <w:vAlign w:val="center"/>
                </w:tcPr>
                <w:p w14:paraId="12B89736">
                  <w:pPr>
                    <w:pStyle w:val="73"/>
                    <w:overflowPunct w:val="0"/>
                    <w:topLinePunct/>
                    <w:autoSpaceDE w:val="0"/>
                    <w:autoSpaceDN w:val="0"/>
                  </w:pPr>
                  <w:r>
                    <w:rPr>
                      <w:rFonts w:hint="eastAsia"/>
                    </w:rPr>
                    <w:t>固废</w:t>
                  </w:r>
                </w:p>
              </w:tc>
              <w:tc>
                <w:tcPr>
                  <w:tcW w:w="3308" w:type="pct"/>
                  <w:vAlign w:val="center"/>
                </w:tcPr>
                <w:p w14:paraId="247BBC3C">
                  <w:pPr>
                    <w:pStyle w:val="73"/>
                    <w:overflowPunct w:val="0"/>
                    <w:topLinePunct/>
                    <w:autoSpaceDE w:val="0"/>
                    <w:autoSpaceDN w:val="0"/>
                    <w:jc w:val="both"/>
                  </w:pPr>
                  <w:r>
                    <w:rPr>
                      <w:rFonts w:hint="eastAsia"/>
                    </w:rPr>
                    <w:t>生产工序产生的草酸盐经收集后暂存于本项目建设的危废库，然后交由山东高特新材料科技有限公司综合利用</w:t>
                  </w:r>
                </w:p>
              </w:tc>
              <w:tc>
                <w:tcPr>
                  <w:tcW w:w="462" w:type="pct"/>
                  <w:vAlign w:val="center"/>
                </w:tcPr>
                <w:p w14:paraId="6A7DFBDD">
                  <w:pPr>
                    <w:pStyle w:val="73"/>
                    <w:overflowPunct w:val="0"/>
                    <w:topLinePunct/>
                    <w:autoSpaceDE w:val="0"/>
                    <w:autoSpaceDN w:val="0"/>
                  </w:pPr>
                  <w:r>
                    <w:rPr>
                      <w:rFonts w:hint="eastAsia"/>
                    </w:rPr>
                    <w:t>依托</w:t>
                  </w:r>
                </w:p>
              </w:tc>
            </w:tr>
            <w:tr w14:paraId="25FBDE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5" w:type="pct"/>
                  <w:vMerge w:val="continue"/>
                  <w:vAlign w:val="center"/>
                </w:tcPr>
                <w:p w14:paraId="3E8E6CF0">
                  <w:pPr>
                    <w:pStyle w:val="73"/>
                    <w:overflowPunct w:val="0"/>
                    <w:topLinePunct/>
                    <w:autoSpaceDE w:val="0"/>
                    <w:autoSpaceDN w:val="0"/>
                  </w:pPr>
                </w:p>
              </w:tc>
              <w:tc>
                <w:tcPr>
                  <w:tcW w:w="783" w:type="pct"/>
                  <w:vAlign w:val="center"/>
                </w:tcPr>
                <w:p w14:paraId="30079AA2">
                  <w:pPr>
                    <w:pStyle w:val="73"/>
                    <w:overflowPunct w:val="0"/>
                    <w:topLinePunct/>
                    <w:autoSpaceDE w:val="0"/>
                    <w:autoSpaceDN w:val="0"/>
                  </w:pPr>
                  <w:r>
                    <w:rPr>
                      <w:rFonts w:hint="eastAsia"/>
                    </w:rPr>
                    <w:t>防腐防渗</w:t>
                  </w:r>
                </w:p>
              </w:tc>
              <w:tc>
                <w:tcPr>
                  <w:tcW w:w="3308" w:type="pct"/>
                  <w:vAlign w:val="center"/>
                </w:tcPr>
                <w:p w14:paraId="500F9C42">
                  <w:pPr>
                    <w:pStyle w:val="73"/>
                    <w:overflowPunct w:val="0"/>
                    <w:topLinePunct/>
                    <w:autoSpaceDE w:val="0"/>
                    <w:autoSpaceDN w:val="0"/>
                    <w:jc w:val="both"/>
                  </w:pPr>
                  <w:r>
                    <w:rPr>
                      <w:rFonts w:hint="eastAsia"/>
                    </w:rPr>
                    <w:t>①地面由下往上：依次为原地面进行凿毛处理，去除混凝土表面的浮浆和杂质，使表面粗糙，凿毛深度5~10mm，凿毛率不低于90%，以确保足够的粘结面积；60厚C15混凝土垫层；水泥浆一道（内掺建筑胶）；20厚1:2.5水泥砂浆找平；1.5厚聚氨酯防水涂料；2mm厚高密度聚乙烯；水乳型橡胶沥青二布（玻璃布）三涂隔离层；60厚耐碱混凝土；2mm高密度环氧树脂，渗透系数≤1.0</w:t>
                  </w:r>
                  <w:r>
                    <w:rPr>
                      <w:rFonts w:ascii="Arial" w:hAnsi="Arial" w:cs="Arial"/>
                    </w:rPr>
                    <w:t>×</w:t>
                  </w:r>
                  <w:r>
                    <w:rPr>
                      <w:rFonts w:hint="eastAsia"/>
                    </w:rPr>
                    <w:t>10</w:t>
                  </w:r>
                  <w:r>
                    <w:rPr>
                      <w:rFonts w:hint="eastAsia"/>
                      <w:vertAlign w:val="superscript"/>
                    </w:rPr>
                    <w:t>-10</w:t>
                  </w:r>
                  <w:r>
                    <w:rPr>
                      <w:rFonts w:hint="eastAsia"/>
                    </w:rPr>
                    <w:t>cm/s。</w:t>
                  </w:r>
                </w:p>
                <w:p w14:paraId="36881963">
                  <w:pPr>
                    <w:pStyle w:val="73"/>
                    <w:overflowPunct w:val="0"/>
                    <w:topLinePunct/>
                    <w:autoSpaceDE w:val="0"/>
                    <w:autoSpaceDN w:val="0"/>
                    <w:jc w:val="both"/>
                  </w:pPr>
                  <w:r>
                    <w:rPr>
                      <w:rFonts w:hint="eastAsia"/>
                    </w:rPr>
                    <w:t>②导流沟、收集池由下往上：C30P4抗渗混凝土；20厚1:2.5水泥砂浆找平；1.5厚聚氨酯防水涂料；2mm厚高密度聚乙烯；水乳型橡胶沥青二布（玻璃布）三涂隔离层；2mm高密度环氧树脂，渗透系数≤1.0</w:t>
                  </w:r>
                  <w:r>
                    <w:rPr>
                      <w:rFonts w:ascii="Arial" w:hAnsi="Arial" w:cs="Arial"/>
                    </w:rPr>
                    <w:t>×</w:t>
                  </w:r>
                  <w:r>
                    <w:rPr>
                      <w:rFonts w:hint="eastAsia"/>
                    </w:rPr>
                    <w:t>10</w:t>
                  </w:r>
                  <w:r>
                    <w:rPr>
                      <w:rFonts w:hint="eastAsia"/>
                      <w:vertAlign w:val="superscript"/>
                    </w:rPr>
                    <w:t>-10</w:t>
                  </w:r>
                  <w:r>
                    <w:rPr>
                      <w:rFonts w:hint="eastAsia"/>
                    </w:rPr>
                    <w:t>cm/s。</w:t>
                  </w:r>
                </w:p>
                <w:p w14:paraId="6C12EFA1">
                  <w:pPr>
                    <w:pStyle w:val="73"/>
                    <w:overflowPunct w:val="0"/>
                    <w:topLinePunct/>
                    <w:autoSpaceDE w:val="0"/>
                    <w:autoSpaceDN w:val="0"/>
                    <w:jc w:val="both"/>
                  </w:pPr>
                  <w:r>
                    <w:rPr>
                      <w:rFonts w:hint="eastAsia"/>
                    </w:rPr>
                    <w:t>③围堰由里往外：基层墙体；20厚1:2.5水泥砂浆找平；1.5厚聚氨酯防水涂料；满刮抗裂砂浆；5mm厚干粉类聚合物水泥防水砂浆，中间压入一层耐碱玻璃纤维网布；灰色涂料。</w:t>
                  </w:r>
                </w:p>
              </w:tc>
              <w:tc>
                <w:tcPr>
                  <w:tcW w:w="462" w:type="pct"/>
                  <w:vAlign w:val="center"/>
                </w:tcPr>
                <w:p w14:paraId="74F53C66">
                  <w:pPr>
                    <w:pStyle w:val="73"/>
                    <w:overflowPunct w:val="0"/>
                    <w:topLinePunct/>
                    <w:autoSpaceDE w:val="0"/>
                    <w:autoSpaceDN w:val="0"/>
                  </w:pPr>
                  <w:r>
                    <w:rPr>
                      <w:rFonts w:hint="eastAsia"/>
                    </w:rPr>
                    <w:t>新建</w:t>
                  </w:r>
                </w:p>
              </w:tc>
            </w:tr>
          </w:tbl>
          <w:p w14:paraId="763BC505">
            <w:pPr>
              <w:autoSpaceDE w:val="0"/>
              <w:autoSpaceDN w:val="0"/>
              <w:adjustRightInd w:val="0"/>
              <w:snapToGrid w:val="0"/>
              <w:spacing w:line="480" w:lineRule="exact"/>
              <w:ind w:firstLine="480"/>
              <w:jc w:val="center"/>
              <w:rPr>
                <w:rFonts w:eastAsia="黑体" w:cs="宋体"/>
                <w:color w:val="000000"/>
                <w:kern w:val="0"/>
                <w:szCs w:val="21"/>
              </w:rPr>
            </w:pPr>
            <w:r>
              <w:rPr>
                <w:rFonts w:hint="eastAsia" w:eastAsia="黑体" w:cs="宋体"/>
                <w:color w:val="000000"/>
                <w:kern w:val="0"/>
                <w:szCs w:val="21"/>
              </w:rPr>
              <w:t>表</w:t>
            </w:r>
            <w:r>
              <w:rPr>
                <w:rFonts w:eastAsia="黑体" w:cs="宋体"/>
                <w:color w:val="000000"/>
                <w:kern w:val="0"/>
                <w:szCs w:val="21"/>
              </w:rPr>
              <w:t>2.</w:t>
            </w:r>
            <w:r>
              <w:rPr>
                <w:rFonts w:hint="eastAsia" w:eastAsia="黑体" w:cs="宋体"/>
                <w:color w:val="000000"/>
                <w:kern w:val="0"/>
                <w:szCs w:val="21"/>
              </w:rPr>
              <w:t>2</w:t>
            </w:r>
            <w:r>
              <w:rPr>
                <w:rFonts w:eastAsia="黑体" w:cs="宋体"/>
                <w:color w:val="000000"/>
                <w:kern w:val="0"/>
                <w:szCs w:val="21"/>
              </w:rPr>
              <w:t xml:space="preserve">  </w:t>
            </w:r>
            <w:r>
              <w:rPr>
                <w:rFonts w:hint="eastAsia" w:eastAsia="黑体" w:cs="宋体"/>
                <w:color w:val="000000"/>
                <w:kern w:val="0"/>
                <w:szCs w:val="21"/>
              </w:rPr>
              <w:t>项目主要建（构）筑物一览表</w:t>
            </w:r>
          </w:p>
          <w:tbl>
            <w:tblPr>
              <w:tblStyle w:val="28"/>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52"/>
              <w:gridCol w:w="4757"/>
              <w:gridCol w:w="1632"/>
            </w:tblGrid>
            <w:tr w14:paraId="05E2DC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40" w:hRule="atLeast"/>
                <w:tblHeader/>
                <w:jc w:val="center"/>
              </w:trPr>
              <w:tc>
                <w:tcPr>
                  <w:tcW w:w="1215" w:type="pct"/>
                  <w:vAlign w:val="center"/>
                </w:tcPr>
                <w:p w14:paraId="39D519B8">
                  <w:pPr>
                    <w:pStyle w:val="73"/>
                    <w:overflowPunct w:val="0"/>
                    <w:topLinePunct/>
                    <w:autoSpaceDE w:val="0"/>
                    <w:autoSpaceDN w:val="0"/>
                  </w:pPr>
                  <w:r>
                    <w:rPr>
                      <w:rFonts w:hint="eastAsia"/>
                    </w:rPr>
                    <w:t>名称</w:t>
                  </w:r>
                </w:p>
              </w:tc>
              <w:tc>
                <w:tcPr>
                  <w:tcW w:w="2816" w:type="pct"/>
                  <w:vAlign w:val="center"/>
                </w:tcPr>
                <w:p w14:paraId="6125B151">
                  <w:pPr>
                    <w:pStyle w:val="73"/>
                    <w:overflowPunct w:val="0"/>
                    <w:topLinePunct/>
                    <w:autoSpaceDE w:val="0"/>
                    <w:autoSpaceDN w:val="0"/>
                  </w:pPr>
                  <w:r>
                    <w:rPr>
                      <w:rFonts w:hint="eastAsia"/>
                    </w:rPr>
                    <w:t>尺寸规格（长</w:t>
                  </w:r>
                  <w:r>
                    <w:rPr>
                      <w:rFonts w:ascii="Arial" w:hAnsi="Arial" w:cs="Arial"/>
                    </w:rPr>
                    <w:t>×</w:t>
                  </w:r>
                  <w:r>
                    <w:rPr>
                      <w:rFonts w:hint="eastAsia"/>
                    </w:rPr>
                    <w:t>宽</w:t>
                  </w:r>
                  <w:r>
                    <w:rPr>
                      <w:rFonts w:ascii="Arial" w:hAnsi="Arial" w:cs="Arial"/>
                    </w:rPr>
                    <w:t>×</w:t>
                  </w:r>
                  <w:r>
                    <w:rPr>
                      <w:rFonts w:hint="eastAsia"/>
                    </w:rPr>
                    <w:t>高）/m</w:t>
                  </w:r>
                </w:p>
              </w:tc>
              <w:tc>
                <w:tcPr>
                  <w:tcW w:w="967" w:type="pct"/>
                  <w:vAlign w:val="center"/>
                </w:tcPr>
                <w:p w14:paraId="55DDE1D4">
                  <w:pPr>
                    <w:pStyle w:val="73"/>
                    <w:overflowPunct w:val="0"/>
                    <w:topLinePunct/>
                    <w:autoSpaceDE w:val="0"/>
                    <w:autoSpaceDN w:val="0"/>
                  </w:pPr>
                  <w:r>
                    <w:rPr>
                      <w:rFonts w:hint="eastAsia"/>
                    </w:rPr>
                    <w:t>备注</w:t>
                  </w:r>
                </w:p>
              </w:tc>
            </w:tr>
            <w:tr w14:paraId="3DBCB6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5" w:type="pct"/>
                  <w:vAlign w:val="center"/>
                </w:tcPr>
                <w:p w14:paraId="7054BE08">
                  <w:pPr>
                    <w:pStyle w:val="73"/>
                    <w:overflowPunct w:val="0"/>
                    <w:topLinePunct/>
                    <w:autoSpaceDE w:val="0"/>
                    <w:autoSpaceDN w:val="0"/>
                  </w:pPr>
                  <w:r>
                    <w:rPr>
                      <w:rFonts w:hint="eastAsia"/>
                    </w:rPr>
                    <w:t>危废库</w:t>
                  </w:r>
                </w:p>
              </w:tc>
              <w:tc>
                <w:tcPr>
                  <w:tcW w:w="2816" w:type="pct"/>
                  <w:vAlign w:val="center"/>
                </w:tcPr>
                <w:p w14:paraId="1FE8F0CE">
                  <w:pPr>
                    <w:pStyle w:val="73"/>
                    <w:overflowPunct w:val="0"/>
                    <w:topLinePunct/>
                    <w:autoSpaceDE w:val="0"/>
                    <w:autoSpaceDN w:val="0"/>
                  </w:pPr>
                  <w:r>
                    <w:t>20.5×18×</w:t>
                  </w:r>
                  <w:r>
                    <w:rPr>
                      <w:rFonts w:hint="eastAsia"/>
                    </w:rPr>
                    <w:t>9，钢结构</w:t>
                  </w:r>
                </w:p>
              </w:tc>
              <w:tc>
                <w:tcPr>
                  <w:tcW w:w="967" w:type="pct"/>
                  <w:vAlign w:val="center"/>
                </w:tcPr>
                <w:p w14:paraId="1079F170">
                  <w:pPr>
                    <w:pStyle w:val="73"/>
                    <w:overflowPunct w:val="0"/>
                    <w:topLinePunct/>
                    <w:autoSpaceDE w:val="0"/>
                    <w:autoSpaceDN w:val="0"/>
                  </w:pPr>
                  <w:r>
                    <w:rPr>
                      <w:rFonts w:hint="eastAsia"/>
                    </w:rPr>
                    <w:t>依托</w:t>
                  </w:r>
                </w:p>
              </w:tc>
            </w:tr>
            <w:tr w14:paraId="13374D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5" w:type="pct"/>
                  <w:vAlign w:val="center"/>
                </w:tcPr>
                <w:p w14:paraId="601E30F5">
                  <w:pPr>
                    <w:pStyle w:val="73"/>
                    <w:overflowPunct w:val="0"/>
                    <w:topLinePunct/>
                    <w:autoSpaceDE w:val="0"/>
                    <w:autoSpaceDN w:val="0"/>
                  </w:pPr>
                  <w:r>
                    <w:rPr>
                      <w:rFonts w:hint="eastAsia"/>
                    </w:rPr>
                    <w:t>集水池</w:t>
                  </w:r>
                </w:p>
              </w:tc>
              <w:tc>
                <w:tcPr>
                  <w:tcW w:w="2816" w:type="pct"/>
                  <w:vAlign w:val="center"/>
                </w:tcPr>
                <w:p w14:paraId="391410E3">
                  <w:pPr>
                    <w:pStyle w:val="73"/>
                    <w:overflowPunct w:val="0"/>
                    <w:topLinePunct/>
                    <w:autoSpaceDE w:val="0"/>
                    <w:autoSpaceDN w:val="0"/>
                  </w:pPr>
                  <w:r>
                    <w:rPr>
                      <w:rFonts w:hint="eastAsia"/>
                    </w:rPr>
                    <w:t>1</w:t>
                  </w:r>
                  <w:r>
                    <w:t>×1×</w:t>
                  </w:r>
                  <w:r>
                    <w:rPr>
                      <w:rFonts w:hint="eastAsia"/>
                    </w:rPr>
                    <w:t>1.2</w:t>
                  </w:r>
                </w:p>
              </w:tc>
              <w:tc>
                <w:tcPr>
                  <w:tcW w:w="967" w:type="pct"/>
                  <w:vAlign w:val="center"/>
                </w:tcPr>
                <w:p w14:paraId="53A8A9E4">
                  <w:pPr>
                    <w:pStyle w:val="73"/>
                    <w:overflowPunct w:val="0"/>
                    <w:topLinePunct/>
                    <w:autoSpaceDE w:val="0"/>
                    <w:autoSpaceDN w:val="0"/>
                  </w:pPr>
                  <w:r>
                    <w:rPr>
                      <w:rFonts w:hint="eastAsia"/>
                    </w:rPr>
                    <w:t>新建</w:t>
                  </w:r>
                </w:p>
              </w:tc>
            </w:tr>
            <w:tr w14:paraId="612DF9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5" w:type="pct"/>
                  <w:vAlign w:val="center"/>
                </w:tcPr>
                <w:p w14:paraId="60F20E5E">
                  <w:pPr>
                    <w:pStyle w:val="73"/>
                    <w:overflowPunct w:val="0"/>
                    <w:topLinePunct/>
                    <w:autoSpaceDE w:val="0"/>
                    <w:autoSpaceDN w:val="0"/>
                  </w:pPr>
                  <w:r>
                    <w:rPr>
                      <w:rFonts w:hint="eastAsia"/>
                    </w:rPr>
                    <w:t>导流沟</w:t>
                  </w:r>
                </w:p>
              </w:tc>
              <w:tc>
                <w:tcPr>
                  <w:tcW w:w="2816" w:type="pct"/>
                  <w:vAlign w:val="center"/>
                </w:tcPr>
                <w:p w14:paraId="007CDE81">
                  <w:pPr>
                    <w:pStyle w:val="73"/>
                    <w:overflowPunct w:val="0"/>
                    <w:topLinePunct/>
                    <w:autoSpaceDE w:val="0"/>
                    <w:autoSpaceDN w:val="0"/>
                  </w:pPr>
                  <w:r>
                    <w:rPr>
                      <w:rFonts w:hint="eastAsia"/>
                    </w:rPr>
                    <w:t>0.2m宽，0.2m深，四周布设</w:t>
                  </w:r>
                </w:p>
              </w:tc>
              <w:tc>
                <w:tcPr>
                  <w:tcW w:w="967" w:type="pct"/>
                  <w:vAlign w:val="center"/>
                </w:tcPr>
                <w:p w14:paraId="311BA37E">
                  <w:pPr>
                    <w:pStyle w:val="73"/>
                    <w:overflowPunct w:val="0"/>
                    <w:topLinePunct/>
                    <w:autoSpaceDE w:val="0"/>
                    <w:autoSpaceDN w:val="0"/>
                  </w:pPr>
                  <w:r>
                    <w:rPr>
                      <w:rFonts w:hint="eastAsia"/>
                    </w:rPr>
                    <w:t>新建</w:t>
                  </w:r>
                </w:p>
              </w:tc>
            </w:tr>
            <w:tr w14:paraId="7205BE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5" w:type="pct"/>
                  <w:vAlign w:val="center"/>
                </w:tcPr>
                <w:p w14:paraId="4527FC4F">
                  <w:pPr>
                    <w:pStyle w:val="73"/>
                    <w:overflowPunct w:val="0"/>
                    <w:topLinePunct/>
                    <w:autoSpaceDE w:val="0"/>
                    <w:autoSpaceDN w:val="0"/>
                  </w:pPr>
                  <w:r>
                    <w:rPr>
                      <w:rFonts w:hint="eastAsia"/>
                    </w:rPr>
                    <w:t>围堰</w:t>
                  </w:r>
                </w:p>
              </w:tc>
              <w:tc>
                <w:tcPr>
                  <w:tcW w:w="2816" w:type="pct"/>
                  <w:vAlign w:val="center"/>
                </w:tcPr>
                <w:p w14:paraId="3DDD24FD">
                  <w:pPr>
                    <w:pStyle w:val="73"/>
                    <w:overflowPunct w:val="0"/>
                    <w:topLinePunct/>
                    <w:autoSpaceDE w:val="0"/>
                    <w:autoSpaceDN w:val="0"/>
                  </w:pPr>
                  <w:r>
                    <w:rPr>
                      <w:rFonts w:hint="eastAsia"/>
                    </w:rPr>
                    <w:t>0.5m高，四周布设，砖混结构</w:t>
                  </w:r>
                </w:p>
              </w:tc>
              <w:tc>
                <w:tcPr>
                  <w:tcW w:w="967" w:type="pct"/>
                  <w:vAlign w:val="center"/>
                </w:tcPr>
                <w:p w14:paraId="324A238B">
                  <w:pPr>
                    <w:pStyle w:val="73"/>
                    <w:overflowPunct w:val="0"/>
                    <w:topLinePunct/>
                    <w:autoSpaceDE w:val="0"/>
                    <w:autoSpaceDN w:val="0"/>
                  </w:pPr>
                  <w:r>
                    <w:rPr>
                      <w:rFonts w:hint="eastAsia"/>
                    </w:rPr>
                    <w:t>新建</w:t>
                  </w:r>
                </w:p>
              </w:tc>
            </w:tr>
          </w:tbl>
          <w:p w14:paraId="4C6684B7">
            <w:pPr>
              <w:adjustRightInd w:val="0"/>
              <w:snapToGrid w:val="0"/>
              <w:spacing w:line="480" w:lineRule="exact"/>
              <w:ind w:firstLine="482" w:firstLineChars="200"/>
              <w:rPr>
                <w:rFonts w:cs="宋体"/>
                <w:b/>
                <w:bCs/>
                <w:color w:val="000000"/>
                <w:kern w:val="0"/>
                <w:szCs w:val="21"/>
              </w:rPr>
            </w:pPr>
            <w:r>
              <w:rPr>
                <w:rFonts w:hint="eastAsia" w:cs="宋体"/>
                <w:b/>
                <w:bCs/>
                <w:color w:val="000000"/>
                <w:kern w:val="0"/>
                <w:szCs w:val="21"/>
              </w:rPr>
              <w:t>3、主要设备设施</w:t>
            </w:r>
          </w:p>
          <w:p w14:paraId="71E20A64">
            <w:pPr>
              <w:adjustRightInd w:val="0"/>
              <w:snapToGrid w:val="0"/>
              <w:spacing w:line="480" w:lineRule="exact"/>
              <w:ind w:firstLine="480" w:firstLineChars="200"/>
              <w:rPr>
                <w:rFonts w:cs="宋体"/>
                <w:bCs/>
                <w:color w:val="000000"/>
                <w:szCs w:val="21"/>
              </w:rPr>
            </w:pPr>
            <w:r>
              <w:rPr>
                <w:rFonts w:hint="eastAsia" w:cs="宋体"/>
                <w:bCs/>
                <w:color w:val="000000"/>
                <w:szCs w:val="21"/>
              </w:rPr>
              <w:t>本工程主要设备设施情况见下表。</w:t>
            </w:r>
          </w:p>
          <w:p w14:paraId="068DDCB5">
            <w:pPr>
              <w:autoSpaceDE w:val="0"/>
              <w:autoSpaceDN w:val="0"/>
              <w:adjustRightInd w:val="0"/>
              <w:snapToGrid w:val="0"/>
              <w:spacing w:line="480" w:lineRule="exact"/>
              <w:ind w:firstLine="480"/>
              <w:jc w:val="center"/>
              <w:rPr>
                <w:rFonts w:eastAsia="黑体" w:cs="宋体"/>
                <w:color w:val="000000"/>
                <w:kern w:val="0"/>
                <w:szCs w:val="21"/>
              </w:rPr>
            </w:pPr>
            <w:r>
              <w:rPr>
                <w:rFonts w:hint="eastAsia" w:eastAsia="黑体" w:cs="宋体"/>
                <w:color w:val="000000"/>
                <w:kern w:val="0"/>
                <w:szCs w:val="21"/>
              </w:rPr>
              <w:t>表</w:t>
            </w:r>
            <w:r>
              <w:rPr>
                <w:rFonts w:eastAsia="黑体" w:cs="宋体"/>
                <w:color w:val="000000"/>
                <w:kern w:val="0"/>
                <w:szCs w:val="21"/>
              </w:rPr>
              <w:t>2.</w:t>
            </w:r>
            <w:r>
              <w:rPr>
                <w:rFonts w:hint="eastAsia" w:eastAsia="黑体" w:cs="宋体"/>
                <w:color w:val="000000"/>
                <w:kern w:val="0"/>
                <w:szCs w:val="21"/>
              </w:rPr>
              <w:t>3</w:t>
            </w:r>
            <w:r>
              <w:rPr>
                <w:rFonts w:eastAsia="黑体" w:cs="宋体"/>
                <w:color w:val="000000"/>
                <w:kern w:val="0"/>
                <w:szCs w:val="21"/>
              </w:rPr>
              <w:t xml:space="preserve">  </w:t>
            </w:r>
            <w:r>
              <w:rPr>
                <w:rFonts w:hint="eastAsia" w:eastAsia="黑体" w:cs="宋体"/>
                <w:color w:val="000000"/>
                <w:kern w:val="0"/>
                <w:szCs w:val="21"/>
              </w:rPr>
              <w:t>本工程主要设备设施一览表</w:t>
            </w:r>
          </w:p>
          <w:tbl>
            <w:tblPr>
              <w:tblStyle w:val="28"/>
              <w:tblW w:w="5000"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751"/>
              <w:gridCol w:w="3159"/>
              <w:gridCol w:w="1896"/>
              <w:gridCol w:w="1170"/>
              <w:gridCol w:w="1465"/>
            </w:tblGrid>
            <w:tr w14:paraId="5C97EA9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44" w:type="pct"/>
                  <w:vAlign w:val="center"/>
                </w:tcPr>
                <w:p w14:paraId="13CBDD72">
                  <w:pPr>
                    <w:pStyle w:val="73"/>
                    <w:overflowPunct w:val="0"/>
                    <w:topLinePunct/>
                    <w:autoSpaceDE w:val="0"/>
                    <w:autoSpaceDN w:val="0"/>
                  </w:pPr>
                  <w:r>
                    <w:rPr>
                      <w:rFonts w:hint="eastAsia"/>
                    </w:rPr>
                    <w:t>序号</w:t>
                  </w:r>
                </w:p>
              </w:tc>
              <w:tc>
                <w:tcPr>
                  <w:tcW w:w="1870" w:type="pct"/>
                  <w:vAlign w:val="center"/>
                </w:tcPr>
                <w:p w14:paraId="15AF6767">
                  <w:pPr>
                    <w:pStyle w:val="73"/>
                    <w:overflowPunct w:val="0"/>
                    <w:topLinePunct/>
                    <w:autoSpaceDE w:val="0"/>
                    <w:autoSpaceDN w:val="0"/>
                  </w:pPr>
                  <w:r>
                    <w:rPr>
                      <w:rFonts w:hint="eastAsia"/>
                    </w:rPr>
                    <w:t>设备设施名称</w:t>
                  </w:r>
                </w:p>
              </w:tc>
              <w:tc>
                <w:tcPr>
                  <w:tcW w:w="1123" w:type="pct"/>
                  <w:vAlign w:val="center"/>
                </w:tcPr>
                <w:p w14:paraId="3227B243">
                  <w:pPr>
                    <w:pStyle w:val="73"/>
                    <w:overflowPunct w:val="0"/>
                    <w:topLinePunct/>
                    <w:autoSpaceDE w:val="0"/>
                    <w:autoSpaceDN w:val="0"/>
                  </w:pPr>
                  <w:r>
                    <w:rPr>
                      <w:rFonts w:hint="eastAsia"/>
                    </w:rPr>
                    <w:t>规格/型号</w:t>
                  </w:r>
                </w:p>
              </w:tc>
              <w:tc>
                <w:tcPr>
                  <w:tcW w:w="693" w:type="pct"/>
                  <w:vAlign w:val="center"/>
                </w:tcPr>
                <w:p w14:paraId="61F517D9">
                  <w:pPr>
                    <w:pStyle w:val="73"/>
                    <w:overflowPunct w:val="0"/>
                    <w:topLinePunct/>
                    <w:autoSpaceDE w:val="0"/>
                    <w:autoSpaceDN w:val="0"/>
                  </w:pPr>
                  <w:r>
                    <w:rPr>
                      <w:rFonts w:hint="eastAsia"/>
                    </w:rPr>
                    <w:t>数量（台/套）</w:t>
                  </w:r>
                </w:p>
              </w:tc>
              <w:tc>
                <w:tcPr>
                  <w:tcW w:w="868" w:type="pct"/>
                  <w:vAlign w:val="center"/>
                </w:tcPr>
                <w:p w14:paraId="2548ACFD">
                  <w:pPr>
                    <w:pStyle w:val="73"/>
                    <w:overflowPunct w:val="0"/>
                    <w:topLinePunct/>
                    <w:autoSpaceDE w:val="0"/>
                    <w:autoSpaceDN w:val="0"/>
                  </w:pPr>
                  <w:r>
                    <w:rPr>
                      <w:rFonts w:hint="eastAsia"/>
                    </w:rPr>
                    <w:t>备注</w:t>
                  </w:r>
                </w:p>
              </w:tc>
            </w:tr>
            <w:tr w14:paraId="2959058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44" w:type="pct"/>
                  <w:vAlign w:val="center"/>
                </w:tcPr>
                <w:p w14:paraId="53EC73EC">
                  <w:pPr>
                    <w:pStyle w:val="73"/>
                    <w:overflowPunct w:val="0"/>
                    <w:topLinePunct/>
                    <w:autoSpaceDE w:val="0"/>
                    <w:autoSpaceDN w:val="0"/>
                  </w:pPr>
                  <w:r>
                    <w:rPr>
                      <w:rFonts w:hint="eastAsia"/>
                    </w:rPr>
                    <w:t>1</w:t>
                  </w:r>
                </w:p>
              </w:tc>
              <w:tc>
                <w:tcPr>
                  <w:tcW w:w="1870" w:type="pct"/>
                  <w:vAlign w:val="center"/>
                </w:tcPr>
                <w:p w14:paraId="526F1D88">
                  <w:pPr>
                    <w:pStyle w:val="73"/>
                    <w:overflowPunct w:val="0"/>
                    <w:topLinePunct/>
                    <w:autoSpaceDE w:val="0"/>
                    <w:autoSpaceDN w:val="0"/>
                  </w:pPr>
                  <w:r>
                    <w:t>危废规范化终端</w:t>
                  </w:r>
                  <w:r>
                    <w:rPr>
                      <w:rFonts w:hint="eastAsia"/>
                    </w:rPr>
                    <w:t>（含软件、电子秤、标签打印机）</w:t>
                  </w:r>
                </w:p>
              </w:tc>
              <w:tc>
                <w:tcPr>
                  <w:tcW w:w="1123" w:type="pct"/>
                  <w:vAlign w:val="center"/>
                </w:tcPr>
                <w:p w14:paraId="62E6AF0D">
                  <w:pPr>
                    <w:pStyle w:val="73"/>
                    <w:overflowPunct w:val="0"/>
                    <w:topLinePunct/>
                    <w:autoSpaceDE w:val="0"/>
                    <w:autoSpaceDN w:val="0"/>
                  </w:pPr>
                  <w:r>
                    <w:rPr>
                      <w:rFonts w:hint="eastAsia"/>
                    </w:rPr>
                    <w:t>神采</w:t>
                  </w:r>
                </w:p>
              </w:tc>
              <w:tc>
                <w:tcPr>
                  <w:tcW w:w="693" w:type="pct"/>
                  <w:vAlign w:val="center"/>
                </w:tcPr>
                <w:p w14:paraId="1EBD7778">
                  <w:pPr>
                    <w:pStyle w:val="73"/>
                    <w:overflowPunct w:val="0"/>
                    <w:topLinePunct/>
                    <w:autoSpaceDE w:val="0"/>
                    <w:autoSpaceDN w:val="0"/>
                  </w:pPr>
                  <w:r>
                    <w:rPr>
                      <w:rFonts w:hint="eastAsia"/>
                    </w:rPr>
                    <w:t>1</w:t>
                  </w:r>
                </w:p>
              </w:tc>
              <w:tc>
                <w:tcPr>
                  <w:tcW w:w="868" w:type="pct"/>
                  <w:vAlign w:val="center"/>
                </w:tcPr>
                <w:p w14:paraId="044D95ED">
                  <w:pPr>
                    <w:pStyle w:val="73"/>
                    <w:overflowPunct w:val="0"/>
                    <w:topLinePunct/>
                    <w:autoSpaceDE w:val="0"/>
                    <w:autoSpaceDN w:val="0"/>
                  </w:pPr>
                  <w:r>
                    <w:rPr>
                      <w:rFonts w:hint="eastAsia"/>
                    </w:rPr>
                    <w:t>新增</w:t>
                  </w:r>
                </w:p>
              </w:tc>
            </w:tr>
            <w:tr w14:paraId="4635105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44" w:type="pct"/>
                  <w:vAlign w:val="center"/>
                </w:tcPr>
                <w:p w14:paraId="382A967E">
                  <w:pPr>
                    <w:pStyle w:val="73"/>
                    <w:overflowPunct w:val="0"/>
                    <w:topLinePunct/>
                    <w:autoSpaceDE w:val="0"/>
                    <w:autoSpaceDN w:val="0"/>
                  </w:pPr>
                  <w:r>
                    <w:rPr>
                      <w:rFonts w:hint="eastAsia"/>
                    </w:rPr>
                    <w:t>2</w:t>
                  </w:r>
                </w:p>
              </w:tc>
              <w:tc>
                <w:tcPr>
                  <w:tcW w:w="1870" w:type="pct"/>
                  <w:vAlign w:val="center"/>
                </w:tcPr>
                <w:p w14:paraId="325D7D3D">
                  <w:pPr>
                    <w:pStyle w:val="73"/>
                    <w:overflowPunct w:val="0"/>
                    <w:topLinePunct/>
                    <w:autoSpaceDE w:val="0"/>
                    <w:autoSpaceDN w:val="0"/>
                  </w:pPr>
                  <w:r>
                    <w:rPr>
                      <w:rFonts w:hint="eastAsia"/>
                    </w:rPr>
                    <w:t>路由器</w:t>
                  </w:r>
                </w:p>
              </w:tc>
              <w:tc>
                <w:tcPr>
                  <w:tcW w:w="1123" w:type="pct"/>
                  <w:vAlign w:val="center"/>
                </w:tcPr>
                <w:p w14:paraId="02A751FD">
                  <w:pPr>
                    <w:pStyle w:val="73"/>
                    <w:overflowPunct w:val="0"/>
                    <w:topLinePunct/>
                    <w:autoSpaceDE w:val="0"/>
                    <w:autoSpaceDN w:val="0"/>
                  </w:pPr>
                  <w:r>
                    <w:rPr>
                      <w:rFonts w:hint="eastAsia"/>
                    </w:rPr>
                    <w:t>锐捷</w:t>
                  </w:r>
                </w:p>
              </w:tc>
              <w:tc>
                <w:tcPr>
                  <w:tcW w:w="693" w:type="pct"/>
                  <w:vAlign w:val="center"/>
                </w:tcPr>
                <w:p w14:paraId="705220A6">
                  <w:pPr>
                    <w:pStyle w:val="73"/>
                    <w:overflowPunct w:val="0"/>
                    <w:topLinePunct/>
                    <w:autoSpaceDE w:val="0"/>
                    <w:autoSpaceDN w:val="0"/>
                  </w:pPr>
                  <w:r>
                    <w:rPr>
                      <w:rFonts w:hint="eastAsia"/>
                    </w:rPr>
                    <w:t>1</w:t>
                  </w:r>
                </w:p>
              </w:tc>
              <w:tc>
                <w:tcPr>
                  <w:tcW w:w="868" w:type="pct"/>
                  <w:vAlign w:val="center"/>
                </w:tcPr>
                <w:p w14:paraId="46AA63D5">
                  <w:pPr>
                    <w:pStyle w:val="73"/>
                    <w:overflowPunct w:val="0"/>
                    <w:topLinePunct/>
                    <w:autoSpaceDE w:val="0"/>
                    <w:autoSpaceDN w:val="0"/>
                  </w:pPr>
                  <w:r>
                    <w:rPr>
                      <w:rFonts w:hint="eastAsia"/>
                    </w:rPr>
                    <w:t>新增</w:t>
                  </w:r>
                </w:p>
              </w:tc>
            </w:tr>
            <w:tr w14:paraId="0B658A5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44" w:type="pct"/>
                  <w:vAlign w:val="center"/>
                </w:tcPr>
                <w:p w14:paraId="5FF64A4A">
                  <w:pPr>
                    <w:pStyle w:val="73"/>
                    <w:overflowPunct w:val="0"/>
                    <w:topLinePunct/>
                    <w:autoSpaceDE w:val="0"/>
                    <w:autoSpaceDN w:val="0"/>
                  </w:pPr>
                  <w:r>
                    <w:rPr>
                      <w:rFonts w:hint="eastAsia"/>
                    </w:rPr>
                    <w:t>3</w:t>
                  </w:r>
                </w:p>
              </w:tc>
              <w:tc>
                <w:tcPr>
                  <w:tcW w:w="1870" w:type="pct"/>
                  <w:vAlign w:val="center"/>
                </w:tcPr>
                <w:p w14:paraId="4F163999">
                  <w:pPr>
                    <w:pStyle w:val="73"/>
                    <w:overflowPunct w:val="0"/>
                    <w:topLinePunct/>
                    <w:autoSpaceDE w:val="0"/>
                    <w:autoSpaceDN w:val="0"/>
                  </w:pPr>
                  <w:r>
                    <w:rPr>
                      <w:rFonts w:hint="eastAsia"/>
                    </w:rPr>
                    <w:t>监控支架</w:t>
                  </w:r>
                </w:p>
              </w:tc>
              <w:tc>
                <w:tcPr>
                  <w:tcW w:w="1123" w:type="pct"/>
                  <w:vAlign w:val="center"/>
                </w:tcPr>
                <w:p w14:paraId="70959CEF">
                  <w:pPr>
                    <w:pStyle w:val="73"/>
                    <w:overflowPunct w:val="0"/>
                    <w:topLinePunct/>
                    <w:autoSpaceDE w:val="0"/>
                    <w:autoSpaceDN w:val="0"/>
                  </w:pPr>
                  <w:r>
                    <w:rPr>
                      <w:rFonts w:hint="eastAsia"/>
                    </w:rPr>
                    <w:t>DS-1212J</w:t>
                  </w:r>
                </w:p>
              </w:tc>
              <w:tc>
                <w:tcPr>
                  <w:tcW w:w="693" w:type="pct"/>
                  <w:vAlign w:val="center"/>
                </w:tcPr>
                <w:p w14:paraId="0BECA53B">
                  <w:pPr>
                    <w:pStyle w:val="73"/>
                    <w:overflowPunct w:val="0"/>
                    <w:topLinePunct/>
                    <w:autoSpaceDE w:val="0"/>
                    <w:autoSpaceDN w:val="0"/>
                  </w:pPr>
                  <w:r>
                    <w:rPr>
                      <w:rFonts w:hint="eastAsia"/>
                    </w:rPr>
                    <w:t>5</w:t>
                  </w:r>
                </w:p>
              </w:tc>
              <w:tc>
                <w:tcPr>
                  <w:tcW w:w="868" w:type="pct"/>
                  <w:vAlign w:val="center"/>
                </w:tcPr>
                <w:p w14:paraId="6BBCFA5D">
                  <w:pPr>
                    <w:pStyle w:val="73"/>
                    <w:overflowPunct w:val="0"/>
                    <w:topLinePunct/>
                    <w:autoSpaceDE w:val="0"/>
                    <w:autoSpaceDN w:val="0"/>
                  </w:pPr>
                  <w:r>
                    <w:rPr>
                      <w:rFonts w:hint="eastAsia"/>
                    </w:rPr>
                    <w:t>新增</w:t>
                  </w:r>
                </w:p>
              </w:tc>
            </w:tr>
            <w:tr w14:paraId="1D7D3B1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44" w:type="pct"/>
                  <w:vAlign w:val="center"/>
                </w:tcPr>
                <w:p w14:paraId="62204258">
                  <w:pPr>
                    <w:pStyle w:val="73"/>
                    <w:overflowPunct w:val="0"/>
                    <w:topLinePunct/>
                    <w:autoSpaceDE w:val="0"/>
                    <w:autoSpaceDN w:val="0"/>
                  </w:pPr>
                  <w:r>
                    <w:rPr>
                      <w:rFonts w:hint="eastAsia"/>
                    </w:rPr>
                    <w:t>4</w:t>
                  </w:r>
                </w:p>
              </w:tc>
              <w:tc>
                <w:tcPr>
                  <w:tcW w:w="1870" w:type="pct"/>
                  <w:vAlign w:val="center"/>
                </w:tcPr>
                <w:p w14:paraId="20BB1A08">
                  <w:pPr>
                    <w:pStyle w:val="73"/>
                    <w:overflowPunct w:val="0"/>
                    <w:topLinePunct/>
                    <w:autoSpaceDE w:val="0"/>
                    <w:autoSpaceDN w:val="0"/>
                  </w:pPr>
                  <w:r>
                    <w:rPr>
                      <w:rFonts w:hint="eastAsia"/>
                    </w:rPr>
                    <w:t>监控设备</w:t>
                  </w:r>
                </w:p>
              </w:tc>
              <w:tc>
                <w:tcPr>
                  <w:tcW w:w="1123" w:type="pct"/>
                  <w:vAlign w:val="center"/>
                </w:tcPr>
                <w:p w14:paraId="6AA6D336">
                  <w:pPr>
                    <w:pStyle w:val="73"/>
                    <w:overflowPunct w:val="0"/>
                    <w:topLinePunct/>
                    <w:autoSpaceDE w:val="0"/>
                    <w:autoSpaceDN w:val="0"/>
                  </w:pPr>
                  <w:r>
                    <w:rPr>
                      <w:rFonts w:hint="eastAsia"/>
                    </w:rPr>
                    <w:t>海康威视，DS-2CD2626EFWD-IZS(2.7-13.5mm)(B)</w:t>
                  </w:r>
                </w:p>
              </w:tc>
              <w:tc>
                <w:tcPr>
                  <w:tcW w:w="693" w:type="pct"/>
                  <w:vAlign w:val="center"/>
                </w:tcPr>
                <w:p w14:paraId="22B67280">
                  <w:pPr>
                    <w:pStyle w:val="73"/>
                    <w:overflowPunct w:val="0"/>
                    <w:topLinePunct/>
                    <w:autoSpaceDE w:val="0"/>
                    <w:autoSpaceDN w:val="0"/>
                  </w:pPr>
                  <w:r>
                    <w:rPr>
                      <w:rFonts w:hint="eastAsia"/>
                    </w:rPr>
                    <w:t>5</w:t>
                  </w:r>
                </w:p>
              </w:tc>
              <w:tc>
                <w:tcPr>
                  <w:tcW w:w="868" w:type="pct"/>
                  <w:vAlign w:val="center"/>
                </w:tcPr>
                <w:p w14:paraId="43E0CE64">
                  <w:pPr>
                    <w:pStyle w:val="73"/>
                    <w:overflowPunct w:val="0"/>
                    <w:topLinePunct/>
                    <w:autoSpaceDE w:val="0"/>
                    <w:autoSpaceDN w:val="0"/>
                  </w:pPr>
                  <w:r>
                    <w:rPr>
                      <w:rFonts w:hint="eastAsia"/>
                    </w:rPr>
                    <w:t>新增</w:t>
                  </w:r>
                </w:p>
              </w:tc>
            </w:tr>
            <w:tr w14:paraId="65CC69E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44" w:type="pct"/>
                  <w:vAlign w:val="center"/>
                </w:tcPr>
                <w:p w14:paraId="60A72125">
                  <w:pPr>
                    <w:pStyle w:val="73"/>
                    <w:overflowPunct w:val="0"/>
                    <w:topLinePunct/>
                    <w:autoSpaceDE w:val="0"/>
                    <w:autoSpaceDN w:val="0"/>
                  </w:pPr>
                  <w:r>
                    <w:rPr>
                      <w:rFonts w:hint="eastAsia"/>
                    </w:rPr>
                    <w:t>5</w:t>
                  </w:r>
                </w:p>
              </w:tc>
              <w:tc>
                <w:tcPr>
                  <w:tcW w:w="1870" w:type="pct"/>
                  <w:vAlign w:val="center"/>
                </w:tcPr>
                <w:p w14:paraId="0E03501D">
                  <w:pPr>
                    <w:pStyle w:val="73"/>
                    <w:overflowPunct w:val="0"/>
                    <w:topLinePunct/>
                    <w:autoSpaceDE w:val="0"/>
                    <w:autoSpaceDN w:val="0"/>
                  </w:pPr>
                  <w:r>
                    <w:rPr>
                      <w:rFonts w:hint="eastAsia"/>
                    </w:rPr>
                    <w:t>设备箱</w:t>
                  </w:r>
                </w:p>
              </w:tc>
              <w:tc>
                <w:tcPr>
                  <w:tcW w:w="1123" w:type="pct"/>
                  <w:vAlign w:val="center"/>
                </w:tcPr>
                <w:p w14:paraId="75EF8C1E">
                  <w:pPr>
                    <w:pStyle w:val="73"/>
                    <w:overflowPunct w:val="0"/>
                    <w:topLinePunct/>
                    <w:autoSpaceDE w:val="0"/>
                    <w:autoSpaceDN w:val="0"/>
                  </w:pPr>
                  <w:r>
                    <w:rPr>
                      <w:rFonts w:hint="eastAsia"/>
                    </w:rPr>
                    <w:t>不锈钢300*400</w:t>
                  </w:r>
                </w:p>
              </w:tc>
              <w:tc>
                <w:tcPr>
                  <w:tcW w:w="693" w:type="pct"/>
                  <w:vAlign w:val="center"/>
                </w:tcPr>
                <w:p w14:paraId="6EEFECA1">
                  <w:pPr>
                    <w:pStyle w:val="73"/>
                    <w:overflowPunct w:val="0"/>
                    <w:topLinePunct/>
                    <w:autoSpaceDE w:val="0"/>
                    <w:autoSpaceDN w:val="0"/>
                  </w:pPr>
                  <w:r>
                    <w:rPr>
                      <w:rFonts w:hint="eastAsia"/>
                    </w:rPr>
                    <w:t>1</w:t>
                  </w:r>
                </w:p>
              </w:tc>
              <w:tc>
                <w:tcPr>
                  <w:tcW w:w="868" w:type="pct"/>
                  <w:vAlign w:val="center"/>
                </w:tcPr>
                <w:p w14:paraId="5663C6D0">
                  <w:pPr>
                    <w:pStyle w:val="73"/>
                    <w:overflowPunct w:val="0"/>
                    <w:topLinePunct/>
                    <w:autoSpaceDE w:val="0"/>
                    <w:autoSpaceDN w:val="0"/>
                  </w:pPr>
                  <w:r>
                    <w:rPr>
                      <w:rFonts w:hint="eastAsia"/>
                    </w:rPr>
                    <w:t>新增</w:t>
                  </w:r>
                </w:p>
              </w:tc>
            </w:tr>
            <w:tr w14:paraId="511BF7C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44" w:type="pct"/>
                  <w:vAlign w:val="center"/>
                </w:tcPr>
                <w:p w14:paraId="15F702D7">
                  <w:pPr>
                    <w:pStyle w:val="73"/>
                    <w:overflowPunct w:val="0"/>
                    <w:topLinePunct/>
                    <w:autoSpaceDE w:val="0"/>
                    <w:autoSpaceDN w:val="0"/>
                  </w:pPr>
                  <w:r>
                    <w:rPr>
                      <w:rFonts w:hint="eastAsia"/>
                    </w:rPr>
                    <w:t>6</w:t>
                  </w:r>
                </w:p>
              </w:tc>
              <w:tc>
                <w:tcPr>
                  <w:tcW w:w="1870" w:type="pct"/>
                  <w:vAlign w:val="center"/>
                </w:tcPr>
                <w:p w14:paraId="176D59F2">
                  <w:pPr>
                    <w:pStyle w:val="73"/>
                    <w:overflowPunct w:val="0"/>
                    <w:topLinePunct/>
                    <w:autoSpaceDE w:val="0"/>
                    <w:autoSpaceDN w:val="0"/>
                  </w:pPr>
                  <w:r>
                    <w:rPr>
                      <w:rFonts w:hint="eastAsia"/>
                    </w:rPr>
                    <w:t>叉车</w:t>
                  </w:r>
                </w:p>
              </w:tc>
              <w:tc>
                <w:tcPr>
                  <w:tcW w:w="1123" w:type="pct"/>
                  <w:vAlign w:val="center"/>
                </w:tcPr>
                <w:p w14:paraId="5237C741">
                  <w:pPr>
                    <w:pStyle w:val="73"/>
                    <w:overflowPunct w:val="0"/>
                    <w:topLinePunct/>
                    <w:autoSpaceDE w:val="0"/>
                    <w:autoSpaceDN w:val="0"/>
                  </w:pPr>
                  <w:r>
                    <w:rPr>
                      <w:rFonts w:hint="eastAsia"/>
                    </w:rPr>
                    <w:t>/</w:t>
                  </w:r>
                </w:p>
              </w:tc>
              <w:tc>
                <w:tcPr>
                  <w:tcW w:w="693" w:type="pct"/>
                  <w:vAlign w:val="center"/>
                </w:tcPr>
                <w:p w14:paraId="2F83FC51">
                  <w:pPr>
                    <w:pStyle w:val="73"/>
                    <w:overflowPunct w:val="0"/>
                    <w:topLinePunct/>
                    <w:autoSpaceDE w:val="0"/>
                    <w:autoSpaceDN w:val="0"/>
                  </w:pPr>
                  <w:r>
                    <w:rPr>
                      <w:rFonts w:hint="eastAsia"/>
                    </w:rPr>
                    <w:t>1</w:t>
                  </w:r>
                </w:p>
              </w:tc>
              <w:tc>
                <w:tcPr>
                  <w:tcW w:w="868" w:type="pct"/>
                  <w:vAlign w:val="center"/>
                </w:tcPr>
                <w:p w14:paraId="5BBEF24B">
                  <w:pPr>
                    <w:pStyle w:val="73"/>
                    <w:overflowPunct w:val="0"/>
                    <w:topLinePunct/>
                    <w:autoSpaceDE w:val="0"/>
                    <w:autoSpaceDN w:val="0"/>
                  </w:pPr>
                  <w:r>
                    <w:rPr>
                      <w:rFonts w:hint="eastAsia"/>
                    </w:rPr>
                    <w:t>利旧，厂内调配</w:t>
                  </w:r>
                </w:p>
              </w:tc>
            </w:tr>
          </w:tbl>
          <w:p w14:paraId="123DBCEA">
            <w:pPr>
              <w:adjustRightInd w:val="0"/>
              <w:snapToGrid w:val="0"/>
              <w:spacing w:line="480" w:lineRule="exact"/>
              <w:ind w:firstLine="482" w:firstLineChars="200"/>
              <w:rPr>
                <w:rFonts w:cs="宋体"/>
                <w:b/>
                <w:color w:val="000000"/>
                <w:szCs w:val="21"/>
              </w:rPr>
            </w:pPr>
            <w:r>
              <w:rPr>
                <w:rFonts w:hint="eastAsia" w:cs="宋体"/>
                <w:b/>
                <w:color w:val="000000"/>
                <w:szCs w:val="21"/>
              </w:rPr>
              <w:t>4、贮存危废种类</w:t>
            </w:r>
          </w:p>
          <w:p w14:paraId="06C2AA2F">
            <w:pPr>
              <w:adjustRightInd w:val="0"/>
              <w:snapToGrid w:val="0"/>
              <w:spacing w:line="480" w:lineRule="exact"/>
              <w:ind w:firstLine="480" w:firstLineChars="200"/>
              <w:rPr>
                <w:rFonts w:cs="宋体"/>
                <w:bCs/>
                <w:color w:val="000000"/>
                <w:szCs w:val="21"/>
              </w:rPr>
            </w:pPr>
            <w:r>
              <w:rPr>
                <w:rFonts w:hint="eastAsia" w:cs="宋体"/>
                <w:bCs/>
                <w:color w:val="000000"/>
                <w:szCs w:val="21"/>
              </w:rPr>
              <w:t>本项目危废库存放种类见下表。</w:t>
            </w:r>
          </w:p>
          <w:p w14:paraId="14AF3F01">
            <w:pPr>
              <w:autoSpaceDE w:val="0"/>
              <w:autoSpaceDN w:val="0"/>
              <w:adjustRightInd w:val="0"/>
              <w:snapToGrid w:val="0"/>
              <w:spacing w:line="480" w:lineRule="exact"/>
              <w:ind w:firstLine="480"/>
              <w:jc w:val="center"/>
              <w:rPr>
                <w:rFonts w:eastAsia="黑体" w:cs="宋体"/>
                <w:color w:val="000000"/>
                <w:kern w:val="0"/>
                <w:szCs w:val="21"/>
              </w:rPr>
            </w:pPr>
            <w:r>
              <w:rPr>
                <w:rFonts w:hint="eastAsia" w:eastAsia="黑体" w:cs="宋体"/>
                <w:color w:val="000000"/>
                <w:kern w:val="0"/>
                <w:szCs w:val="21"/>
              </w:rPr>
              <w:t>表</w:t>
            </w:r>
            <w:r>
              <w:rPr>
                <w:rFonts w:eastAsia="黑体" w:cs="宋体"/>
                <w:color w:val="000000"/>
                <w:kern w:val="0"/>
                <w:szCs w:val="21"/>
              </w:rPr>
              <w:t>2.</w:t>
            </w:r>
            <w:r>
              <w:rPr>
                <w:rFonts w:hint="eastAsia" w:eastAsia="黑体" w:cs="宋体"/>
                <w:color w:val="000000"/>
                <w:kern w:val="0"/>
                <w:szCs w:val="21"/>
              </w:rPr>
              <w:t>4</w:t>
            </w:r>
            <w:r>
              <w:rPr>
                <w:rFonts w:eastAsia="黑体" w:cs="宋体"/>
                <w:color w:val="000000"/>
                <w:kern w:val="0"/>
                <w:szCs w:val="21"/>
              </w:rPr>
              <w:t xml:space="preserve">  </w:t>
            </w:r>
            <w:r>
              <w:rPr>
                <w:rFonts w:hint="eastAsia" w:eastAsia="黑体" w:cs="宋体"/>
                <w:color w:val="000000"/>
                <w:kern w:val="0"/>
                <w:szCs w:val="21"/>
              </w:rPr>
              <w:t>危废库存储危废种类一览表</w:t>
            </w:r>
          </w:p>
          <w:tbl>
            <w:tblPr>
              <w:tblStyle w:val="28"/>
              <w:tblW w:w="5000"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487"/>
              <w:gridCol w:w="751"/>
              <w:gridCol w:w="674"/>
              <w:gridCol w:w="615"/>
              <w:gridCol w:w="915"/>
              <w:gridCol w:w="750"/>
              <w:gridCol w:w="434"/>
              <w:gridCol w:w="628"/>
              <w:gridCol w:w="3187"/>
            </w:tblGrid>
            <w:tr w14:paraId="1D51FA1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88" w:type="pct"/>
                  <w:vAlign w:val="center"/>
                </w:tcPr>
                <w:p w14:paraId="462A64C1">
                  <w:pPr>
                    <w:pStyle w:val="73"/>
                    <w:overflowPunct w:val="0"/>
                    <w:topLinePunct/>
                    <w:autoSpaceDE w:val="0"/>
                    <w:autoSpaceDN w:val="0"/>
                  </w:pPr>
                  <w:r>
                    <w:rPr>
                      <w:rFonts w:hint="eastAsia"/>
                    </w:rPr>
                    <w:t>序号</w:t>
                  </w:r>
                </w:p>
              </w:tc>
              <w:tc>
                <w:tcPr>
                  <w:tcW w:w="444" w:type="pct"/>
                  <w:vAlign w:val="center"/>
                </w:tcPr>
                <w:p w14:paraId="2F414EBE">
                  <w:pPr>
                    <w:pStyle w:val="73"/>
                    <w:overflowPunct w:val="0"/>
                    <w:topLinePunct/>
                    <w:autoSpaceDE w:val="0"/>
                    <w:autoSpaceDN w:val="0"/>
                  </w:pPr>
                  <w:r>
                    <w:rPr>
                      <w:rFonts w:hint="eastAsia"/>
                    </w:rPr>
                    <w:t>名称</w:t>
                  </w:r>
                </w:p>
              </w:tc>
              <w:tc>
                <w:tcPr>
                  <w:tcW w:w="399" w:type="pct"/>
                  <w:vAlign w:val="center"/>
                </w:tcPr>
                <w:p w14:paraId="1D1D40D0">
                  <w:pPr>
                    <w:pStyle w:val="73"/>
                    <w:overflowPunct w:val="0"/>
                    <w:topLinePunct/>
                    <w:autoSpaceDE w:val="0"/>
                    <w:autoSpaceDN w:val="0"/>
                  </w:pPr>
                  <w:r>
                    <w:rPr>
                      <w:rFonts w:hint="eastAsia"/>
                    </w:rPr>
                    <w:t>产生环节</w:t>
                  </w:r>
                </w:p>
              </w:tc>
              <w:tc>
                <w:tcPr>
                  <w:tcW w:w="364" w:type="pct"/>
                  <w:vAlign w:val="center"/>
                </w:tcPr>
                <w:p w14:paraId="3B54FD60">
                  <w:pPr>
                    <w:pStyle w:val="73"/>
                    <w:overflowPunct w:val="0"/>
                    <w:topLinePunct/>
                    <w:autoSpaceDE w:val="0"/>
                    <w:autoSpaceDN w:val="0"/>
                  </w:pPr>
                  <w:r>
                    <w:rPr>
                      <w:rFonts w:hint="eastAsia"/>
                    </w:rPr>
                    <w:t>产生量t/a</w:t>
                  </w:r>
                </w:p>
              </w:tc>
              <w:tc>
                <w:tcPr>
                  <w:tcW w:w="541" w:type="pct"/>
                  <w:vAlign w:val="center"/>
                </w:tcPr>
                <w:p w14:paraId="30C5CC4C">
                  <w:pPr>
                    <w:pStyle w:val="73"/>
                    <w:overflowPunct w:val="0"/>
                    <w:topLinePunct/>
                    <w:autoSpaceDE w:val="0"/>
                    <w:autoSpaceDN w:val="0"/>
                  </w:pPr>
                  <w:r>
                    <w:rPr>
                      <w:rFonts w:hint="eastAsia"/>
                    </w:rPr>
                    <w:t>类别及代码</w:t>
                  </w:r>
                </w:p>
              </w:tc>
              <w:tc>
                <w:tcPr>
                  <w:tcW w:w="444" w:type="pct"/>
                  <w:vAlign w:val="center"/>
                </w:tcPr>
                <w:p w14:paraId="1C64A802">
                  <w:pPr>
                    <w:pStyle w:val="73"/>
                    <w:overflowPunct w:val="0"/>
                    <w:topLinePunct/>
                    <w:autoSpaceDE w:val="0"/>
                    <w:autoSpaceDN w:val="0"/>
                  </w:pPr>
                  <w:r>
                    <w:rPr>
                      <w:rFonts w:hint="eastAsia"/>
                    </w:rPr>
                    <w:t>储存方式</w:t>
                  </w:r>
                </w:p>
              </w:tc>
              <w:tc>
                <w:tcPr>
                  <w:tcW w:w="257" w:type="pct"/>
                  <w:vAlign w:val="center"/>
                </w:tcPr>
                <w:p w14:paraId="22BD54CF">
                  <w:pPr>
                    <w:pStyle w:val="73"/>
                    <w:overflowPunct w:val="0"/>
                    <w:topLinePunct/>
                    <w:autoSpaceDE w:val="0"/>
                    <w:autoSpaceDN w:val="0"/>
                  </w:pPr>
                  <w:r>
                    <w:rPr>
                      <w:rFonts w:hint="eastAsia"/>
                    </w:rPr>
                    <w:t>危险特性</w:t>
                  </w:r>
                </w:p>
              </w:tc>
              <w:tc>
                <w:tcPr>
                  <w:tcW w:w="372" w:type="pct"/>
                  <w:vAlign w:val="center"/>
                </w:tcPr>
                <w:p w14:paraId="1FC8657E">
                  <w:pPr>
                    <w:pStyle w:val="73"/>
                    <w:overflowPunct w:val="0"/>
                    <w:topLinePunct/>
                    <w:autoSpaceDE w:val="0"/>
                    <w:autoSpaceDN w:val="0"/>
                  </w:pPr>
                  <w:r>
                    <w:rPr>
                      <w:rFonts w:hint="eastAsia"/>
                    </w:rPr>
                    <w:t>周转频次</w:t>
                  </w:r>
                </w:p>
              </w:tc>
              <w:tc>
                <w:tcPr>
                  <w:tcW w:w="1886" w:type="pct"/>
                  <w:vAlign w:val="center"/>
                </w:tcPr>
                <w:p w14:paraId="30577E2F">
                  <w:pPr>
                    <w:pStyle w:val="73"/>
                    <w:overflowPunct w:val="0"/>
                    <w:topLinePunct/>
                    <w:autoSpaceDE w:val="0"/>
                    <w:autoSpaceDN w:val="0"/>
                  </w:pPr>
                  <w:r>
                    <w:rPr>
                      <w:rFonts w:hint="eastAsia"/>
                    </w:rPr>
                    <w:t>理化性质</w:t>
                  </w:r>
                </w:p>
              </w:tc>
            </w:tr>
            <w:tr w14:paraId="36FADE1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88" w:type="pct"/>
                  <w:vAlign w:val="center"/>
                </w:tcPr>
                <w:p w14:paraId="4667E41B">
                  <w:pPr>
                    <w:pStyle w:val="73"/>
                    <w:overflowPunct w:val="0"/>
                    <w:topLinePunct/>
                    <w:autoSpaceDE w:val="0"/>
                    <w:autoSpaceDN w:val="0"/>
                  </w:pPr>
                  <w:r>
                    <w:rPr>
                      <w:rFonts w:hint="eastAsia"/>
                    </w:rPr>
                    <w:t>1</w:t>
                  </w:r>
                </w:p>
              </w:tc>
              <w:tc>
                <w:tcPr>
                  <w:tcW w:w="444" w:type="pct"/>
                  <w:vAlign w:val="center"/>
                </w:tcPr>
                <w:p w14:paraId="2D1E346D">
                  <w:pPr>
                    <w:pStyle w:val="73"/>
                    <w:overflowPunct w:val="0"/>
                    <w:topLinePunct/>
                    <w:autoSpaceDE w:val="0"/>
                    <w:autoSpaceDN w:val="0"/>
                  </w:pPr>
                  <w:r>
                    <w:t>草酸盐</w:t>
                  </w:r>
                </w:p>
              </w:tc>
              <w:tc>
                <w:tcPr>
                  <w:tcW w:w="399" w:type="pct"/>
                  <w:vAlign w:val="center"/>
                </w:tcPr>
                <w:p w14:paraId="23298B6D">
                  <w:pPr>
                    <w:pStyle w:val="73"/>
                    <w:overflowPunct w:val="0"/>
                    <w:topLinePunct/>
                    <w:autoSpaceDE w:val="0"/>
                    <w:autoSpaceDN w:val="0"/>
                  </w:pPr>
                  <w:r>
                    <w:rPr>
                      <w:rFonts w:hint="eastAsia"/>
                    </w:rPr>
                    <w:t>草酸盐脱除工序</w:t>
                  </w:r>
                </w:p>
              </w:tc>
              <w:tc>
                <w:tcPr>
                  <w:tcW w:w="364" w:type="pct"/>
                  <w:vAlign w:val="center"/>
                </w:tcPr>
                <w:p w14:paraId="12B7F24F">
                  <w:pPr>
                    <w:pStyle w:val="73"/>
                    <w:overflowPunct w:val="0"/>
                    <w:topLinePunct/>
                    <w:autoSpaceDE w:val="0"/>
                    <w:autoSpaceDN w:val="0"/>
                  </w:pPr>
                  <w:r>
                    <w:rPr>
                      <w:rFonts w:hint="eastAsia"/>
                    </w:rPr>
                    <w:t>8000</w:t>
                  </w:r>
                </w:p>
              </w:tc>
              <w:tc>
                <w:tcPr>
                  <w:tcW w:w="541" w:type="pct"/>
                  <w:vAlign w:val="center"/>
                </w:tcPr>
                <w:p w14:paraId="6734167B">
                  <w:pPr>
                    <w:pStyle w:val="73"/>
                    <w:overflowPunct w:val="0"/>
                    <w:topLinePunct/>
                    <w:autoSpaceDE w:val="0"/>
                    <w:autoSpaceDN w:val="0"/>
                  </w:pPr>
                  <w:r>
                    <w:rPr>
                      <w:rFonts w:hint="eastAsia"/>
                    </w:rPr>
                    <w:t>HW35</w:t>
                  </w:r>
                </w:p>
                <w:p w14:paraId="42A2A2E1">
                  <w:pPr>
                    <w:pStyle w:val="73"/>
                    <w:overflowPunct w:val="0"/>
                    <w:topLinePunct/>
                    <w:autoSpaceDE w:val="0"/>
                    <w:autoSpaceDN w:val="0"/>
                  </w:pPr>
                  <w:r>
                    <w:rPr>
                      <w:rFonts w:hint="eastAsia"/>
                    </w:rPr>
                    <w:t>261-059-35</w:t>
                  </w:r>
                </w:p>
              </w:tc>
              <w:tc>
                <w:tcPr>
                  <w:tcW w:w="444" w:type="pct"/>
                  <w:vAlign w:val="center"/>
                </w:tcPr>
                <w:p w14:paraId="03D26F0F">
                  <w:pPr>
                    <w:pStyle w:val="73"/>
                    <w:overflowPunct w:val="0"/>
                    <w:topLinePunct/>
                    <w:autoSpaceDE w:val="0"/>
                    <w:autoSpaceDN w:val="0"/>
                  </w:pPr>
                  <w:r>
                    <w:rPr>
                      <w:rFonts w:hint="eastAsia"/>
                    </w:rPr>
                    <w:t>专用包装袋</w:t>
                  </w:r>
                </w:p>
              </w:tc>
              <w:tc>
                <w:tcPr>
                  <w:tcW w:w="257" w:type="pct"/>
                  <w:vAlign w:val="center"/>
                </w:tcPr>
                <w:p w14:paraId="462C5B47">
                  <w:pPr>
                    <w:pStyle w:val="73"/>
                    <w:overflowPunct w:val="0"/>
                    <w:topLinePunct/>
                    <w:autoSpaceDE w:val="0"/>
                    <w:autoSpaceDN w:val="0"/>
                  </w:pPr>
                  <w:r>
                    <w:rPr>
                      <w:rFonts w:hint="eastAsia"/>
                    </w:rPr>
                    <w:t>C</w:t>
                  </w:r>
                </w:p>
              </w:tc>
              <w:tc>
                <w:tcPr>
                  <w:tcW w:w="372" w:type="pct"/>
                  <w:vAlign w:val="center"/>
                </w:tcPr>
                <w:p w14:paraId="676E4FE4">
                  <w:pPr>
                    <w:pStyle w:val="73"/>
                    <w:overflowPunct w:val="0"/>
                    <w:topLinePunct/>
                    <w:autoSpaceDE w:val="0"/>
                    <w:autoSpaceDN w:val="0"/>
                  </w:pPr>
                  <w:r>
                    <w:rPr>
                      <w:rFonts w:hint="eastAsia"/>
                    </w:rPr>
                    <w:t>1次/每月</w:t>
                  </w:r>
                </w:p>
              </w:tc>
              <w:tc>
                <w:tcPr>
                  <w:tcW w:w="1886" w:type="pct"/>
                  <w:vAlign w:val="center"/>
                </w:tcPr>
                <w:p w14:paraId="255CEE74">
                  <w:pPr>
                    <w:pStyle w:val="73"/>
                    <w:overflowPunct w:val="0"/>
                    <w:topLinePunct/>
                    <w:autoSpaceDE w:val="0"/>
                    <w:autoSpaceDN w:val="0"/>
                  </w:pPr>
                  <w:r>
                    <w:rPr>
                      <w:rFonts w:hint="eastAsia"/>
                    </w:rPr>
                    <w:t>草酸盐含水率约30%，主要成分为Na</w:t>
                  </w:r>
                  <w:r>
                    <w:rPr>
                      <w:rFonts w:hint="eastAsia"/>
                      <w:vertAlign w:val="subscript"/>
                    </w:rPr>
                    <w:t>2</w:t>
                  </w:r>
                  <w:r>
                    <w:rPr>
                      <w:rFonts w:hint="eastAsia"/>
                    </w:rPr>
                    <w:t>C</w:t>
                  </w:r>
                  <w:r>
                    <w:rPr>
                      <w:rFonts w:hint="eastAsia"/>
                      <w:vertAlign w:val="subscript"/>
                    </w:rPr>
                    <w:t>2</w:t>
                  </w:r>
                  <w:r>
                    <w:rPr>
                      <w:rFonts w:hint="eastAsia"/>
                    </w:rPr>
                    <w:t>O</w:t>
                  </w:r>
                  <w:r>
                    <w:rPr>
                      <w:rFonts w:hint="eastAsia"/>
                      <w:vertAlign w:val="subscript"/>
                    </w:rPr>
                    <w:t>4</w:t>
                  </w:r>
                  <w:r>
                    <w:rPr>
                      <w:rFonts w:hint="eastAsia"/>
                    </w:rPr>
                    <w:t>、Na</w:t>
                  </w:r>
                  <w:r>
                    <w:rPr>
                      <w:rFonts w:hint="eastAsia"/>
                      <w:vertAlign w:val="subscript"/>
                    </w:rPr>
                    <w:t>2</w:t>
                  </w:r>
                  <w:r>
                    <w:rPr>
                      <w:rFonts w:hint="eastAsia"/>
                    </w:rPr>
                    <w:t>CO</w:t>
                  </w:r>
                  <w:r>
                    <w:rPr>
                      <w:rFonts w:hint="eastAsia"/>
                      <w:vertAlign w:val="subscript"/>
                    </w:rPr>
                    <w:t>3</w:t>
                  </w:r>
                  <w:r>
                    <w:rPr>
                      <w:rFonts w:hint="eastAsia"/>
                    </w:rPr>
                    <w:t>、NaHCO</w:t>
                  </w:r>
                  <w:r>
                    <w:rPr>
                      <w:rFonts w:hint="eastAsia"/>
                      <w:vertAlign w:val="subscript"/>
                    </w:rPr>
                    <w:t>3</w:t>
                  </w:r>
                  <w:r>
                    <w:rPr>
                      <w:rFonts w:hint="eastAsia"/>
                    </w:rPr>
                    <w:t>和Na</w:t>
                  </w:r>
                  <w:r>
                    <w:rPr>
                      <w:rFonts w:hint="eastAsia"/>
                      <w:vertAlign w:val="subscript"/>
                    </w:rPr>
                    <w:t>7</w:t>
                  </w:r>
                  <w:r>
                    <w:rPr>
                      <w:rFonts w:hint="eastAsia"/>
                    </w:rPr>
                    <w:t>（VO</w:t>
                  </w:r>
                  <w:r>
                    <w:rPr>
                      <w:rFonts w:hint="eastAsia"/>
                      <w:vertAlign w:val="subscript"/>
                    </w:rPr>
                    <w:t>4</w:t>
                  </w:r>
                  <w:r>
                    <w:rPr>
                      <w:rFonts w:hint="eastAsia"/>
                    </w:rPr>
                    <w:t>）</w:t>
                  </w:r>
                  <w:r>
                    <w:rPr>
                      <w:rFonts w:hint="eastAsia"/>
                      <w:vertAlign w:val="subscript"/>
                    </w:rPr>
                    <w:t>2</w:t>
                  </w:r>
                  <w:r>
                    <w:rPr>
                      <w:rFonts w:hint="eastAsia"/>
                    </w:rPr>
                    <w:t>F·19H</w:t>
                  </w:r>
                  <w:r>
                    <w:rPr>
                      <w:rFonts w:hint="eastAsia"/>
                      <w:vertAlign w:val="subscript"/>
                    </w:rPr>
                    <w:t>2</w:t>
                  </w:r>
                  <w:r>
                    <w:rPr>
                      <w:rFonts w:hint="eastAsia"/>
                    </w:rPr>
                    <w:t>O，不含挥发性有机成分。</w:t>
                  </w:r>
                </w:p>
                <w:p w14:paraId="74BC6C7F">
                  <w:pPr>
                    <w:pStyle w:val="73"/>
                    <w:overflowPunct w:val="0"/>
                    <w:topLinePunct/>
                    <w:autoSpaceDE w:val="0"/>
                    <w:autoSpaceDN w:val="0"/>
                  </w:pPr>
                  <w:r>
                    <w:t>草酸根可作配体，与很多金属离子形成配合物，尤其是螯合物。该离子中，含有一个平面的八电子π体系，电子稳定性特别突出。它属于还原性阴离子，可被氧化剂，如高锰酸钾氧化为二氧化碳。草酸盐有毒，人吞食可能导致肾脏疾病甚至死亡。</w:t>
                  </w:r>
                </w:p>
              </w:tc>
            </w:tr>
          </w:tbl>
          <w:p w14:paraId="7FFB0DA0">
            <w:pPr>
              <w:adjustRightInd w:val="0"/>
              <w:snapToGrid w:val="0"/>
              <w:spacing w:line="480" w:lineRule="exact"/>
              <w:ind w:firstLine="482" w:firstLineChars="200"/>
              <w:rPr>
                <w:rFonts w:cs="宋体"/>
                <w:b/>
                <w:color w:val="000000"/>
                <w:szCs w:val="21"/>
              </w:rPr>
            </w:pPr>
            <w:r>
              <w:rPr>
                <w:rFonts w:hint="eastAsia" w:cs="宋体"/>
                <w:b/>
                <w:color w:val="000000"/>
                <w:szCs w:val="21"/>
              </w:rPr>
              <w:t>5、原辅材料及资源能源消耗</w:t>
            </w:r>
          </w:p>
          <w:p w14:paraId="599DA650">
            <w:pPr>
              <w:adjustRightInd w:val="0"/>
              <w:snapToGrid w:val="0"/>
              <w:spacing w:line="480" w:lineRule="exact"/>
              <w:ind w:firstLine="480" w:firstLineChars="200"/>
              <w:rPr>
                <w:rFonts w:cs="宋体"/>
                <w:bCs/>
                <w:color w:val="000000"/>
                <w:szCs w:val="21"/>
              </w:rPr>
            </w:pPr>
            <w:r>
              <w:rPr>
                <w:rFonts w:hint="eastAsia" w:cs="宋体"/>
                <w:bCs/>
                <w:color w:val="000000"/>
                <w:szCs w:val="21"/>
              </w:rPr>
              <w:t>本项目运营期主要原辅料及能源消耗情况见下表。</w:t>
            </w:r>
          </w:p>
          <w:p w14:paraId="24E294FF">
            <w:pPr>
              <w:autoSpaceDE w:val="0"/>
              <w:autoSpaceDN w:val="0"/>
              <w:adjustRightInd w:val="0"/>
              <w:snapToGrid w:val="0"/>
              <w:spacing w:line="480" w:lineRule="exact"/>
              <w:ind w:firstLine="480"/>
              <w:jc w:val="center"/>
              <w:rPr>
                <w:rFonts w:eastAsia="黑体" w:cs="宋体"/>
                <w:color w:val="000000"/>
                <w:kern w:val="0"/>
                <w:szCs w:val="21"/>
              </w:rPr>
            </w:pPr>
            <w:r>
              <w:rPr>
                <w:rFonts w:hint="eastAsia" w:eastAsia="黑体" w:cs="宋体"/>
                <w:color w:val="000000"/>
                <w:kern w:val="0"/>
                <w:szCs w:val="21"/>
              </w:rPr>
              <w:t>表</w:t>
            </w:r>
            <w:r>
              <w:rPr>
                <w:rFonts w:eastAsia="黑体" w:cs="宋体"/>
                <w:color w:val="000000"/>
                <w:kern w:val="0"/>
                <w:szCs w:val="21"/>
              </w:rPr>
              <w:t>2.</w:t>
            </w:r>
            <w:r>
              <w:rPr>
                <w:rFonts w:hint="eastAsia" w:eastAsia="黑体" w:cs="宋体"/>
                <w:color w:val="000000"/>
                <w:kern w:val="0"/>
                <w:szCs w:val="21"/>
              </w:rPr>
              <w:t>5</w:t>
            </w:r>
            <w:r>
              <w:rPr>
                <w:rFonts w:eastAsia="黑体" w:cs="宋体"/>
                <w:color w:val="000000"/>
                <w:kern w:val="0"/>
                <w:szCs w:val="21"/>
              </w:rPr>
              <w:t xml:space="preserve">  </w:t>
            </w:r>
            <w:r>
              <w:rPr>
                <w:rFonts w:hint="eastAsia" w:eastAsia="黑体" w:cs="宋体"/>
                <w:color w:val="000000"/>
                <w:kern w:val="0"/>
                <w:szCs w:val="21"/>
              </w:rPr>
              <w:t>项目原辅料及能源消耗一览表</w:t>
            </w:r>
          </w:p>
          <w:tbl>
            <w:tblPr>
              <w:tblStyle w:val="28"/>
              <w:tblW w:w="4998"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723"/>
              <w:gridCol w:w="1570"/>
              <w:gridCol w:w="1067"/>
              <w:gridCol w:w="1288"/>
              <w:gridCol w:w="3790"/>
            </w:tblGrid>
            <w:tr w14:paraId="1FB0964E">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PrEx>
              <w:trPr>
                <w:trHeight w:val="340" w:hRule="atLeast"/>
                <w:jc w:val="center"/>
              </w:trPr>
              <w:tc>
                <w:tcPr>
                  <w:tcW w:w="428" w:type="pct"/>
                  <w:vAlign w:val="center"/>
                </w:tcPr>
                <w:p w14:paraId="06BF0600">
                  <w:pPr>
                    <w:pStyle w:val="73"/>
                    <w:overflowPunct w:val="0"/>
                    <w:topLinePunct/>
                    <w:autoSpaceDE w:val="0"/>
                    <w:autoSpaceDN w:val="0"/>
                  </w:pPr>
                  <w:r>
                    <w:rPr>
                      <w:rFonts w:hint="eastAsia"/>
                    </w:rPr>
                    <w:t>序号</w:t>
                  </w:r>
                </w:p>
              </w:tc>
              <w:tc>
                <w:tcPr>
                  <w:tcW w:w="930" w:type="pct"/>
                  <w:vAlign w:val="center"/>
                </w:tcPr>
                <w:p w14:paraId="1AEB6B43">
                  <w:pPr>
                    <w:pStyle w:val="73"/>
                    <w:overflowPunct w:val="0"/>
                    <w:topLinePunct/>
                    <w:autoSpaceDE w:val="0"/>
                    <w:autoSpaceDN w:val="0"/>
                  </w:pPr>
                  <w:r>
                    <w:rPr>
                      <w:rFonts w:hint="eastAsia"/>
                    </w:rPr>
                    <w:t>名称</w:t>
                  </w:r>
                </w:p>
              </w:tc>
              <w:tc>
                <w:tcPr>
                  <w:tcW w:w="632" w:type="pct"/>
                  <w:vAlign w:val="center"/>
                </w:tcPr>
                <w:p w14:paraId="76BD6879">
                  <w:pPr>
                    <w:pStyle w:val="73"/>
                    <w:overflowPunct w:val="0"/>
                    <w:topLinePunct/>
                    <w:autoSpaceDE w:val="0"/>
                    <w:autoSpaceDN w:val="0"/>
                  </w:pPr>
                  <w:r>
                    <w:rPr>
                      <w:rFonts w:hint="eastAsia"/>
                    </w:rPr>
                    <w:t>单位</w:t>
                  </w:r>
                </w:p>
              </w:tc>
              <w:tc>
                <w:tcPr>
                  <w:tcW w:w="763" w:type="pct"/>
                  <w:vAlign w:val="center"/>
                </w:tcPr>
                <w:p w14:paraId="2399B4CB">
                  <w:pPr>
                    <w:pStyle w:val="73"/>
                    <w:overflowPunct w:val="0"/>
                    <w:topLinePunct/>
                    <w:autoSpaceDE w:val="0"/>
                    <w:autoSpaceDN w:val="0"/>
                  </w:pPr>
                  <w:r>
                    <w:rPr>
                      <w:rFonts w:hint="eastAsia"/>
                    </w:rPr>
                    <w:t>数量</w:t>
                  </w:r>
                </w:p>
              </w:tc>
              <w:tc>
                <w:tcPr>
                  <w:tcW w:w="2245" w:type="pct"/>
                  <w:vAlign w:val="center"/>
                </w:tcPr>
                <w:p w14:paraId="0DF64E89">
                  <w:pPr>
                    <w:pStyle w:val="73"/>
                    <w:overflowPunct w:val="0"/>
                    <w:topLinePunct/>
                    <w:autoSpaceDE w:val="0"/>
                    <w:autoSpaceDN w:val="0"/>
                  </w:pPr>
                  <w:r>
                    <w:rPr>
                      <w:rFonts w:hint="eastAsia"/>
                    </w:rPr>
                    <w:t>备注</w:t>
                  </w:r>
                </w:p>
              </w:tc>
            </w:tr>
            <w:tr w14:paraId="348FED5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28" w:type="pct"/>
                  <w:vAlign w:val="center"/>
                </w:tcPr>
                <w:p w14:paraId="1F80ABF0">
                  <w:pPr>
                    <w:pStyle w:val="73"/>
                    <w:overflowPunct w:val="0"/>
                    <w:topLinePunct/>
                    <w:autoSpaceDE w:val="0"/>
                    <w:autoSpaceDN w:val="0"/>
                  </w:pPr>
                  <w:r>
                    <w:rPr>
                      <w:rFonts w:hint="eastAsia"/>
                    </w:rPr>
                    <w:t>1</w:t>
                  </w:r>
                </w:p>
              </w:tc>
              <w:tc>
                <w:tcPr>
                  <w:tcW w:w="930" w:type="pct"/>
                  <w:vAlign w:val="center"/>
                </w:tcPr>
                <w:p w14:paraId="0AE09BA2">
                  <w:pPr>
                    <w:pStyle w:val="73"/>
                    <w:overflowPunct w:val="0"/>
                    <w:topLinePunct/>
                    <w:autoSpaceDE w:val="0"/>
                    <w:autoSpaceDN w:val="0"/>
                  </w:pPr>
                  <w:r>
                    <w:rPr>
                      <w:rFonts w:hint="eastAsia"/>
                    </w:rPr>
                    <w:t>包装袋</w:t>
                  </w:r>
                </w:p>
              </w:tc>
              <w:tc>
                <w:tcPr>
                  <w:tcW w:w="632" w:type="pct"/>
                  <w:vAlign w:val="center"/>
                </w:tcPr>
                <w:p w14:paraId="55C0DE32">
                  <w:pPr>
                    <w:pStyle w:val="73"/>
                    <w:overflowPunct w:val="0"/>
                    <w:topLinePunct/>
                    <w:autoSpaceDE w:val="0"/>
                    <w:autoSpaceDN w:val="0"/>
                  </w:pPr>
                  <w:r>
                    <w:rPr>
                      <w:rFonts w:hint="eastAsia"/>
                    </w:rPr>
                    <w:t>个/a</w:t>
                  </w:r>
                </w:p>
              </w:tc>
              <w:tc>
                <w:tcPr>
                  <w:tcW w:w="763" w:type="pct"/>
                  <w:vAlign w:val="center"/>
                </w:tcPr>
                <w:p w14:paraId="5873BC96">
                  <w:pPr>
                    <w:pStyle w:val="73"/>
                    <w:overflowPunct w:val="0"/>
                    <w:topLinePunct/>
                    <w:autoSpaceDE w:val="0"/>
                    <w:autoSpaceDN w:val="0"/>
                  </w:pPr>
                  <w:r>
                    <w:rPr>
                      <w:rFonts w:hint="eastAsia"/>
                    </w:rPr>
                    <w:t>8000</w:t>
                  </w:r>
                </w:p>
              </w:tc>
              <w:tc>
                <w:tcPr>
                  <w:tcW w:w="2245" w:type="pct"/>
                  <w:vAlign w:val="center"/>
                </w:tcPr>
                <w:p w14:paraId="68C24F71">
                  <w:pPr>
                    <w:pStyle w:val="73"/>
                    <w:overflowPunct w:val="0"/>
                    <w:topLinePunct/>
                    <w:autoSpaceDE w:val="0"/>
                    <w:autoSpaceDN w:val="0"/>
                  </w:pPr>
                  <w:r>
                    <w:rPr>
                      <w:rFonts w:hint="eastAsia"/>
                    </w:rPr>
                    <w:t>包装袋为双层，外层为PP材质，内层为PE材质，尺寸1200mm</w:t>
                  </w:r>
                  <w:r>
                    <w:t>×</w:t>
                  </w:r>
                  <w:r>
                    <w:rPr>
                      <w:rFonts w:hint="eastAsia"/>
                    </w:rPr>
                    <w:t>1430mm。外购</w:t>
                  </w:r>
                </w:p>
              </w:tc>
            </w:tr>
            <w:tr w14:paraId="3156C97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28" w:type="pct"/>
                  <w:vAlign w:val="center"/>
                </w:tcPr>
                <w:p w14:paraId="11D299B9">
                  <w:pPr>
                    <w:pStyle w:val="73"/>
                    <w:overflowPunct w:val="0"/>
                    <w:topLinePunct/>
                    <w:autoSpaceDE w:val="0"/>
                    <w:autoSpaceDN w:val="0"/>
                  </w:pPr>
                  <w:r>
                    <w:rPr>
                      <w:rFonts w:hint="eastAsia"/>
                    </w:rPr>
                    <w:t>2</w:t>
                  </w:r>
                </w:p>
              </w:tc>
              <w:tc>
                <w:tcPr>
                  <w:tcW w:w="930" w:type="pct"/>
                  <w:vAlign w:val="center"/>
                </w:tcPr>
                <w:p w14:paraId="2C9AAE8C">
                  <w:pPr>
                    <w:pStyle w:val="73"/>
                    <w:overflowPunct w:val="0"/>
                    <w:topLinePunct/>
                    <w:autoSpaceDE w:val="0"/>
                    <w:autoSpaceDN w:val="0"/>
                  </w:pPr>
                  <w:r>
                    <w:rPr>
                      <w:rFonts w:hint="eastAsia"/>
                    </w:rPr>
                    <w:t>电</w:t>
                  </w:r>
                </w:p>
              </w:tc>
              <w:tc>
                <w:tcPr>
                  <w:tcW w:w="632" w:type="pct"/>
                  <w:vAlign w:val="center"/>
                </w:tcPr>
                <w:p w14:paraId="6FBFA9D6">
                  <w:pPr>
                    <w:pStyle w:val="73"/>
                    <w:overflowPunct w:val="0"/>
                    <w:topLinePunct/>
                    <w:autoSpaceDE w:val="0"/>
                    <w:autoSpaceDN w:val="0"/>
                  </w:pPr>
                  <w:r>
                    <w:rPr>
                      <w:rFonts w:hint="eastAsia"/>
                    </w:rPr>
                    <w:t>kWh/a</w:t>
                  </w:r>
                </w:p>
              </w:tc>
              <w:tc>
                <w:tcPr>
                  <w:tcW w:w="763" w:type="pct"/>
                  <w:vAlign w:val="center"/>
                </w:tcPr>
                <w:p w14:paraId="215F8154">
                  <w:pPr>
                    <w:pStyle w:val="73"/>
                    <w:overflowPunct w:val="0"/>
                    <w:topLinePunct/>
                    <w:autoSpaceDE w:val="0"/>
                    <w:autoSpaceDN w:val="0"/>
                  </w:pPr>
                  <w:r>
                    <w:rPr>
                      <w:rFonts w:hint="eastAsia"/>
                    </w:rPr>
                    <w:t>500</w:t>
                  </w:r>
                </w:p>
              </w:tc>
              <w:tc>
                <w:tcPr>
                  <w:tcW w:w="2245" w:type="pct"/>
                  <w:vAlign w:val="center"/>
                </w:tcPr>
                <w:p w14:paraId="25DD28DB">
                  <w:pPr>
                    <w:pStyle w:val="73"/>
                    <w:overflowPunct w:val="0"/>
                    <w:topLinePunct/>
                    <w:autoSpaceDE w:val="0"/>
                    <w:autoSpaceDN w:val="0"/>
                  </w:pPr>
                  <w:r>
                    <w:rPr>
                      <w:rFonts w:hint="eastAsia"/>
                    </w:rPr>
                    <w:t>供电管网</w:t>
                  </w:r>
                </w:p>
              </w:tc>
            </w:tr>
          </w:tbl>
          <w:p w14:paraId="25D56F7F">
            <w:pPr>
              <w:adjustRightInd w:val="0"/>
              <w:snapToGrid w:val="0"/>
              <w:spacing w:line="480" w:lineRule="exact"/>
              <w:ind w:firstLine="482" w:firstLineChars="200"/>
              <w:rPr>
                <w:rFonts w:cs="宋体"/>
                <w:b/>
                <w:color w:val="000000"/>
                <w:szCs w:val="21"/>
              </w:rPr>
            </w:pPr>
            <w:r>
              <w:rPr>
                <w:rFonts w:hint="eastAsia" w:cs="宋体"/>
                <w:b/>
                <w:color w:val="000000"/>
                <w:szCs w:val="21"/>
              </w:rPr>
              <w:t>6、运输方案</w:t>
            </w:r>
          </w:p>
          <w:p w14:paraId="7D57B96F">
            <w:pPr>
              <w:adjustRightInd w:val="0"/>
              <w:snapToGrid w:val="0"/>
              <w:spacing w:line="480" w:lineRule="exact"/>
              <w:ind w:firstLine="480" w:firstLineChars="200"/>
              <w:rPr>
                <w:rFonts w:cs="宋体"/>
                <w:bCs/>
                <w:color w:val="000000"/>
                <w:szCs w:val="21"/>
              </w:rPr>
            </w:pPr>
            <w:r>
              <w:rPr>
                <w:rFonts w:hint="eastAsia" w:cs="宋体"/>
                <w:bCs/>
                <w:color w:val="000000"/>
                <w:szCs w:val="21"/>
              </w:rPr>
              <w:t>草酸盐脱除工序产生的草酸盐经包装后由叉车运输至危废库暂存，定期交由有资质单位综合利用。厂区内转运结束后，应对转运路线进行检查和清理，确保无危废遗漏。厂区外运输要求有资质单位及押运人员运输。</w:t>
            </w:r>
          </w:p>
          <w:p w14:paraId="6BE49BEF">
            <w:pPr>
              <w:adjustRightInd w:val="0"/>
              <w:snapToGrid w:val="0"/>
              <w:spacing w:line="480" w:lineRule="exact"/>
              <w:ind w:firstLine="482" w:firstLineChars="200"/>
              <w:rPr>
                <w:rFonts w:cs="宋体"/>
                <w:b/>
                <w:color w:val="000000"/>
                <w:szCs w:val="21"/>
              </w:rPr>
            </w:pPr>
            <w:r>
              <w:rPr>
                <w:rFonts w:hint="eastAsia" w:cs="宋体"/>
                <w:b/>
                <w:color w:val="000000"/>
                <w:szCs w:val="21"/>
              </w:rPr>
              <w:t>7、公用工程</w:t>
            </w:r>
          </w:p>
          <w:p w14:paraId="72AA3BBF">
            <w:pPr>
              <w:adjustRightInd w:val="0"/>
              <w:snapToGrid w:val="0"/>
              <w:spacing w:line="480" w:lineRule="exact"/>
              <w:ind w:firstLine="480" w:firstLineChars="200"/>
              <w:rPr>
                <w:rFonts w:cs="宋体"/>
                <w:bCs/>
                <w:color w:val="000000"/>
                <w:szCs w:val="21"/>
              </w:rPr>
            </w:pPr>
            <w:r>
              <w:rPr>
                <w:rFonts w:hint="eastAsia" w:cs="宋体"/>
                <w:bCs/>
                <w:color w:val="000000"/>
                <w:szCs w:val="21"/>
              </w:rPr>
              <w:t>①供电：由厂区现有供电系统提供</w:t>
            </w:r>
            <w:r>
              <w:rPr>
                <w:rFonts w:hint="eastAsia"/>
              </w:rPr>
              <w:t>。</w:t>
            </w:r>
          </w:p>
          <w:p w14:paraId="2B084E69">
            <w:pPr>
              <w:pStyle w:val="66"/>
              <w:ind w:firstLine="480"/>
              <w:rPr>
                <w:rFonts w:cs="宋体"/>
                <w:bCs/>
                <w:color w:val="000000"/>
                <w:szCs w:val="21"/>
              </w:rPr>
            </w:pPr>
            <w:r>
              <w:rPr>
                <w:rFonts w:hint="eastAsia" w:cs="宋体"/>
                <w:bCs/>
                <w:color w:val="000000"/>
                <w:szCs w:val="21"/>
              </w:rPr>
              <w:t>②供水：本项目不新增劳动定员，无新增生活用水；本项目不进行生产性活动，无生产用水。</w:t>
            </w:r>
          </w:p>
          <w:p w14:paraId="235F4793">
            <w:pPr>
              <w:pStyle w:val="66"/>
              <w:ind w:firstLine="480"/>
            </w:pPr>
            <w:r>
              <w:rPr>
                <w:rFonts w:hint="eastAsia"/>
              </w:rPr>
              <w:t>③供热：本项目危废库无需供热。</w:t>
            </w:r>
          </w:p>
          <w:p w14:paraId="3CBBB388">
            <w:pPr>
              <w:adjustRightInd w:val="0"/>
              <w:snapToGrid w:val="0"/>
              <w:spacing w:line="480" w:lineRule="exact"/>
              <w:ind w:firstLine="482" w:firstLineChars="200"/>
              <w:rPr>
                <w:rFonts w:cs="宋体"/>
                <w:b/>
                <w:bCs/>
                <w:color w:val="000000"/>
                <w:kern w:val="0"/>
                <w:szCs w:val="21"/>
              </w:rPr>
            </w:pPr>
            <w:r>
              <w:rPr>
                <w:rFonts w:hint="eastAsia" w:cs="宋体"/>
                <w:b/>
                <w:bCs/>
                <w:color w:val="000000"/>
                <w:kern w:val="0"/>
                <w:szCs w:val="21"/>
              </w:rPr>
              <w:t>8、劳动定员及工作制度</w:t>
            </w:r>
          </w:p>
          <w:p w14:paraId="5780946E">
            <w:pPr>
              <w:adjustRightInd w:val="0"/>
              <w:snapToGrid w:val="0"/>
              <w:spacing w:line="480" w:lineRule="exact"/>
              <w:ind w:firstLine="480" w:firstLineChars="200"/>
              <w:rPr>
                <w:rFonts w:cs="宋体"/>
                <w:bCs/>
                <w:color w:val="000000"/>
                <w:szCs w:val="21"/>
              </w:rPr>
            </w:pPr>
            <w:r>
              <w:rPr>
                <w:rFonts w:hint="eastAsia" w:cs="宋体"/>
                <w:color w:val="000000"/>
                <w:kern w:val="0"/>
                <w:szCs w:val="21"/>
              </w:rPr>
              <w:t>本项目不新增劳动定员厂区内部调剂，年运行时间365天。</w:t>
            </w:r>
          </w:p>
          <w:p w14:paraId="7F4FA2C9">
            <w:pPr>
              <w:adjustRightInd w:val="0"/>
              <w:snapToGrid w:val="0"/>
              <w:spacing w:line="480" w:lineRule="exact"/>
              <w:ind w:firstLine="482" w:firstLineChars="200"/>
              <w:rPr>
                <w:rFonts w:cs="宋体"/>
                <w:b/>
                <w:bCs/>
                <w:color w:val="000000"/>
                <w:kern w:val="0"/>
                <w:szCs w:val="21"/>
              </w:rPr>
            </w:pPr>
            <w:r>
              <w:rPr>
                <w:rFonts w:hint="eastAsia" w:cs="宋体"/>
                <w:b/>
                <w:bCs/>
                <w:color w:val="000000"/>
                <w:kern w:val="0"/>
                <w:szCs w:val="21"/>
              </w:rPr>
              <w:t>9、平面布置</w:t>
            </w:r>
          </w:p>
          <w:p w14:paraId="17E25BAF">
            <w:pPr>
              <w:adjustRightInd w:val="0"/>
              <w:snapToGrid w:val="0"/>
              <w:spacing w:line="480" w:lineRule="exact"/>
              <w:ind w:firstLine="480" w:firstLineChars="200"/>
              <w:rPr>
                <w:rFonts w:cs="宋体"/>
                <w:color w:val="000000"/>
                <w:kern w:val="0"/>
                <w:szCs w:val="21"/>
              </w:rPr>
            </w:pPr>
            <w:r>
              <w:rPr>
                <w:rFonts w:hint="eastAsia" w:cs="宋体"/>
                <w:color w:val="000000"/>
                <w:kern w:val="0"/>
                <w:szCs w:val="21"/>
              </w:rPr>
              <w:t>危废库内设有导流沟和收集池，平面布置详见附图。</w:t>
            </w:r>
          </w:p>
        </w:tc>
      </w:tr>
      <w:tr w14:paraId="669EF3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71" w:hRule="atLeast"/>
          <w:jc w:val="center"/>
        </w:trPr>
        <w:tc>
          <w:tcPr>
            <w:tcW w:w="403" w:type="dxa"/>
            <w:vAlign w:val="center"/>
          </w:tcPr>
          <w:p w14:paraId="5FC05245">
            <w:pPr>
              <w:pStyle w:val="24"/>
              <w:adjustRightInd w:val="0"/>
              <w:snapToGrid w:val="0"/>
              <w:spacing w:before="0" w:beforeAutospacing="0" w:after="0" w:afterAutospacing="0"/>
              <w:jc w:val="center"/>
              <w:rPr>
                <w:rFonts w:cs="宋体"/>
                <w:color w:val="000000"/>
                <w:sz w:val="21"/>
                <w:szCs w:val="21"/>
              </w:rPr>
            </w:pPr>
            <w:r>
              <w:rPr>
                <w:rFonts w:hint="eastAsia" w:cs="宋体"/>
                <w:color w:val="000000"/>
                <w:szCs w:val="24"/>
              </w:rPr>
              <w:t>工艺流程和产排污环节</w:t>
            </w:r>
          </w:p>
        </w:tc>
        <w:tc>
          <w:tcPr>
            <w:tcW w:w="8657" w:type="dxa"/>
          </w:tcPr>
          <w:p w14:paraId="554F2CE6">
            <w:pPr>
              <w:wordWrap w:val="0"/>
              <w:spacing w:line="440" w:lineRule="exact"/>
              <w:rPr>
                <w:b/>
                <w:color w:val="000000"/>
                <w:sz w:val="28"/>
                <w:szCs w:val="28"/>
              </w:rPr>
            </w:pPr>
            <w:r>
              <w:rPr>
                <w:b/>
                <w:color w:val="000000"/>
                <w:sz w:val="28"/>
                <w:szCs w:val="28"/>
              </w:rPr>
              <w:t>工艺流程简述</w:t>
            </w:r>
            <w:r>
              <w:rPr>
                <w:rFonts w:hint="eastAsia"/>
                <w:b/>
                <w:color w:val="000000"/>
                <w:sz w:val="28"/>
                <w:szCs w:val="28"/>
              </w:rPr>
              <w:t>（</w:t>
            </w:r>
            <w:r>
              <w:rPr>
                <w:b/>
                <w:color w:val="000000"/>
                <w:sz w:val="28"/>
                <w:szCs w:val="28"/>
              </w:rPr>
              <w:t>图示</w:t>
            </w:r>
            <w:r>
              <w:rPr>
                <w:rFonts w:hint="eastAsia"/>
                <w:b/>
                <w:color w:val="000000"/>
                <w:sz w:val="28"/>
                <w:szCs w:val="28"/>
              </w:rPr>
              <w:t>）</w:t>
            </w:r>
            <w:r>
              <w:rPr>
                <w:b/>
                <w:color w:val="000000"/>
                <w:sz w:val="28"/>
                <w:szCs w:val="28"/>
              </w:rPr>
              <w:t>：</w:t>
            </w:r>
          </w:p>
          <w:p w14:paraId="078079D1">
            <w:pPr>
              <w:spacing w:line="480" w:lineRule="exact"/>
              <w:ind w:firstLine="482" w:firstLineChars="200"/>
              <w:rPr>
                <w:rFonts w:cs="宋体"/>
                <w:b/>
                <w:color w:val="000000"/>
                <w:szCs w:val="21"/>
              </w:rPr>
            </w:pPr>
            <w:r>
              <w:rPr>
                <w:rFonts w:cs="宋体"/>
                <w:b/>
                <w:color w:val="000000"/>
                <w:szCs w:val="21"/>
              </w:rPr>
              <w:t>1、施工期工艺流程</w:t>
            </w:r>
          </w:p>
          <w:p w14:paraId="660F64C8">
            <w:pPr>
              <w:spacing w:line="480" w:lineRule="exact"/>
              <w:ind w:firstLine="480" w:firstLineChars="200"/>
              <w:rPr>
                <w:rFonts w:cs="宋体"/>
                <w:bCs/>
                <w:color w:val="000000"/>
                <w:szCs w:val="21"/>
              </w:rPr>
            </w:pPr>
            <w:r>
              <w:rPr>
                <w:rFonts w:hint="eastAsia" w:cs="宋体"/>
                <w:bCs/>
                <w:color w:val="000000"/>
                <w:szCs w:val="21"/>
              </w:rPr>
              <w:t>项目施工期主要为地面防腐防渗处理、监控设备等的安装和调试。施工期产生的污染物主要为少量施工扬尘（G</w:t>
            </w:r>
            <w:r>
              <w:rPr>
                <w:rFonts w:cs="宋体"/>
                <w:bCs/>
                <w:color w:val="000000"/>
                <w:szCs w:val="21"/>
              </w:rPr>
              <w:t>1-1</w:t>
            </w:r>
            <w:r>
              <w:rPr>
                <w:rFonts w:hint="eastAsia" w:cs="宋体"/>
                <w:bCs/>
                <w:color w:val="000000"/>
                <w:szCs w:val="21"/>
              </w:rPr>
              <w:t>），施工人员废水（W</w:t>
            </w:r>
            <w:r>
              <w:rPr>
                <w:rFonts w:cs="宋体"/>
                <w:bCs/>
                <w:color w:val="000000"/>
                <w:szCs w:val="21"/>
              </w:rPr>
              <w:t>1-1</w:t>
            </w:r>
            <w:r>
              <w:rPr>
                <w:rFonts w:hint="eastAsia" w:cs="宋体"/>
                <w:bCs/>
                <w:color w:val="000000"/>
                <w:szCs w:val="21"/>
              </w:rPr>
              <w:t>），施工机械噪声（N</w:t>
            </w:r>
            <w:r>
              <w:rPr>
                <w:rFonts w:cs="宋体"/>
                <w:bCs/>
                <w:color w:val="000000"/>
                <w:szCs w:val="21"/>
              </w:rPr>
              <w:t>1-1</w:t>
            </w:r>
            <w:r>
              <w:rPr>
                <w:rFonts w:hint="eastAsia" w:cs="宋体"/>
                <w:bCs/>
                <w:color w:val="000000"/>
                <w:szCs w:val="21"/>
              </w:rPr>
              <w:t>），建筑垃圾（S</w:t>
            </w:r>
            <w:r>
              <w:rPr>
                <w:rFonts w:cs="宋体"/>
                <w:bCs/>
                <w:color w:val="000000"/>
                <w:szCs w:val="21"/>
              </w:rPr>
              <w:t>1-1</w:t>
            </w:r>
            <w:r>
              <w:rPr>
                <w:rFonts w:hint="eastAsia" w:cs="宋体"/>
                <w:bCs/>
                <w:color w:val="000000"/>
                <w:szCs w:val="21"/>
              </w:rPr>
              <w:t>）及生活垃圾（S</w:t>
            </w:r>
            <w:r>
              <w:rPr>
                <w:rFonts w:cs="宋体"/>
                <w:bCs/>
                <w:color w:val="000000"/>
                <w:szCs w:val="21"/>
              </w:rPr>
              <w:t>1-2</w:t>
            </w:r>
            <w:r>
              <w:rPr>
                <w:rFonts w:hint="eastAsia" w:cs="宋体"/>
                <w:bCs/>
                <w:color w:val="000000"/>
                <w:szCs w:val="21"/>
              </w:rPr>
              <w:t>）等。施工期工艺流程及产排污节点见下图。</w:t>
            </w:r>
          </w:p>
          <w:p w14:paraId="6416BA5B">
            <w:pPr>
              <w:jc w:val="center"/>
              <w:rPr>
                <w:rFonts w:cs="宋体"/>
                <w:bCs/>
                <w:color w:val="000000"/>
                <w:szCs w:val="21"/>
              </w:rPr>
            </w:pPr>
            <w:r>
              <w:rPr>
                <w:rFonts w:cs="宋体"/>
                <w:bCs/>
                <w:color w:val="000000"/>
                <w:szCs w:val="21"/>
              </w:rPr>
              <w:drawing>
                <wp:inline distT="0" distB="0" distL="114300" distR="114300">
                  <wp:extent cx="3724275" cy="143827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0"/>
                          <a:stretch>
                            <a:fillRect/>
                          </a:stretch>
                        </pic:blipFill>
                        <pic:spPr>
                          <a:xfrm>
                            <a:off x="0" y="0"/>
                            <a:ext cx="3724275" cy="1438275"/>
                          </a:xfrm>
                          <a:prstGeom prst="rect">
                            <a:avLst/>
                          </a:prstGeom>
                          <a:noFill/>
                          <a:ln>
                            <a:noFill/>
                          </a:ln>
                        </pic:spPr>
                      </pic:pic>
                    </a:graphicData>
                  </a:graphic>
                </wp:inline>
              </w:drawing>
            </w:r>
          </w:p>
          <w:p w14:paraId="31B15676">
            <w:pPr>
              <w:spacing w:line="480" w:lineRule="exact"/>
              <w:jc w:val="center"/>
              <w:rPr>
                <w:rFonts w:eastAsia="黑体" w:cs="宋体"/>
                <w:color w:val="000000"/>
                <w:kern w:val="0"/>
                <w:szCs w:val="21"/>
              </w:rPr>
            </w:pPr>
            <w:r>
              <w:rPr>
                <w:rFonts w:hint="eastAsia" w:eastAsia="黑体" w:cs="宋体"/>
                <w:color w:val="000000"/>
                <w:kern w:val="0"/>
                <w:szCs w:val="21"/>
              </w:rPr>
              <w:t>图</w:t>
            </w:r>
            <w:r>
              <w:rPr>
                <w:rFonts w:eastAsia="黑体" w:cs="宋体"/>
                <w:color w:val="000000"/>
                <w:kern w:val="0"/>
                <w:szCs w:val="21"/>
              </w:rPr>
              <w:t xml:space="preserve">2.1  </w:t>
            </w:r>
            <w:r>
              <w:rPr>
                <w:rFonts w:hint="eastAsia" w:eastAsia="黑体" w:cs="宋体"/>
                <w:color w:val="000000"/>
                <w:kern w:val="0"/>
                <w:szCs w:val="21"/>
              </w:rPr>
              <w:t>项目施工期工艺流程及产排污节点图</w:t>
            </w:r>
          </w:p>
          <w:p w14:paraId="0C92E200">
            <w:pPr>
              <w:spacing w:line="480" w:lineRule="exact"/>
              <w:ind w:firstLine="482" w:firstLineChars="200"/>
              <w:rPr>
                <w:rFonts w:cs="宋体"/>
                <w:b/>
                <w:color w:val="000000"/>
                <w:szCs w:val="21"/>
              </w:rPr>
            </w:pPr>
            <w:r>
              <w:rPr>
                <w:rFonts w:hint="eastAsia" w:cs="宋体"/>
                <w:b/>
                <w:color w:val="000000"/>
                <w:szCs w:val="21"/>
              </w:rPr>
              <w:t>2、运营期</w:t>
            </w:r>
            <w:r>
              <w:rPr>
                <w:rFonts w:cs="宋体"/>
                <w:b/>
                <w:color w:val="000000"/>
                <w:szCs w:val="21"/>
              </w:rPr>
              <w:t>工艺流程</w:t>
            </w:r>
          </w:p>
          <w:p w14:paraId="4DCB658A">
            <w:pPr>
              <w:spacing w:line="480" w:lineRule="exact"/>
              <w:ind w:firstLine="480" w:firstLineChars="200"/>
              <w:rPr>
                <w:rFonts w:cs="宋体"/>
                <w:bCs/>
                <w:color w:val="000000"/>
                <w:szCs w:val="21"/>
              </w:rPr>
            </w:pPr>
            <w:r>
              <w:rPr>
                <w:rFonts w:hint="eastAsia" w:cs="宋体"/>
                <w:bCs/>
                <w:color w:val="000000"/>
                <w:szCs w:val="21"/>
              </w:rPr>
              <w:t>运营期危废库工艺流程包括产废单元收集装车、草酸盐卸车入库暂存、装车出厂等。</w:t>
            </w:r>
          </w:p>
          <w:p w14:paraId="465FFA25">
            <w:pPr>
              <w:spacing w:line="480" w:lineRule="exact"/>
              <w:ind w:firstLine="480" w:firstLineChars="200"/>
              <w:rPr>
                <w:rFonts w:cs="宋体"/>
                <w:bCs/>
                <w:color w:val="000000"/>
                <w:szCs w:val="21"/>
              </w:rPr>
            </w:pPr>
            <w:r>
              <w:rPr>
                <w:rFonts w:hint="eastAsia" w:cs="宋体"/>
                <w:bCs/>
                <w:color w:val="000000"/>
                <w:szCs w:val="21"/>
              </w:rPr>
              <w:t>（1）产废单元收集装车</w:t>
            </w:r>
          </w:p>
          <w:p w14:paraId="384D40E8">
            <w:pPr>
              <w:spacing w:line="480" w:lineRule="exact"/>
              <w:ind w:firstLine="480" w:firstLineChars="200"/>
              <w:rPr>
                <w:rFonts w:cs="宋体"/>
                <w:color w:val="000000"/>
                <w:kern w:val="0"/>
                <w:szCs w:val="21"/>
              </w:rPr>
            </w:pPr>
            <w:r>
              <w:rPr>
                <w:rFonts w:hint="eastAsia" w:cs="宋体"/>
                <w:color w:val="000000"/>
                <w:kern w:val="0"/>
                <w:szCs w:val="21"/>
              </w:rPr>
              <w:t>草酸盐脱除工序卸料口出料直接进包装袋进行包装，相关操作人员在包装袋上张贴标签后采用叉车进行装车。</w:t>
            </w:r>
          </w:p>
          <w:p w14:paraId="19BC458B">
            <w:pPr>
              <w:spacing w:line="480" w:lineRule="exact"/>
              <w:ind w:firstLine="480" w:firstLineChars="200"/>
              <w:rPr>
                <w:rFonts w:cs="宋体"/>
                <w:color w:val="000000"/>
                <w:kern w:val="0"/>
                <w:szCs w:val="21"/>
              </w:rPr>
            </w:pPr>
            <w:r>
              <w:rPr>
                <w:rFonts w:hint="eastAsia" w:cs="宋体"/>
                <w:color w:val="000000"/>
                <w:kern w:val="0"/>
                <w:szCs w:val="21"/>
              </w:rPr>
              <w:t>（2）卸车入库</w:t>
            </w:r>
            <w:r>
              <w:rPr>
                <w:rFonts w:hint="eastAsia" w:cs="宋体"/>
                <w:bCs/>
                <w:color w:val="000000"/>
                <w:szCs w:val="21"/>
              </w:rPr>
              <w:t>暂存</w:t>
            </w:r>
          </w:p>
          <w:p w14:paraId="5BBFAD4C">
            <w:pPr>
              <w:spacing w:line="480" w:lineRule="exact"/>
              <w:ind w:firstLine="480" w:firstLineChars="200"/>
              <w:rPr>
                <w:rFonts w:cs="宋体"/>
                <w:bCs/>
                <w:color w:val="000000"/>
                <w:szCs w:val="21"/>
              </w:rPr>
            </w:pPr>
            <w:r>
              <w:rPr>
                <w:rFonts w:hint="eastAsia" w:cs="宋体"/>
                <w:bCs/>
                <w:color w:val="000000"/>
                <w:szCs w:val="21"/>
              </w:rPr>
              <w:t>入库时危废库管理人员称重，确保数量准确、包装完好，并如实填写台账，包装好的草酸盐由叉车运入危废库后完成卸车。</w:t>
            </w:r>
          </w:p>
          <w:p w14:paraId="6CBFE1C4">
            <w:pPr>
              <w:pStyle w:val="66"/>
              <w:ind w:firstLine="480"/>
            </w:pPr>
            <w:r>
              <w:rPr>
                <w:rFonts w:hint="eastAsia"/>
              </w:rPr>
              <w:t>（3）装车</w:t>
            </w:r>
            <w:r>
              <w:rPr>
                <w:rFonts w:hint="eastAsia" w:cs="宋体"/>
                <w:bCs/>
                <w:color w:val="000000"/>
                <w:szCs w:val="21"/>
              </w:rPr>
              <w:t>出厂</w:t>
            </w:r>
          </w:p>
          <w:p w14:paraId="49079D44">
            <w:pPr>
              <w:spacing w:line="480" w:lineRule="exact"/>
              <w:ind w:firstLine="480" w:firstLineChars="200"/>
              <w:rPr>
                <w:rFonts w:cs="宋体"/>
                <w:bCs/>
                <w:color w:val="000000"/>
                <w:szCs w:val="21"/>
              </w:rPr>
            </w:pPr>
            <w:r>
              <w:rPr>
                <w:rFonts w:hint="eastAsia"/>
              </w:rPr>
              <w:t>草酸盐出厂需保持密封包装状态，采用叉车进行装车</w:t>
            </w:r>
            <w:r>
              <w:t>。</w:t>
            </w:r>
          </w:p>
          <w:p w14:paraId="1FB1775D">
            <w:pPr>
              <w:spacing w:line="480" w:lineRule="exact"/>
              <w:ind w:firstLine="480" w:firstLineChars="200"/>
              <w:rPr>
                <w:rFonts w:cs="宋体"/>
                <w:bCs/>
                <w:color w:val="000000"/>
                <w:szCs w:val="21"/>
              </w:rPr>
            </w:pPr>
            <w:r>
              <w:rPr>
                <w:rFonts w:hint="eastAsia" w:cs="宋体"/>
                <w:bCs/>
                <w:color w:val="000000"/>
                <w:szCs w:val="21"/>
              </w:rPr>
              <w:t>危废库暂存的草酸盐每月定期由有资质单位转移并处置，出库时处置单位安排运输出厂相关事宜，做好危废出库登记，记录出库时间、种类和数量等，按照《危险废物转移联单管理办法》的规定，办理相关手续。</w:t>
            </w:r>
          </w:p>
          <w:p w14:paraId="656404C0">
            <w:pPr>
              <w:spacing w:line="480" w:lineRule="exact"/>
              <w:ind w:firstLine="482" w:firstLineChars="200"/>
              <w:rPr>
                <w:rFonts w:cs="宋体"/>
                <w:bCs/>
                <w:color w:val="000000"/>
                <w:szCs w:val="21"/>
              </w:rPr>
            </w:pPr>
            <w:r>
              <w:rPr>
                <w:rFonts w:hint="eastAsia" w:cs="宋体"/>
                <w:b/>
                <w:color w:val="000000"/>
                <w:szCs w:val="21"/>
              </w:rPr>
              <w:t>项目运营期产污节点：装卸噪声N。</w:t>
            </w:r>
          </w:p>
          <w:p w14:paraId="7FCDCA08">
            <w:pPr>
              <w:spacing w:line="480" w:lineRule="exact"/>
              <w:ind w:firstLine="480" w:firstLineChars="200"/>
              <w:rPr>
                <w:rFonts w:cs="宋体"/>
                <w:bCs/>
                <w:color w:val="000000"/>
                <w:szCs w:val="21"/>
              </w:rPr>
            </w:pPr>
            <w:r>
              <w:rPr>
                <w:rFonts w:hint="eastAsia" w:cs="宋体"/>
                <w:bCs/>
                <w:color w:val="000000"/>
                <w:szCs w:val="21"/>
              </w:rPr>
              <w:t>本项目建成后，叉车由厂区内调配，不新增叉车，不新增噪声源。</w:t>
            </w:r>
          </w:p>
          <w:p w14:paraId="51277C53">
            <w:pPr>
              <w:jc w:val="center"/>
              <w:rPr>
                <w:rFonts w:cs="宋体"/>
                <w:bCs/>
                <w:color w:val="000000"/>
                <w:szCs w:val="21"/>
              </w:rPr>
            </w:pPr>
            <w:bookmarkStart w:id="9" w:name="_Hlk111485250"/>
            <w:r>
              <w:rPr>
                <w:rFonts w:cs="宋体"/>
                <w:bCs/>
                <w:color w:val="000000"/>
                <w:szCs w:val="21"/>
              </w:rPr>
              <w:drawing>
                <wp:inline distT="0" distB="0" distL="114300" distR="114300">
                  <wp:extent cx="4629150" cy="1476375"/>
                  <wp:effectExtent l="0" t="0" r="0" b="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11"/>
                          <a:stretch>
                            <a:fillRect/>
                          </a:stretch>
                        </pic:blipFill>
                        <pic:spPr>
                          <a:xfrm>
                            <a:off x="0" y="0"/>
                            <a:ext cx="4629150" cy="1476375"/>
                          </a:xfrm>
                          <a:prstGeom prst="rect">
                            <a:avLst/>
                          </a:prstGeom>
                          <a:noFill/>
                          <a:ln>
                            <a:noFill/>
                          </a:ln>
                        </pic:spPr>
                      </pic:pic>
                    </a:graphicData>
                  </a:graphic>
                </wp:inline>
              </w:drawing>
            </w:r>
          </w:p>
          <w:p w14:paraId="4E76359D">
            <w:pPr>
              <w:autoSpaceDE w:val="0"/>
              <w:autoSpaceDN w:val="0"/>
              <w:adjustRightInd w:val="0"/>
              <w:snapToGrid w:val="0"/>
              <w:spacing w:line="480" w:lineRule="exact"/>
              <w:jc w:val="center"/>
              <w:rPr>
                <w:rFonts w:cs="宋体"/>
                <w:bCs/>
                <w:color w:val="000000"/>
                <w:szCs w:val="21"/>
              </w:rPr>
            </w:pPr>
            <w:r>
              <w:rPr>
                <w:rFonts w:hint="eastAsia" w:eastAsia="黑体" w:cs="宋体"/>
                <w:color w:val="000000"/>
                <w:kern w:val="0"/>
                <w:szCs w:val="21"/>
              </w:rPr>
              <w:t>图</w:t>
            </w:r>
            <w:r>
              <w:rPr>
                <w:rFonts w:eastAsia="黑体" w:cs="宋体"/>
                <w:color w:val="000000"/>
                <w:kern w:val="0"/>
                <w:szCs w:val="21"/>
              </w:rPr>
              <w:t xml:space="preserve">2.3  </w:t>
            </w:r>
            <w:r>
              <w:rPr>
                <w:rFonts w:hint="eastAsia" w:eastAsia="黑体" w:cs="宋体"/>
                <w:color w:val="000000"/>
                <w:kern w:val="0"/>
                <w:szCs w:val="21"/>
              </w:rPr>
              <w:t>项目运营期主要工艺流程及产污节点示意图</w:t>
            </w:r>
          </w:p>
          <w:bookmarkEnd w:id="9"/>
          <w:p w14:paraId="1A64DABC">
            <w:pPr>
              <w:wordWrap w:val="0"/>
              <w:spacing w:line="600" w:lineRule="exact"/>
              <w:rPr>
                <w:b/>
                <w:bCs/>
                <w:snapToGrid w:val="0"/>
                <w:color w:val="000000"/>
                <w:kern w:val="0"/>
                <w:sz w:val="28"/>
              </w:rPr>
            </w:pPr>
            <w:r>
              <w:rPr>
                <w:b/>
                <w:bCs/>
                <w:snapToGrid w:val="0"/>
                <w:color w:val="000000"/>
                <w:kern w:val="0"/>
                <w:sz w:val="28"/>
              </w:rPr>
              <w:t>主要污染工序：</w:t>
            </w:r>
          </w:p>
          <w:p w14:paraId="19E56863">
            <w:pPr>
              <w:spacing w:line="480" w:lineRule="exact"/>
              <w:ind w:firstLine="482" w:firstLineChars="200"/>
              <w:rPr>
                <w:rFonts w:cs="宋体"/>
                <w:b/>
                <w:color w:val="000000"/>
                <w:szCs w:val="21"/>
              </w:rPr>
            </w:pPr>
            <w:r>
              <w:rPr>
                <w:rFonts w:hint="eastAsia" w:cs="宋体"/>
                <w:b/>
                <w:color w:val="000000"/>
                <w:szCs w:val="21"/>
              </w:rPr>
              <w:t>1、施工期</w:t>
            </w:r>
          </w:p>
          <w:p w14:paraId="5A5924EE">
            <w:pPr>
              <w:spacing w:line="480" w:lineRule="exact"/>
              <w:ind w:firstLine="480" w:firstLineChars="200"/>
              <w:rPr>
                <w:rFonts w:cs="宋体"/>
                <w:bCs/>
                <w:color w:val="000000"/>
                <w:szCs w:val="21"/>
              </w:rPr>
            </w:pPr>
            <w:r>
              <w:rPr>
                <w:rFonts w:hint="eastAsia" w:cs="宋体"/>
                <w:bCs/>
                <w:color w:val="000000"/>
                <w:szCs w:val="21"/>
              </w:rPr>
              <w:t>（1）废气：地面处理、导流沟和收集池开挖等产生的扬尘。</w:t>
            </w:r>
          </w:p>
          <w:p w14:paraId="35E98CDA">
            <w:pPr>
              <w:spacing w:line="480" w:lineRule="exact"/>
              <w:ind w:firstLine="480" w:firstLineChars="200"/>
              <w:rPr>
                <w:rFonts w:cs="宋体"/>
                <w:bCs/>
                <w:color w:val="000000"/>
                <w:szCs w:val="21"/>
              </w:rPr>
            </w:pPr>
            <w:r>
              <w:rPr>
                <w:rFonts w:hint="eastAsia" w:cs="宋体"/>
                <w:bCs/>
                <w:color w:val="000000"/>
                <w:szCs w:val="21"/>
              </w:rPr>
              <w:t>（2）废水：主要为施工人员生活污水。</w:t>
            </w:r>
          </w:p>
          <w:p w14:paraId="7258B19F">
            <w:pPr>
              <w:spacing w:line="480" w:lineRule="exact"/>
              <w:ind w:firstLine="480" w:firstLineChars="200"/>
              <w:rPr>
                <w:rFonts w:cs="宋体"/>
                <w:bCs/>
                <w:color w:val="000000"/>
                <w:szCs w:val="21"/>
              </w:rPr>
            </w:pPr>
            <w:r>
              <w:rPr>
                <w:rFonts w:hint="eastAsia" w:cs="宋体"/>
                <w:bCs/>
                <w:color w:val="000000"/>
                <w:szCs w:val="21"/>
              </w:rPr>
              <w:t>（3）噪声：主要为施工设备和运输车辆等产生的噪声，噪声级为80～90dB（A）。</w:t>
            </w:r>
          </w:p>
          <w:p w14:paraId="3C11D2AF">
            <w:pPr>
              <w:spacing w:line="480" w:lineRule="exact"/>
              <w:ind w:firstLine="480" w:firstLineChars="200"/>
              <w:rPr>
                <w:rFonts w:cs="宋体"/>
                <w:bCs/>
                <w:color w:val="000000"/>
                <w:szCs w:val="21"/>
              </w:rPr>
            </w:pPr>
            <w:r>
              <w:rPr>
                <w:rFonts w:hint="eastAsia" w:cs="宋体"/>
                <w:bCs/>
                <w:color w:val="000000"/>
                <w:szCs w:val="21"/>
              </w:rPr>
              <w:t>（4）固废：主要为施工过程中产生的建筑垃圾及施工人员生活垃圾。</w:t>
            </w:r>
          </w:p>
          <w:p w14:paraId="4833C0F4">
            <w:pPr>
              <w:spacing w:line="480" w:lineRule="exact"/>
              <w:ind w:firstLine="482" w:firstLineChars="200"/>
              <w:rPr>
                <w:rFonts w:cs="宋体"/>
                <w:b/>
                <w:color w:val="000000"/>
                <w:szCs w:val="21"/>
              </w:rPr>
            </w:pPr>
            <w:r>
              <w:rPr>
                <w:rFonts w:hint="eastAsia" w:cs="宋体"/>
                <w:b/>
                <w:color w:val="000000"/>
                <w:szCs w:val="21"/>
              </w:rPr>
              <w:t>2、运营期</w:t>
            </w:r>
          </w:p>
          <w:p w14:paraId="2F229527">
            <w:pPr>
              <w:spacing w:line="480" w:lineRule="exact"/>
              <w:ind w:firstLine="480" w:firstLineChars="200"/>
              <w:rPr>
                <w:rFonts w:cs="宋体"/>
                <w:bCs/>
                <w:color w:val="000000"/>
                <w:szCs w:val="21"/>
              </w:rPr>
            </w:pPr>
            <w:r>
              <w:rPr>
                <w:rFonts w:hint="eastAsia" w:cs="宋体"/>
                <w:bCs/>
                <w:color w:val="000000"/>
                <w:szCs w:val="21"/>
              </w:rPr>
              <w:t>主要产排污节点为：</w:t>
            </w:r>
          </w:p>
          <w:p w14:paraId="2FDA8D0B">
            <w:pPr>
              <w:spacing w:line="480" w:lineRule="exact"/>
              <w:ind w:firstLine="480" w:firstLineChars="200"/>
              <w:rPr>
                <w:rFonts w:cs="宋体"/>
                <w:bCs/>
                <w:color w:val="000000"/>
                <w:szCs w:val="21"/>
              </w:rPr>
            </w:pPr>
            <w:r>
              <w:rPr>
                <w:rFonts w:hint="eastAsia" w:cs="宋体"/>
                <w:bCs/>
                <w:color w:val="000000"/>
                <w:szCs w:val="21"/>
              </w:rPr>
              <w:t xml:space="preserve">（1）废气 </w:t>
            </w:r>
          </w:p>
          <w:p w14:paraId="3E535B4D">
            <w:pPr>
              <w:spacing w:line="480" w:lineRule="exact"/>
              <w:ind w:firstLine="480" w:firstLineChars="200"/>
              <w:rPr>
                <w:rFonts w:cs="宋体"/>
                <w:bCs/>
                <w:color w:val="000000"/>
                <w:szCs w:val="21"/>
              </w:rPr>
            </w:pPr>
            <w:r>
              <w:rPr>
                <w:rFonts w:hint="eastAsia" w:cs="宋体"/>
                <w:bCs/>
                <w:color w:val="000000"/>
                <w:szCs w:val="21"/>
              </w:rPr>
              <w:t>本项目暂存草酸盐为半固态物质，不含挥发性有机物等，运营期无废气产生。</w:t>
            </w:r>
          </w:p>
          <w:p w14:paraId="73EC5B10">
            <w:pPr>
              <w:spacing w:line="480" w:lineRule="exact"/>
              <w:ind w:firstLine="480" w:firstLineChars="200"/>
              <w:rPr>
                <w:rFonts w:cs="宋体"/>
                <w:bCs/>
                <w:color w:val="000000"/>
                <w:szCs w:val="21"/>
              </w:rPr>
            </w:pPr>
            <w:r>
              <w:rPr>
                <w:rFonts w:hint="eastAsia" w:cs="宋体"/>
                <w:bCs/>
                <w:color w:val="000000"/>
                <w:szCs w:val="21"/>
              </w:rPr>
              <w:t>（2）废水</w:t>
            </w:r>
          </w:p>
          <w:p w14:paraId="63156AA0">
            <w:pPr>
              <w:adjustRightInd w:val="0"/>
              <w:snapToGrid w:val="0"/>
              <w:spacing w:line="480" w:lineRule="exact"/>
              <w:ind w:firstLine="480" w:firstLineChars="200"/>
              <w:rPr>
                <w:rFonts w:cs="宋体"/>
                <w:bCs/>
                <w:color w:val="000000"/>
                <w:szCs w:val="21"/>
              </w:rPr>
            </w:pPr>
            <w:r>
              <w:rPr>
                <w:rFonts w:hint="eastAsia" w:cs="宋体"/>
                <w:bCs/>
                <w:color w:val="000000"/>
                <w:szCs w:val="21"/>
              </w:rPr>
              <w:t>本项目运营期不用水，无废水产生。</w:t>
            </w:r>
          </w:p>
          <w:p w14:paraId="4A57E2AF">
            <w:pPr>
              <w:spacing w:line="480" w:lineRule="exact"/>
              <w:ind w:firstLine="480" w:firstLineChars="200"/>
              <w:rPr>
                <w:rFonts w:cs="宋体"/>
                <w:bCs/>
                <w:color w:val="000000"/>
                <w:szCs w:val="21"/>
              </w:rPr>
            </w:pPr>
            <w:r>
              <w:rPr>
                <w:rFonts w:hint="eastAsia" w:cs="宋体"/>
                <w:bCs/>
                <w:color w:val="000000"/>
                <w:szCs w:val="21"/>
              </w:rPr>
              <w:t>（3）噪声</w:t>
            </w:r>
          </w:p>
          <w:p w14:paraId="118BA731">
            <w:pPr>
              <w:spacing w:line="480" w:lineRule="exact"/>
              <w:ind w:firstLine="480" w:firstLineChars="200"/>
              <w:rPr>
                <w:rFonts w:cs="宋体"/>
                <w:bCs/>
                <w:color w:val="000000"/>
                <w:szCs w:val="21"/>
              </w:rPr>
            </w:pPr>
            <w:r>
              <w:rPr>
                <w:rFonts w:hint="eastAsia" w:cs="宋体"/>
                <w:bCs/>
                <w:color w:val="000000"/>
                <w:szCs w:val="21"/>
              </w:rPr>
              <w:t>本项目叉车依托厂内现有，不新增噪声源。</w:t>
            </w:r>
          </w:p>
          <w:p w14:paraId="0F91DDEE">
            <w:pPr>
              <w:spacing w:line="480" w:lineRule="exact"/>
              <w:ind w:firstLine="480" w:firstLineChars="200"/>
              <w:rPr>
                <w:rFonts w:cs="宋体"/>
                <w:bCs/>
                <w:color w:val="000000"/>
                <w:szCs w:val="21"/>
              </w:rPr>
            </w:pPr>
            <w:r>
              <w:rPr>
                <w:rFonts w:hint="eastAsia" w:cs="宋体"/>
                <w:bCs/>
                <w:color w:val="000000"/>
                <w:szCs w:val="21"/>
              </w:rPr>
              <w:t>（4）固体废物</w:t>
            </w:r>
          </w:p>
          <w:p w14:paraId="5905B050">
            <w:pPr>
              <w:spacing w:line="480" w:lineRule="exact"/>
              <w:ind w:firstLine="480" w:firstLineChars="200"/>
              <w:rPr>
                <w:rFonts w:cs="宋体"/>
                <w:bCs/>
                <w:color w:val="000000"/>
                <w:szCs w:val="21"/>
              </w:rPr>
            </w:pPr>
            <w:r>
              <w:rPr>
                <w:rFonts w:hint="eastAsia" w:cs="宋体"/>
                <w:bCs/>
                <w:color w:val="000000"/>
                <w:szCs w:val="21"/>
              </w:rPr>
              <w:t>本项目建设危废库暂存草酸盐，运营期无固废产生。</w:t>
            </w:r>
          </w:p>
          <w:p w14:paraId="3FEAFC82">
            <w:pPr>
              <w:spacing w:line="480" w:lineRule="exact"/>
              <w:ind w:firstLine="480" w:firstLineChars="200"/>
              <w:rPr>
                <w:rFonts w:cs="宋体"/>
                <w:bCs/>
                <w:color w:val="000000"/>
                <w:szCs w:val="21"/>
              </w:rPr>
            </w:pPr>
            <w:r>
              <w:rPr>
                <w:rFonts w:hint="eastAsia" w:cs="宋体"/>
                <w:bCs/>
                <w:color w:val="000000"/>
                <w:szCs w:val="21"/>
              </w:rPr>
              <w:t>具体情况见下表。</w:t>
            </w:r>
          </w:p>
          <w:p w14:paraId="33EE151A">
            <w:pPr>
              <w:autoSpaceDE w:val="0"/>
              <w:autoSpaceDN w:val="0"/>
              <w:adjustRightInd w:val="0"/>
              <w:snapToGrid w:val="0"/>
              <w:spacing w:line="480" w:lineRule="exact"/>
              <w:jc w:val="center"/>
              <w:rPr>
                <w:rFonts w:eastAsia="黑体" w:cs="宋体"/>
                <w:color w:val="000000"/>
                <w:kern w:val="0"/>
                <w:szCs w:val="21"/>
              </w:rPr>
            </w:pPr>
            <w:r>
              <w:rPr>
                <w:rFonts w:hint="eastAsia" w:eastAsia="黑体" w:cs="宋体"/>
                <w:color w:val="000000"/>
                <w:kern w:val="0"/>
                <w:szCs w:val="21"/>
              </w:rPr>
              <w:t>表</w:t>
            </w:r>
            <w:r>
              <w:rPr>
                <w:rFonts w:eastAsia="黑体" w:cs="宋体"/>
                <w:color w:val="000000"/>
                <w:kern w:val="0"/>
                <w:szCs w:val="21"/>
              </w:rPr>
              <w:t xml:space="preserve">2.3  </w:t>
            </w:r>
            <w:r>
              <w:rPr>
                <w:rFonts w:hint="eastAsia" w:eastAsia="黑体" w:cs="宋体"/>
                <w:color w:val="000000"/>
                <w:kern w:val="0"/>
                <w:szCs w:val="21"/>
              </w:rPr>
              <w:t>拟建项目产排污节点一览表</w:t>
            </w:r>
          </w:p>
          <w:tbl>
            <w:tblPr>
              <w:tblStyle w:val="28"/>
              <w:tblW w:w="4998"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377"/>
              <w:gridCol w:w="728"/>
              <w:gridCol w:w="871"/>
              <w:gridCol w:w="1308"/>
              <w:gridCol w:w="1602"/>
              <w:gridCol w:w="2604"/>
              <w:gridCol w:w="948"/>
            </w:tblGrid>
            <w:tr w14:paraId="09738F8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654" w:type="pct"/>
                  <w:gridSpan w:val="2"/>
                  <w:vAlign w:val="center"/>
                </w:tcPr>
                <w:p w14:paraId="12882926">
                  <w:pPr>
                    <w:pStyle w:val="73"/>
                    <w:overflowPunct w:val="0"/>
                    <w:topLinePunct/>
                    <w:autoSpaceDE w:val="0"/>
                    <w:autoSpaceDN w:val="0"/>
                  </w:pPr>
                  <w:r>
                    <w:rPr>
                      <w:rFonts w:hint="eastAsia"/>
                    </w:rPr>
                    <w:t>类别</w:t>
                  </w:r>
                </w:p>
              </w:tc>
              <w:tc>
                <w:tcPr>
                  <w:tcW w:w="516" w:type="pct"/>
                  <w:vAlign w:val="center"/>
                </w:tcPr>
                <w:p w14:paraId="151E351A">
                  <w:pPr>
                    <w:pStyle w:val="73"/>
                    <w:overflowPunct w:val="0"/>
                    <w:topLinePunct/>
                    <w:autoSpaceDE w:val="0"/>
                    <w:autoSpaceDN w:val="0"/>
                  </w:pPr>
                  <w:r>
                    <w:rPr>
                      <w:rFonts w:hint="eastAsia"/>
                    </w:rPr>
                    <w:t>序号</w:t>
                  </w:r>
                </w:p>
              </w:tc>
              <w:tc>
                <w:tcPr>
                  <w:tcW w:w="775" w:type="pct"/>
                  <w:vAlign w:val="center"/>
                </w:tcPr>
                <w:p w14:paraId="7F199BFF">
                  <w:pPr>
                    <w:pStyle w:val="73"/>
                    <w:overflowPunct w:val="0"/>
                    <w:topLinePunct/>
                    <w:autoSpaceDE w:val="0"/>
                    <w:autoSpaceDN w:val="0"/>
                  </w:pPr>
                  <w:r>
                    <w:rPr>
                      <w:rFonts w:hint="eastAsia"/>
                    </w:rPr>
                    <w:t>污染源名称</w:t>
                  </w:r>
                </w:p>
              </w:tc>
              <w:tc>
                <w:tcPr>
                  <w:tcW w:w="949" w:type="pct"/>
                  <w:vAlign w:val="center"/>
                </w:tcPr>
                <w:p w14:paraId="3DDF4688">
                  <w:pPr>
                    <w:pStyle w:val="73"/>
                    <w:overflowPunct w:val="0"/>
                    <w:topLinePunct/>
                    <w:autoSpaceDE w:val="0"/>
                    <w:autoSpaceDN w:val="0"/>
                  </w:pPr>
                  <w:r>
                    <w:rPr>
                      <w:rFonts w:hint="eastAsia"/>
                    </w:rPr>
                    <w:t>污染因子</w:t>
                  </w:r>
                </w:p>
              </w:tc>
              <w:tc>
                <w:tcPr>
                  <w:tcW w:w="1543" w:type="pct"/>
                  <w:vAlign w:val="center"/>
                </w:tcPr>
                <w:p w14:paraId="3B2AE4A6">
                  <w:pPr>
                    <w:pStyle w:val="73"/>
                    <w:overflowPunct w:val="0"/>
                    <w:topLinePunct/>
                    <w:autoSpaceDE w:val="0"/>
                    <w:autoSpaceDN w:val="0"/>
                  </w:pPr>
                  <w:r>
                    <w:rPr>
                      <w:rFonts w:hint="eastAsia"/>
                    </w:rPr>
                    <w:t>治理措施</w:t>
                  </w:r>
                </w:p>
              </w:tc>
              <w:tc>
                <w:tcPr>
                  <w:tcW w:w="561" w:type="pct"/>
                  <w:vAlign w:val="center"/>
                </w:tcPr>
                <w:p w14:paraId="6BCB4F17">
                  <w:pPr>
                    <w:pStyle w:val="73"/>
                    <w:overflowPunct w:val="0"/>
                    <w:topLinePunct/>
                    <w:autoSpaceDE w:val="0"/>
                    <w:autoSpaceDN w:val="0"/>
                  </w:pPr>
                  <w:r>
                    <w:rPr>
                      <w:rFonts w:hint="eastAsia"/>
                    </w:rPr>
                    <w:t>产污特征</w:t>
                  </w:r>
                </w:p>
              </w:tc>
            </w:tr>
            <w:tr w14:paraId="2C5188A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223" w:type="pct"/>
                  <w:vMerge w:val="restart"/>
                  <w:vAlign w:val="center"/>
                </w:tcPr>
                <w:p w14:paraId="30E41992">
                  <w:pPr>
                    <w:pStyle w:val="73"/>
                    <w:overflowPunct w:val="0"/>
                    <w:topLinePunct/>
                    <w:autoSpaceDE w:val="0"/>
                    <w:autoSpaceDN w:val="0"/>
                  </w:pPr>
                  <w:r>
                    <w:rPr>
                      <w:rFonts w:hint="eastAsia"/>
                    </w:rPr>
                    <w:t>施工期</w:t>
                  </w:r>
                </w:p>
              </w:tc>
              <w:tc>
                <w:tcPr>
                  <w:tcW w:w="430" w:type="pct"/>
                  <w:vAlign w:val="center"/>
                </w:tcPr>
                <w:p w14:paraId="1D82D294">
                  <w:pPr>
                    <w:pStyle w:val="73"/>
                    <w:overflowPunct w:val="0"/>
                    <w:topLinePunct/>
                    <w:autoSpaceDE w:val="0"/>
                    <w:autoSpaceDN w:val="0"/>
                  </w:pPr>
                  <w:r>
                    <w:rPr>
                      <w:rFonts w:hint="eastAsia"/>
                    </w:rPr>
                    <w:t>废气</w:t>
                  </w:r>
                </w:p>
              </w:tc>
              <w:tc>
                <w:tcPr>
                  <w:tcW w:w="516" w:type="pct"/>
                  <w:vAlign w:val="center"/>
                </w:tcPr>
                <w:p w14:paraId="5F36602F">
                  <w:pPr>
                    <w:pStyle w:val="73"/>
                    <w:overflowPunct w:val="0"/>
                    <w:topLinePunct/>
                    <w:autoSpaceDE w:val="0"/>
                    <w:autoSpaceDN w:val="0"/>
                  </w:pPr>
                  <w:r>
                    <w:rPr>
                      <w:rFonts w:hint="eastAsia"/>
                    </w:rPr>
                    <w:t>G1-1</w:t>
                  </w:r>
                </w:p>
              </w:tc>
              <w:tc>
                <w:tcPr>
                  <w:tcW w:w="775" w:type="pct"/>
                  <w:vAlign w:val="center"/>
                </w:tcPr>
                <w:p w14:paraId="7FA97AA2">
                  <w:pPr>
                    <w:pStyle w:val="73"/>
                    <w:overflowPunct w:val="0"/>
                    <w:topLinePunct/>
                    <w:autoSpaceDE w:val="0"/>
                    <w:autoSpaceDN w:val="0"/>
                  </w:pPr>
                  <w:r>
                    <w:rPr>
                      <w:rFonts w:hint="eastAsia"/>
                    </w:rPr>
                    <w:t>施工扬尘</w:t>
                  </w:r>
                </w:p>
              </w:tc>
              <w:tc>
                <w:tcPr>
                  <w:tcW w:w="949" w:type="pct"/>
                  <w:vAlign w:val="center"/>
                </w:tcPr>
                <w:p w14:paraId="41CA1A83">
                  <w:pPr>
                    <w:pStyle w:val="73"/>
                    <w:overflowPunct w:val="0"/>
                    <w:topLinePunct/>
                    <w:autoSpaceDE w:val="0"/>
                    <w:autoSpaceDN w:val="0"/>
                  </w:pPr>
                  <w:r>
                    <w:rPr>
                      <w:rFonts w:hint="eastAsia"/>
                    </w:rPr>
                    <w:t>颗粒物</w:t>
                  </w:r>
                </w:p>
              </w:tc>
              <w:tc>
                <w:tcPr>
                  <w:tcW w:w="1543" w:type="pct"/>
                  <w:vAlign w:val="center"/>
                </w:tcPr>
                <w:p w14:paraId="24275BC9">
                  <w:pPr>
                    <w:pStyle w:val="73"/>
                    <w:overflowPunct w:val="0"/>
                    <w:topLinePunct/>
                    <w:autoSpaceDE w:val="0"/>
                    <w:autoSpaceDN w:val="0"/>
                  </w:pPr>
                  <w:r>
                    <w:rPr>
                      <w:rFonts w:hint="eastAsia"/>
                    </w:rPr>
                    <w:t>施工材料密闭运输；湿法施工作业；加强施工管理等</w:t>
                  </w:r>
                </w:p>
              </w:tc>
              <w:tc>
                <w:tcPr>
                  <w:tcW w:w="561" w:type="pct"/>
                  <w:vAlign w:val="center"/>
                </w:tcPr>
                <w:p w14:paraId="3169804E">
                  <w:pPr>
                    <w:pStyle w:val="73"/>
                    <w:overflowPunct w:val="0"/>
                    <w:topLinePunct/>
                    <w:autoSpaceDE w:val="0"/>
                    <w:autoSpaceDN w:val="0"/>
                  </w:pPr>
                  <w:r>
                    <w:rPr>
                      <w:rFonts w:hint="eastAsia"/>
                    </w:rPr>
                    <w:t>间断</w:t>
                  </w:r>
                </w:p>
              </w:tc>
            </w:tr>
            <w:tr w14:paraId="41CD229E">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223" w:type="pct"/>
                  <w:vMerge w:val="continue"/>
                  <w:vAlign w:val="center"/>
                </w:tcPr>
                <w:p w14:paraId="7451099D">
                  <w:pPr>
                    <w:pStyle w:val="73"/>
                    <w:overflowPunct w:val="0"/>
                    <w:topLinePunct/>
                    <w:autoSpaceDE w:val="0"/>
                    <w:autoSpaceDN w:val="0"/>
                  </w:pPr>
                </w:p>
              </w:tc>
              <w:tc>
                <w:tcPr>
                  <w:tcW w:w="430" w:type="pct"/>
                  <w:vAlign w:val="center"/>
                </w:tcPr>
                <w:p w14:paraId="701333DC">
                  <w:pPr>
                    <w:pStyle w:val="73"/>
                    <w:overflowPunct w:val="0"/>
                    <w:topLinePunct/>
                    <w:autoSpaceDE w:val="0"/>
                    <w:autoSpaceDN w:val="0"/>
                  </w:pPr>
                  <w:r>
                    <w:rPr>
                      <w:rFonts w:hint="eastAsia"/>
                    </w:rPr>
                    <w:t>废水</w:t>
                  </w:r>
                </w:p>
              </w:tc>
              <w:tc>
                <w:tcPr>
                  <w:tcW w:w="516" w:type="pct"/>
                  <w:vAlign w:val="center"/>
                </w:tcPr>
                <w:p w14:paraId="6D790B12">
                  <w:pPr>
                    <w:pStyle w:val="73"/>
                    <w:overflowPunct w:val="0"/>
                    <w:topLinePunct/>
                    <w:autoSpaceDE w:val="0"/>
                    <w:autoSpaceDN w:val="0"/>
                  </w:pPr>
                  <w:r>
                    <w:rPr>
                      <w:rFonts w:hint="eastAsia"/>
                    </w:rPr>
                    <w:t>W1-1</w:t>
                  </w:r>
                </w:p>
              </w:tc>
              <w:tc>
                <w:tcPr>
                  <w:tcW w:w="775" w:type="pct"/>
                  <w:vAlign w:val="center"/>
                </w:tcPr>
                <w:p w14:paraId="24705769">
                  <w:pPr>
                    <w:pStyle w:val="73"/>
                    <w:overflowPunct w:val="0"/>
                    <w:topLinePunct/>
                    <w:autoSpaceDE w:val="0"/>
                    <w:autoSpaceDN w:val="0"/>
                  </w:pPr>
                  <w:r>
                    <w:rPr>
                      <w:rFonts w:hint="eastAsia"/>
                    </w:rPr>
                    <w:t>生活污水</w:t>
                  </w:r>
                </w:p>
              </w:tc>
              <w:tc>
                <w:tcPr>
                  <w:tcW w:w="949" w:type="pct"/>
                  <w:vAlign w:val="center"/>
                </w:tcPr>
                <w:p w14:paraId="3202D8E7">
                  <w:pPr>
                    <w:pStyle w:val="73"/>
                    <w:overflowPunct w:val="0"/>
                    <w:topLinePunct/>
                    <w:autoSpaceDE w:val="0"/>
                    <w:autoSpaceDN w:val="0"/>
                  </w:pPr>
                  <w:r>
                    <w:rPr>
                      <w:rFonts w:hint="eastAsia"/>
                    </w:rPr>
                    <w:t>COD、NH3-N、BOD5、SS</w:t>
                  </w:r>
                </w:p>
              </w:tc>
              <w:tc>
                <w:tcPr>
                  <w:tcW w:w="1543" w:type="pct"/>
                  <w:vAlign w:val="center"/>
                </w:tcPr>
                <w:p w14:paraId="0AD99041">
                  <w:pPr>
                    <w:pStyle w:val="73"/>
                    <w:overflowPunct w:val="0"/>
                    <w:topLinePunct/>
                    <w:autoSpaceDE w:val="0"/>
                    <w:autoSpaceDN w:val="0"/>
                  </w:pPr>
                  <w:r>
                    <w:rPr>
                      <w:rFonts w:hint="eastAsia"/>
                    </w:rPr>
                    <w:t>依托厂内现有生活污水处理系统</w:t>
                  </w:r>
                </w:p>
              </w:tc>
              <w:tc>
                <w:tcPr>
                  <w:tcW w:w="561" w:type="pct"/>
                  <w:vAlign w:val="center"/>
                </w:tcPr>
                <w:p w14:paraId="2F0BABF3">
                  <w:pPr>
                    <w:pStyle w:val="73"/>
                    <w:overflowPunct w:val="0"/>
                    <w:topLinePunct/>
                    <w:autoSpaceDE w:val="0"/>
                    <w:autoSpaceDN w:val="0"/>
                  </w:pPr>
                  <w:r>
                    <w:rPr>
                      <w:rFonts w:hint="eastAsia"/>
                    </w:rPr>
                    <w:t>间断</w:t>
                  </w:r>
                </w:p>
              </w:tc>
            </w:tr>
            <w:tr w14:paraId="05D92DD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223" w:type="pct"/>
                  <w:vMerge w:val="continue"/>
                  <w:vAlign w:val="center"/>
                </w:tcPr>
                <w:p w14:paraId="38069176">
                  <w:pPr>
                    <w:pStyle w:val="73"/>
                    <w:overflowPunct w:val="0"/>
                    <w:topLinePunct/>
                    <w:autoSpaceDE w:val="0"/>
                    <w:autoSpaceDN w:val="0"/>
                  </w:pPr>
                </w:p>
              </w:tc>
              <w:tc>
                <w:tcPr>
                  <w:tcW w:w="430" w:type="pct"/>
                  <w:vAlign w:val="center"/>
                </w:tcPr>
                <w:p w14:paraId="4217B810">
                  <w:pPr>
                    <w:pStyle w:val="73"/>
                    <w:overflowPunct w:val="0"/>
                    <w:topLinePunct/>
                    <w:autoSpaceDE w:val="0"/>
                    <w:autoSpaceDN w:val="0"/>
                  </w:pPr>
                  <w:r>
                    <w:rPr>
                      <w:rFonts w:hint="eastAsia"/>
                    </w:rPr>
                    <w:t>噪声</w:t>
                  </w:r>
                </w:p>
              </w:tc>
              <w:tc>
                <w:tcPr>
                  <w:tcW w:w="516" w:type="pct"/>
                  <w:vAlign w:val="center"/>
                </w:tcPr>
                <w:p w14:paraId="6AAF9702">
                  <w:pPr>
                    <w:pStyle w:val="73"/>
                    <w:overflowPunct w:val="0"/>
                    <w:topLinePunct/>
                    <w:autoSpaceDE w:val="0"/>
                    <w:autoSpaceDN w:val="0"/>
                  </w:pPr>
                  <w:r>
                    <w:rPr>
                      <w:rFonts w:hint="eastAsia"/>
                    </w:rPr>
                    <w:t>N1-1</w:t>
                  </w:r>
                </w:p>
              </w:tc>
              <w:tc>
                <w:tcPr>
                  <w:tcW w:w="775" w:type="pct"/>
                  <w:vAlign w:val="center"/>
                </w:tcPr>
                <w:p w14:paraId="38394041">
                  <w:pPr>
                    <w:pStyle w:val="73"/>
                    <w:overflowPunct w:val="0"/>
                    <w:topLinePunct/>
                    <w:autoSpaceDE w:val="0"/>
                    <w:autoSpaceDN w:val="0"/>
                  </w:pPr>
                  <w:r>
                    <w:rPr>
                      <w:rFonts w:hint="eastAsia"/>
                    </w:rPr>
                    <w:t>施工噪声</w:t>
                  </w:r>
                </w:p>
              </w:tc>
              <w:tc>
                <w:tcPr>
                  <w:tcW w:w="949" w:type="pct"/>
                  <w:vAlign w:val="center"/>
                </w:tcPr>
                <w:p w14:paraId="6CBA59F2">
                  <w:pPr>
                    <w:pStyle w:val="73"/>
                    <w:overflowPunct w:val="0"/>
                    <w:topLinePunct/>
                    <w:autoSpaceDE w:val="0"/>
                    <w:autoSpaceDN w:val="0"/>
                  </w:pPr>
                  <w:r>
                    <w:rPr>
                      <w:rFonts w:hint="eastAsia"/>
                    </w:rPr>
                    <w:t>A声级</w:t>
                  </w:r>
                </w:p>
              </w:tc>
              <w:tc>
                <w:tcPr>
                  <w:tcW w:w="1543" w:type="pct"/>
                  <w:vAlign w:val="center"/>
                </w:tcPr>
                <w:p w14:paraId="0424318A">
                  <w:pPr>
                    <w:pStyle w:val="73"/>
                    <w:overflowPunct w:val="0"/>
                    <w:topLinePunct/>
                    <w:autoSpaceDE w:val="0"/>
                    <w:autoSpaceDN w:val="0"/>
                  </w:pPr>
                  <w:r>
                    <w:rPr>
                      <w:rFonts w:hint="eastAsia"/>
                    </w:rPr>
                    <w:t>合理制定施工时间；选用低噪声施工机械等</w:t>
                  </w:r>
                </w:p>
              </w:tc>
              <w:tc>
                <w:tcPr>
                  <w:tcW w:w="561" w:type="pct"/>
                  <w:vAlign w:val="center"/>
                </w:tcPr>
                <w:p w14:paraId="2DCD2FB2">
                  <w:pPr>
                    <w:pStyle w:val="73"/>
                    <w:overflowPunct w:val="0"/>
                    <w:topLinePunct/>
                    <w:autoSpaceDE w:val="0"/>
                    <w:autoSpaceDN w:val="0"/>
                  </w:pPr>
                  <w:r>
                    <w:rPr>
                      <w:rFonts w:hint="eastAsia"/>
                    </w:rPr>
                    <w:t>间断</w:t>
                  </w:r>
                </w:p>
              </w:tc>
            </w:tr>
            <w:tr w14:paraId="751E86C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223" w:type="pct"/>
                  <w:vMerge w:val="continue"/>
                  <w:vAlign w:val="center"/>
                </w:tcPr>
                <w:p w14:paraId="00451C6B">
                  <w:pPr>
                    <w:pStyle w:val="73"/>
                    <w:overflowPunct w:val="0"/>
                    <w:topLinePunct/>
                    <w:autoSpaceDE w:val="0"/>
                    <w:autoSpaceDN w:val="0"/>
                  </w:pPr>
                </w:p>
              </w:tc>
              <w:tc>
                <w:tcPr>
                  <w:tcW w:w="430" w:type="pct"/>
                  <w:vAlign w:val="center"/>
                </w:tcPr>
                <w:p w14:paraId="0981B2EF">
                  <w:pPr>
                    <w:pStyle w:val="73"/>
                    <w:overflowPunct w:val="0"/>
                    <w:topLinePunct/>
                    <w:autoSpaceDE w:val="0"/>
                    <w:autoSpaceDN w:val="0"/>
                  </w:pPr>
                  <w:r>
                    <w:rPr>
                      <w:rFonts w:hint="eastAsia"/>
                    </w:rPr>
                    <w:t>固废</w:t>
                  </w:r>
                </w:p>
              </w:tc>
              <w:tc>
                <w:tcPr>
                  <w:tcW w:w="516" w:type="pct"/>
                  <w:vAlign w:val="center"/>
                </w:tcPr>
                <w:p w14:paraId="502B960C">
                  <w:pPr>
                    <w:pStyle w:val="73"/>
                    <w:overflowPunct w:val="0"/>
                    <w:topLinePunct/>
                    <w:autoSpaceDE w:val="0"/>
                    <w:autoSpaceDN w:val="0"/>
                  </w:pPr>
                  <w:r>
                    <w:rPr>
                      <w:rFonts w:hint="eastAsia"/>
                    </w:rPr>
                    <w:t>S1-1</w:t>
                  </w:r>
                </w:p>
              </w:tc>
              <w:tc>
                <w:tcPr>
                  <w:tcW w:w="775" w:type="pct"/>
                  <w:vAlign w:val="center"/>
                </w:tcPr>
                <w:p w14:paraId="441AFB37">
                  <w:pPr>
                    <w:pStyle w:val="73"/>
                    <w:overflowPunct w:val="0"/>
                    <w:topLinePunct/>
                    <w:autoSpaceDE w:val="0"/>
                    <w:autoSpaceDN w:val="0"/>
                  </w:pPr>
                  <w:r>
                    <w:rPr>
                      <w:rFonts w:hint="eastAsia"/>
                    </w:rPr>
                    <w:t>施工生活垃圾</w:t>
                  </w:r>
                </w:p>
              </w:tc>
              <w:tc>
                <w:tcPr>
                  <w:tcW w:w="949" w:type="pct"/>
                  <w:vAlign w:val="center"/>
                </w:tcPr>
                <w:p w14:paraId="6E0A1B7D">
                  <w:pPr>
                    <w:pStyle w:val="73"/>
                    <w:overflowPunct w:val="0"/>
                    <w:topLinePunct/>
                    <w:autoSpaceDE w:val="0"/>
                    <w:autoSpaceDN w:val="0"/>
                  </w:pPr>
                  <w:r>
                    <w:rPr>
                      <w:rFonts w:hint="eastAsia"/>
                    </w:rPr>
                    <w:t>/</w:t>
                  </w:r>
                </w:p>
              </w:tc>
              <w:tc>
                <w:tcPr>
                  <w:tcW w:w="1543" w:type="pct"/>
                  <w:vAlign w:val="center"/>
                </w:tcPr>
                <w:p w14:paraId="299F831D">
                  <w:pPr>
                    <w:pStyle w:val="73"/>
                    <w:overflowPunct w:val="0"/>
                    <w:topLinePunct/>
                    <w:autoSpaceDE w:val="0"/>
                    <w:autoSpaceDN w:val="0"/>
                  </w:pPr>
                  <w:r>
                    <w:rPr>
                      <w:rFonts w:hint="eastAsia"/>
                    </w:rPr>
                    <w:t>环卫部门清运</w:t>
                  </w:r>
                </w:p>
              </w:tc>
              <w:tc>
                <w:tcPr>
                  <w:tcW w:w="561" w:type="pct"/>
                  <w:vAlign w:val="center"/>
                </w:tcPr>
                <w:p w14:paraId="2C3DC0C9">
                  <w:pPr>
                    <w:pStyle w:val="73"/>
                    <w:overflowPunct w:val="0"/>
                    <w:topLinePunct/>
                    <w:autoSpaceDE w:val="0"/>
                    <w:autoSpaceDN w:val="0"/>
                  </w:pPr>
                  <w:r>
                    <w:rPr>
                      <w:rFonts w:hint="eastAsia"/>
                    </w:rPr>
                    <w:t>间断</w:t>
                  </w:r>
                </w:p>
              </w:tc>
            </w:tr>
            <w:tr w14:paraId="1872780C">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223" w:type="pct"/>
                  <w:vMerge w:val="restart"/>
                  <w:vAlign w:val="center"/>
                </w:tcPr>
                <w:p w14:paraId="630A02A3">
                  <w:pPr>
                    <w:pStyle w:val="73"/>
                    <w:overflowPunct w:val="0"/>
                    <w:topLinePunct/>
                    <w:autoSpaceDE w:val="0"/>
                    <w:autoSpaceDN w:val="0"/>
                  </w:pPr>
                  <w:r>
                    <w:rPr>
                      <w:rFonts w:hint="eastAsia"/>
                    </w:rPr>
                    <w:t>运营期</w:t>
                  </w:r>
                </w:p>
              </w:tc>
              <w:tc>
                <w:tcPr>
                  <w:tcW w:w="430" w:type="pct"/>
                  <w:vAlign w:val="center"/>
                </w:tcPr>
                <w:p w14:paraId="4F7D1D56">
                  <w:pPr>
                    <w:pStyle w:val="73"/>
                    <w:overflowPunct w:val="0"/>
                    <w:topLinePunct/>
                    <w:autoSpaceDE w:val="0"/>
                    <w:autoSpaceDN w:val="0"/>
                  </w:pPr>
                  <w:r>
                    <w:rPr>
                      <w:rFonts w:hint="eastAsia"/>
                    </w:rPr>
                    <w:t>废气</w:t>
                  </w:r>
                </w:p>
              </w:tc>
              <w:tc>
                <w:tcPr>
                  <w:tcW w:w="4345" w:type="pct"/>
                  <w:gridSpan w:val="5"/>
                  <w:vAlign w:val="center"/>
                </w:tcPr>
                <w:p w14:paraId="1E1FF903">
                  <w:pPr>
                    <w:pStyle w:val="73"/>
                    <w:overflowPunct w:val="0"/>
                    <w:topLinePunct/>
                    <w:autoSpaceDE w:val="0"/>
                    <w:autoSpaceDN w:val="0"/>
                  </w:pPr>
                  <w:r>
                    <w:rPr>
                      <w:rFonts w:hint="eastAsia"/>
                    </w:rPr>
                    <w:t>无废气产生</w:t>
                  </w:r>
                </w:p>
              </w:tc>
            </w:tr>
            <w:tr w14:paraId="5BFE695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223" w:type="pct"/>
                  <w:vMerge w:val="continue"/>
                  <w:vAlign w:val="center"/>
                </w:tcPr>
                <w:p w14:paraId="541EA088">
                  <w:pPr>
                    <w:pStyle w:val="73"/>
                    <w:overflowPunct w:val="0"/>
                    <w:topLinePunct/>
                    <w:autoSpaceDE w:val="0"/>
                    <w:autoSpaceDN w:val="0"/>
                  </w:pPr>
                </w:p>
              </w:tc>
              <w:tc>
                <w:tcPr>
                  <w:tcW w:w="430" w:type="pct"/>
                  <w:vAlign w:val="center"/>
                </w:tcPr>
                <w:p w14:paraId="617A7438">
                  <w:pPr>
                    <w:pStyle w:val="73"/>
                    <w:overflowPunct w:val="0"/>
                    <w:topLinePunct/>
                    <w:autoSpaceDE w:val="0"/>
                    <w:autoSpaceDN w:val="0"/>
                  </w:pPr>
                  <w:r>
                    <w:rPr>
                      <w:rFonts w:hint="eastAsia"/>
                    </w:rPr>
                    <w:t>废水</w:t>
                  </w:r>
                </w:p>
              </w:tc>
              <w:tc>
                <w:tcPr>
                  <w:tcW w:w="4345" w:type="pct"/>
                  <w:gridSpan w:val="5"/>
                  <w:vAlign w:val="center"/>
                </w:tcPr>
                <w:p w14:paraId="63A013F1">
                  <w:pPr>
                    <w:pStyle w:val="73"/>
                    <w:overflowPunct w:val="0"/>
                    <w:topLinePunct/>
                    <w:autoSpaceDE w:val="0"/>
                    <w:autoSpaceDN w:val="0"/>
                  </w:pPr>
                  <w:r>
                    <w:rPr>
                      <w:rFonts w:hint="eastAsia"/>
                    </w:rPr>
                    <w:t>无废水产生</w:t>
                  </w:r>
                </w:p>
              </w:tc>
            </w:tr>
            <w:tr w14:paraId="4AC9FCD6">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223" w:type="pct"/>
                  <w:vMerge w:val="continue"/>
                  <w:vAlign w:val="center"/>
                </w:tcPr>
                <w:p w14:paraId="3F4D899F">
                  <w:pPr>
                    <w:pStyle w:val="73"/>
                    <w:overflowPunct w:val="0"/>
                    <w:topLinePunct/>
                    <w:autoSpaceDE w:val="0"/>
                    <w:autoSpaceDN w:val="0"/>
                  </w:pPr>
                </w:p>
              </w:tc>
              <w:tc>
                <w:tcPr>
                  <w:tcW w:w="430" w:type="pct"/>
                  <w:vAlign w:val="center"/>
                </w:tcPr>
                <w:p w14:paraId="75E8E88A">
                  <w:pPr>
                    <w:pStyle w:val="73"/>
                    <w:overflowPunct w:val="0"/>
                    <w:topLinePunct/>
                    <w:autoSpaceDE w:val="0"/>
                    <w:autoSpaceDN w:val="0"/>
                  </w:pPr>
                  <w:r>
                    <w:rPr>
                      <w:rFonts w:hint="eastAsia"/>
                    </w:rPr>
                    <w:t>噪声</w:t>
                  </w:r>
                </w:p>
              </w:tc>
              <w:tc>
                <w:tcPr>
                  <w:tcW w:w="4345" w:type="pct"/>
                  <w:gridSpan w:val="5"/>
                  <w:vAlign w:val="center"/>
                </w:tcPr>
                <w:p w14:paraId="0B591890">
                  <w:pPr>
                    <w:pStyle w:val="73"/>
                    <w:overflowPunct w:val="0"/>
                    <w:topLinePunct/>
                    <w:autoSpaceDE w:val="0"/>
                    <w:autoSpaceDN w:val="0"/>
                  </w:pPr>
                  <w:r>
                    <w:rPr>
                      <w:rFonts w:hint="eastAsia"/>
                    </w:rPr>
                    <w:t>本项目叉车依托厂内现有，不新增噪声源</w:t>
                  </w:r>
                </w:p>
              </w:tc>
            </w:tr>
            <w:tr w14:paraId="5361738E">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223" w:type="pct"/>
                  <w:vMerge w:val="continue"/>
                  <w:vAlign w:val="center"/>
                </w:tcPr>
                <w:p w14:paraId="0C677D0B">
                  <w:pPr>
                    <w:pStyle w:val="73"/>
                    <w:overflowPunct w:val="0"/>
                    <w:topLinePunct/>
                    <w:autoSpaceDE w:val="0"/>
                    <w:autoSpaceDN w:val="0"/>
                  </w:pPr>
                </w:p>
              </w:tc>
              <w:tc>
                <w:tcPr>
                  <w:tcW w:w="430" w:type="pct"/>
                  <w:vAlign w:val="center"/>
                </w:tcPr>
                <w:p w14:paraId="3F8B1263">
                  <w:pPr>
                    <w:pStyle w:val="73"/>
                    <w:overflowPunct w:val="0"/>
                    <w:topLinePunct/>
                    <w:autoSpaceDE w:val="0"/>
                    <w:autoSpaceDN w:val="0"/>
                  </w:pPr>
                  <w:r>
                    <w:rPr>
                      <w:rFonts w:hint="eastAsia"/>
                    </w:rPr>
                    <w:t>固废</w:t>
                  </w:r>
                </w:p>
              </w:tc>
              <w:tc>
                <w:tcPr>
                  <w:tcW w:w="4345" w:type="pct"/>
                  <w:gridSpan w:val="5"/>
                  <w:vAlign w:val="center"/>
                </w:tcPr>
                <w:p w14:paraId="4DD8874C">
                  <w:pPr>
                    <w:pStyle w:val="73"/>
                    <w:overflowPunct w:val="0"/>
                    <w:topLinePunct/>
                    <w:autoSpaceDE w:val="0"/>
                    <w:autoSpaceDN w:val="0"/>
                  </w:pPr>
                  <w:r>
                    <w:rPr>
                      <w:rFonts w:hint="eastAsia"/>
                    </w:rPr>
                    <w:t>无固废产生</w:t>
                  </w:r>
                </w:p>
              </w:tc>
            </w:tr>
          </w:tbl>
          <w:p w14:paraId="259AFF61">
            <w:pPr>
              <w:spacing w:line="480" w:lineRule="exact"/>
              <w:ind w:firstLine="480" w:firstLineChars="200"/>
              <w:rPr>
                <w:rFonts w:ascii="宋体" w:hAnsi="宋体"/>
                <w:bCs/>
                <w:color w:val="000000"/>
                <w:szCs w:val="21"/>
              </w:rPr>
            </w:pPr>
          </w:p>
        </w:tc>
      </w:tr>
      <w:tr w14:paraId="03CF82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403" w:type="dxa"/>
            <w:vAlign w:val="center"/>
          </w:tcPr>
          <w:p w14:paraId="31BDB684">
            <w:pPr>
              <w:pStyle w:val="24"/>
              <w:adjustRightInd w:val="0"/>
              <w:snapToGrid w:val="0"/>
              <w:spacing w:before="0" w:beforeAutospacing="0" w:after="0" w:afterAutospacing="0"/>
              <w:jc w:val="both"/>
              <w:rPr>
                <w:rFonts w:cs="宋体"/>
                <w:color w:val="000000"/>
                <w:sz w:val="21"/>
                <w:szCs w:val="21"/>
              </w:rPr>
            </w:pPr>
            <w:r>
              <w:rPr>
                <w:rFonts w:hint="eastAsia" w:cs="宋体"/>
                <w:bCs/>
                <w:color w:val="000000"/>
                <w:kern w:val="2"/>
                <w:szCs w:val="24"/>
              </w:rPr>
              <w:t>与项目有关的原有环境污染问题</w:t>
            </w:r>
          </w:p>
        </w:tc>
        <w:tc>
          <w:tcPr>
            <w:tcW w:w="8657" w:type="dxa"/>
          </w:tcPr>
          <w:p w14:paraId="631B169D">
            <w:pPr>
              <w:adjustRightInd w:val="0"/>
              <w:snapToGrid w:val="0"/>
              <w:spacing w:line="480" w:lineRule="exact"/>
              <w:ind w:firstLine="482" w:firstLineChars="200"/>
              <w:rPr>
                <w:b/>
                <w:color w:val="000000"/>
                <w:szCs w:val="21"/>
              </w:rPr>
            </w:pPr>
            <w:r>
              <w:rPr>
                <w:rFonts w:hint="eastAsia"/>
                <w:b/>
                <w:color w:val="000000"/>
                <w:szCs w:val="21"/>
              </w:rPr>
              <w:t>1、现有工程环保手续履行情况</w:t>
            </w:r>
          </w:p>
          <w:p w14:paraId="24AC7591">
            <w:pPr>
              <w:adjustRightInd w:val="0"/>
              <w:snapToGrid w:val="0"/>
              <w:spacing w:line="480" w:lineRule="exact"/>
              <w:ind w:firstLine="480" w:firstLineChars="200"/>
              <w:rPr>
                <w:lang w:val="zh-CN"/>
              </w:rPr>
            </w:pPr>
            <w:r>
              <w:rPr>
                <w:rFonts w:hint="eastAsia" w:cs="宋体"/>
                <w:color w:val="000000"/>
                <w:kern w:val="0"/>
                <w:szCs w:val="21"/>
              </w:rPr>
              <w:t>河北文丰实业集团成立于2020年2月，是一家集炼铁、炼钢、轧钢、冶金级氧化铝等生产为一体的大型民营企业集团。河北文丰新材料有限公司为集团全资子公司，位于曹妃甸中小企业园区，主要从事冶金级氧化铝的生产，公司现有4条</w:t>
            </w:r>
            <w:r>
              <w:rPr>
                <w:color w:val="000000" w:themeColor="text1"/>
              </w:rPr>
              <w:t>年产120万吨冶金级氧化铝</w:t>
            </w:r>
            <w:r>
              <w:rPr>
                <w:rFonts w:hint="eastAsia"/>
                <w:color w:val="000000" w:themeColor="text1"/>
              </w:rPr>
              <w:t>生产线，合计产能480万吨/年</w:t>
            </w:r>
            <w:r>
              <w:rPr>
                <w:rFonts w:hint="eastAsia" w:cs="宋体"/>
                <w:color w:val="000000"/>
                <w:kern w:val="0"/>
                <w:szCs w:val="21"/>
              </w:rPr>
              <w:t>。</w:t>
            </w:r>
          </w:p>
          <w:p w14:paraId="6A1A87BA">
            <w:pPr>
              <w:adjustRightInd w:val="0"/>
              <w:snapToGrid w:val="0"/>
              <w:spacing w:line="480" w:lineRule="exact"/>
              <w:ind w:firstLine="480" w:firstLineChars="200"/>
              <w:rPr>
                <w:bCs/>
                <w:color w:val="000000"/>
                <w:szCs w:val="21"/>
              </w:rPr>
            </w:pPr>
            <w:r>
              <w:rPr>
                <w:rFonts w:hint="eastAsia"/>
                <w:bCs/>
                <w:color w:val="000000"/>
                <w:szCs w:val="21"/>
              </w:rPr>
              <w:t>文丰新材料现有工程及环保手续履行情况见下表。</w:t>
            </w:r>
          </w:p>
          <w:p w14:paraId="24E3B0A4">
            <w:pPr>
              <w:autoSpaceDE w:val="0"/>
              <w:autoSpaceDN w:val="0"/>
              <w:adjustRightInd w:val="0"/>
              <w:snapToGrid w:val="0"/>
              <w:spacing w:line="480" w:lineRule="exact"/>
              <w:jc w:val="center"/>
              <w:rPr>
                <w:rFonts w:eastAsia="黑体" w:cs="宋体"/>
                <w:color w:val="000000"/>
                <w:kern w:val="0"/>
                <w:szCs w:val="21"/>
              </w:rPr>
            </w:pPr>
            <w:r>
              <w:rPr>
                <w:rFonts w:hint="eastAsia" w:eastAsia="黑体" w:cs="宋体"/>
                <w:color w:val="000000"/>
                <w:kern w:val="0"/>
                <w:szCs w:val="21"/>
              </w:rPr>
              <w:t>表</w:t>
            </w:r>
            <w:r>
              <w:rPr>
                <w:rFonts w:eastAsia="黑体" w:cs="宋体"/>
                <w:color w:val="000000"/>
                <w:kern w:val="0"/>
                <w:szCs w:val="21"/>
              </w:rPr>
              <w:t xml:space="preserve">2.3  </w:t>
            </w:r>
            <w:r>
              <w:rPr>
                <w:rFonts w:hint="eastAsia" w:eastAsia="黑体" w:cs="宋体"/>
                <w:color w:val="000000"/>
                <w:kern w:val="0"/>
                <w:szCs w:val="21"/>
              </w:rPr>
              <w:t>文丰新材料现有工程及环保手续履行情况一览表</w:t>
            </w:r>
          </w:p>
          <w:tbl>
            <w:tblPr>
              <w:tblStyle w:val="28"/>
              <w:tblW w:w="487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9"/>
              <w:gridCol w:w="1807"/>
              <w:gridCol w:w="954"/>
              <w:gridCol w:w="109"/>
              <w:gridCol w:w="1063"/>
              <w:gridCol w:w="7"/>
              <w:gridCol w:w="1058"/>
              <w:gridCol w:w="907"/>
              <w:gridCol w:w="967"/>
              <w:gridCol w:w="916"/>
            </w:tblGrid>
            <w:tr w14:paraId="170374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67" w:type="pct"/>
                  <w:vMerge w:val="restart"/>
                  <w:vAlign w:val="center"/>
                </w:tcPr>
                <w:p w14:paraId="69D4D3FC">
                  <w:pPr>
                    <w:pStyle w:val="73"/>
                    <w:rPr>
                      <w:color w:val="000000" w:themeColor="text1"/>
                    </w:rPr>
                  </w:pPr>
                  <w:r>
                    <w:rPr>
                      <w:color w:val="000000" w:themeColor="text1"/>
                    </w:rPr>
                    <w:t>序号</w:t>
                  </w:r>
                </w:p>
              </w:tc>
              <w:tc>
                <w:tcPr>
                  <w:tcW w:w="1098" w:type="pct"/>
                  <w:vMerge w:val="restart"/>
                  <w:tcMar>
                    <w:top w:w="0" w:type="dxa"/>
                    <w:left w:w="28" w:type="dxa"/>
                    <w:bottom w:w="0" w:type="dxa"/>
                    <w:right w:w="28" w:type="dxa"/>
                  </w:tcMar>
                  <w:vAlign w:val="center"/>
                </w:tcPr>
                <w:p w14:paraId="6EAA0932">
                  <w:pPr>
                    <w:pStyle w:val="73"/>
                    <w:rPr>
                      <w:color w:val="000000" w:themeColor="text1"/>
                    </w:rPr>
                  </w:pPr>
                  <w:r>
                    <w:rPr>
                      <w:color w:val="000000" w:themeColor="text1"/>
                    </w:rPr>
                    <w:t>建设项目名称</w:t>
                  </w:r>
                </w:p>
              </w:tc>
              <w:tc>
                <w:tcPr>
                  <w:tcW w:w="1938" w:type="pct"/>
                  <w:gridSpan w:val="5"/>
                  <w:tcMar>
                    <w:top w:w="0" w:type="dxa"/>
                    <w:left w:w="28" w:type="dxa"/>
                    <w:bottom w:w="0" w:type="dxa"/>
                    <w:right w:w="28" w:type="dxa"/>
                  </w:tcMar>
                  <w:vAlign w:val="center"/>
                </w:tcPr>
                <w:p w14:paraId="7F9E3D27">
                  <w:pPr>
                    <w:pStyle w:val="73"/>
                    <w:rPr>
                      <w:color w:val="000000" w:themeColor="text1"/>
                    </w:rPr>
                  </w:pPr>
                  <w:r>
                    <w:rPr>
                      <w:color w:val="000000" w:themeColor="text1"/>
                    </w:rPr>
                    <w:t>环境影响评价</w:t>
                  </w:r>
                </w:p>
              </w:tc>
              <w:tc>
                <w:tcPr>
                  <w:tcW w:w="1696" w:type="pct"/>
                  <w:gridSpan w:val="3"/>
                  <w:tcMar>
                    <w:top w:w="0" w:type="dxa"/>
                    <w:left w:w="28" w:type="dxa"/>
                    <w:bottom w:w="0" w:type="dxa"/>
                    <w:right w:w="28" w:type="dxa"/>
                  </w:tcMar>
                  <w:vAlign w:val="center"/>
                </w:tcPr>
                <w:p w14:paraId="23811753">
                  <w:pPr>
                    <w:pStyle w:val="73"/>
                    <w:rPr>
                      <w:color w:val="000000" w:themeColor="text1"/>
                    </w:rPr>
                  </w:pPr>
                  <w:r>
                    <w:rPr>
                      <w:color w:val="000000" w:themeColor="text1"/>
                    </w:rPr>
                    <w:t>竣工环境保护验收</w:t>
                  </w:r>
                </w:p>
              </w:tc>
            </w:tr>
            <w:tr w14:paraId="00D8B2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67" w:type="pct"/>
                  <w:vMerge w:val="continue"/>
                  <w:vAlign w:val="center"/>
                </w:tcPr>
                <w:p w14:paraId="2F99C0C2">
                  <w:pPr>
                    <w:pStyle w:val="73"/>
                    <w:rPr>
                      <w:color w:val="000000" w:themeColor="text1"/>
                    </w:rPr>
                  </w:pPr>
                </w:p>
              </w:tc>
              <w:tc>
                <w:tcPr>
                  <w:tcW w:w="1098" w:type="pct"/>
                  <w:vMerge w:val="continue"/>
                  <w:vAlign w:val="center"/>
                </w:tcPr>
                <w:p w14:paraId="1417AB83">
                  <w:pPr>
                    <w:pStyle w:val="73"/>
                    <w:rPr>
                      <w:color w:val="000000" w:themeColor="text1"/>
                    </w:rPr>
                  </w:pPr>
                </w:p>
              </w:tc>
              <w:tc>
                <w:tcPr>
                  <w:tcW w:w="580" w:type="pct"/>
                  <w:tcMar>
                    <w:top w:w="0" w:type="dxa"/>
                    <w:left w:w="28" w:type="dxa"/>
                    <w:bottom w:w="0" w:type="dxa"/>
                    <w:right w:w="28" w:type="dxa"/>
                  </w:tcMar>
                  <w:vAlign w:val="center"/>
                </w:tcPr>
                <w:p w14:paraId="21315010">
                  <w:pPr>
                    <w:pStyle w:val="73"/>
                    <w:rPr>
                      <w:color w:val="000000" w:themeColor="text1"/>
                    </w:rPr>
                  </w:pPr>
                  <w:r>
                    <w:rPr>
                      <w:color w:val="000000" w:themeColor="text1"/>
                    </w:rPr>
                    <w:t>审批单位</w:t>
                  </w:r>
                </w:p>
              </w:tc>
              <w:tc>
                <w:tcPr>
                  <w:tcW w:w="716" w:type="pct"/>
                  <w:gridSpan w:val="3"/>
                  <w:tcMar>
                    <w:top w:w="0" w:type="dxa"/>
                    <w:left w:w="28" w:type="dxa"/>
                    <w:bottom w:w="0" w:type="dxa"/>
                    <w:right w:w="28" w:type="dxa"/>
                  </w:tcMar>
                  <w:vAlign w:val="center"/>
                </w:tcPr>
                <w:p w14:paraId="180248EC">
                  <w:pPr>
                    <w:pStyle w:val="73"/>
                    <w:rPr>
                      <w:color w:val="000000" w:themeColor="text1"/>
                    </w:rPr>
                  </w:pPr>
                  <w:r>
                    <w:rPr>
                      <w:color w:val="000000" w:themeColor="text1"/>
                    </w:rPr>
                    <w:t>批准文号</w:t>
                  </w:r>
                </w:p>
              </w:tc>
              <w:tc>
                <w:tcPr>
                  <w:tcW w:w="643" w:type="pct"/>
                  <w:tcMar>
                    <w:top w:w="0" w:type="dxa"/>
                    <w:left w:w="28" w:type="dxa"/>
                    <w:bottom w:w="0" w:type="dxa"/>
                    <w:right w:w="28" w:type="dxa"/>
                  </w:tcMar>
                  <w:vAlign w:val="center"/>
                </w:tcPr>
                <w:p w14:paraId="0B3EA215">
                  <w:pPr>
                    <w:pStyle w:val="73"/>
                    <w:rPr>
                      <w:color w:val="000000" w:themeColor="text1"/>
                    </w:rPr>
                  </w:pPr>
                  <w:r>
                    <w:rPr>
                      <w:color w:val="000000" w:themeColor="text1"/>
                    </w:rPr>
                    <w:t>批准时间</w:t>
                  </w:r>
                </w:p>
              </w:tc>
              <w:tc>
                <w:tcPr>
                  <w:tcW w:w="551" w:type="pct"/>
                  <w:tcMar>
                    <w:top w:w="0" w:type="dxa"/>
                    <w:left w:w="28" w:type="dxa"/>
                    <w:bottom w:w="0" w:type="dxa"/>
                    <w:right w:w="28" w:type="dxa"/>
                  </w:tcMar>
                  <w:vAlign w:val="center"/>
                </w:tcPr>
                <w:p w14:paraId="5290F7D3">
                  <w:pPr>
                    <w:pStyle w:val="73"/>
                    <w:rPr>
                      <w:color w:val="000000" w:themeColor="text1"/>
                    </w:rPr>
                  </w:pPr>
                  <w:r>
                    <w:rPr>
                      <w:color w:val="000000" w:themeColor="text1"/>
                    </w:rPr>
                    <w:t>审批单位</w:t>
                  </w:r>
                </w:p>
              </w:tc>
              <w:tc>
                <w:tcPr>
                  <w:tcW w:w="588" w:type="pct"/>
                  <w:tcMar>
                    <w:top w:w="0" w:type="dxa"/>
                    <w:left w:w="28" w:type="dxa"/>
                    <w:bottom w:w="0" w:type="dxa"/>
                    <w:right w:w="28" w:type="dxa"/>
                  </w:tcMar>
                  <w:vAlign w:val="center"/>
                </w:tcPr>
                <w:p w14:paraId="1570A756">
                  <w:pPr>
                    <w:pStyle w:val="73"/>
                    <w:rPr>
                      <w:color w:val="000000" w:themeColor="text1"/>
                    </w:rPr>
                  </w:pPr>
                  <w:r>
                    <w:rPr>
                      <w:color w:val="000000" w:themeColor="text1"/>
                    </w:rPr>
                    <w:t>批准文号</w:t>
                  </w:r>
                </w:p>
              </w:tc>
              <w:tc>
                <w:tcPr>
                  <w:tcW w:w="557" w:type="pct"/>
                  <w:tcMar>
                    <w:top w:w="0" w:type="dxa"/>
                    <w:left w:w="28" w:type="dxa"/>
                    <w:bottom w:w="0" w:type="dxa"/>
                    <w:right w:w="28" w:type="dxa"/>
                  </w:tcMar>
                  <w:vAlign w:val="center"/>
                </w:tcPr>
                <w:p w14:paraId="257EE990">
                  <w:pPr>
                    <w:pStyle w:val="73"/>
                    <w:rPr>
                      <w:color w:val="000000" w:themeColor="text1"/>
                    </w:rPr>
                  </w:pPr>
                  <w:r>
                    <w:rPr>
                      <w:color w:val="000000" w:themeColor="text1"/>
                    </w:rPr>
                    <w:t>批准时间</w:t>
                  </w:r>
                </w:p>
              </w:tc>
            </w:tr>
            <w:tr w14:paraId="429E0D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7" w:type="pct"/>
                  <w:vAlign w:val="center"/>
                </w:tcPr>
                <w:p w14:paraId="609205AE">
                  <w:pPr>
                    <w:pStyle w:val="73"/>
                    <w:rPr>
                      <w:color w:val="000000" w:themeColor="text1"/>
                    </w:rPr>
                  </w:pPr>
                  <w:r>
                    <w:rPr>
                      <w:rFonts w:hint="eastAsia"/>
                      <w:color w:val="000000" w:themeColor="text1"/>
                    </w:rPr>
                    <w:t>1</w:t>
                  </w:r>
                </w:p>
              </w:tc>
              <w:tc>
                <w:tcPr>
                  <w:tcW w:w="1098" w:type="pct"/>
                  <w:tcMar>
                    <w:top w:w="0" w:type="dxa"/>
                    <w:left w:w="28" w:type="dxa"/>
                    <w:bottom w:w="0" w:type="dxa"/>
                    <w:right w:w="28" w:type="dxa"/>
                  </w:tcMar>
                  <w:vAlign w:val="center"/>
                </w:tcPr>
                <w:p w14:paraId="681D38D7">
                  <w:pPr>
                    <w:pStyle w:val="73"/>
                    <w:rPr>
                      <w:color w:val="000000" w:themeColor="text1"/>
                    </w:rPr>
                  </w:pPr>
                  <w:r>
                    <w:rPr>
                      <w:color w:val="000000" w:themeColor="text1"/>
                    </w:rPr>
                    <w:t>河北文丰新材料有限公司氢氧化铝及新材料生产项目</w:t>
                  </w:r>
                </w:p>
              </w:tc>
              <w:tc>
                <w:tcPr>
                  <w:tcW w:w="580" w:type="pct"/>
                  <w:tcMar>
                    <w:top w:w="0" w:type="dxa"/>
                    <w:left w:w="28" w:type="dxa"/>
                    <w:bottom w:w="0" w:type="dxa"/>
                    <w:right w:w="28" w:type="dxa"/>
                  </w:tcMar>
                  <w:vAlign w:val="center"/>
                </w:tcPr>
                <w:p w14:paraId="79C90665">
                  <w:pPr>
                    <w:pStyle w:val="73"/>
                    <w:rPr>
                      <w:color w:val="000000" w:themeColor="text1"/>
                    </w:rPr>
                  </w:pPr>
                  <w:r>
                    <w:rPr>
                      <w:color w:val="000000" w:themeColor="text1"/>
                    </w:rPr>
                    <w:t>唐山市曹妃甸区行政审批局</w:t>
                  </w:r>
                </w:p>
              </w:tc>
              <w:tc>
                <w:tcPr>
                  <w:tcW w:w="716" w:type="pct"/>
                  <w:gridSpan w:val="3"/>
                  <w:tcMar>
                    <w:top w:w="0" w:type="dxa"/>
                    <w:left w:w="28" w:type="dxa"/>
                    <w:bottom w:w="0" w:type="dxa"/>
                    <w:right w:w="28" w:type="dxa"/>
                  </w:tcMar>
                  <w:vAlign w:val="center"/>
                </w:tcPr>
                <w:p w14:paraId="3069BA7F">
                  <w:pPr>
                    <w:pStyle w:val="73"/>
                    <w:rPr>
                      <w:color w:val="000000" w:themeColor="text1"/>
                    </w:rPr>
                  </w:pPr>
                  <w:r>
                    <w:rPr>
                      <w:color w:val="000000" w:themeColor="text1"/>
                    </w:rPr>
                    <w:t>唐曹审批环评</w:t>
                  </w:r>
                  <w:r>
                    <w:rPr>
                      <w:rFonts w:hint="eastAsia"/>
                      <w:color w:val="000000" w:themeColor="text1"/>
                    </w:rPr>
                    <w:t>[2020]11号</w:t>
                  </w:r>
                </w:p>
              </w:tc>
              <w:tc>
                <w:tcPr>
                  <w:tcW w:w="643" w:type="pct"/>
                  <w:tcMar>
                    <w:top w:w="0" w:type="dxa"/>
                    <w:left w:w="28" w:type="dxa"/>
                    <w:bottom w:w="0" w:type="dxa"/>
                    <w:right w:w="28" w:type="dxa"/>
                  </w:tcMar>
                  <w:vAlign w:val="center"/>
                </w:tcPr>
                <w:p w14:paraId="0BA089F9">
                  <w:pPr>
                    <w:pStyle w:val="73"/>
                    <w:rPr>
                      <w:color w:val="000000" w:themeColor="text1"/>
                    </w:rPr>
                  </w:pPr>
                  <w:r>
                    <w:rPr>
                      <w:rFonts w:hint="eastAsia"/>
                      <w:color w:val="000000" w:themeColor="text1"/>
                    </w:rPr>
                    <w:t>2020.8.10</w:t>
                  </w:r>
                </w:p>
              </w:tc>
              <w:tc>
                <w:tcPr>
                  <w:tcW w:w="1696" w:type="pct"/>
                  <w:gridSpan w:val="3"/>
                  <w:vMerge w:val="restart"/>
                  <w:tcMar>
                    <w:top w:w="0" w:type="dxa"/>
                    <w:left w:w="28" w:type="dxa"/>
                    <w:bottom w:w="0" w:type="dxa"/>
                    <w:right w:w="28" w:type="dxa"/>
                  </w:tcMar>
                  <w:vAlign w:val="center"/>
                </w:tcPr>
                <w:p w14:paraId="2EA16A42">
                  <w:pPr>
                    <w:pStyle w:val="73"/>
                    <w:rPr>
                      <w:color w:val="000000" w:themeColor="text1"/>
                    </w:rPr>
                  </w:pPr>
                  <w:r>
                    <w:rPr>
                      <w:rFonts w:hint="eastAsia"/>
                      <w:color w:val="000000" w:themeColor="text1"/>
                    </w:rPr>
                    <w:t>2023.1.12完成自主验收</w:t>
                  </w:r>
                </w:p>
              </w:tc>
            </w:tr>
            <w:tr w14:paraId="2F34DF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7" w:type="pct"/>
                  <w:vAlign w:val="center"/>
                </w:tcPr>
                <w:p w14:paraId="3D2B5D35">
                  <w:pPr>
                    <w:pStyle w:val="73"/>
                    <w:rPr>
                      <w:color w:val="000000" w:themeColor="text1"/>
                    </w:rPr>
                  </w:pPr>
                  <w:r>
                    <w:rPr>
                      <w:rFonts w:hint="eastAsia"/>
                      <w:color w:val="000000" w:themeColor="text1"/>
                    </w:rPr>
                    <w:t>2</w:t>
                  </w:r>
                </w:p>
              </w:tc>
              <w:tc>
                <w:tcPr>
                  <w:tcW w:w="1098" w:type="pct"/>
                  <w:tcMar>
                    <w:top w:w="0" w:type="dxa"/>
                    <w:left w:w="28" w:type="dxa"/>
                    <w:bottom w:w="0" w:type="dxa"/>
                    <w:right w:w="28" w:type="dxa"/>
                  </w:tcMar>
                  <w:vAlign w:val="center"/>
                </w:tcPr>
                <w:p w14:paraId="0DD458AE">
                  <w:pPr>
                    <w:pStyle w:val="73"/>
                    <w:rPr>
                      <w:color w:val="000000" w:themeColor="text1"/>
                    </w:rPr>
                  </w:pPr>
                  <w:r>
                    <w:rPr>
                      <w:color w:val="000000" w:themeColor="text1"/>
                    </w:rPr>
                    <w:t>河北文丰新材料有限公司氢氧化铝及新材料生产项目</w:t>
                  </w:r>
                  <w:r>
                    <w:rPr>
                      <w:rFonts w:hint="eastAsia"/>
                      <w:color w:val="000000" w:themeColor="text1"/>
                    </w:rPr>
                    <w:t>环境影响补充报告</w:t>
                  </w:r>
                </w:p>
              </w:tc>
              <w:tc>
                <w:tcPr>
                  <w:tcW w:w="580" w:type="pct"/>
                  <w:tcMar>
                    <w:top w:w="0" w:type="dxa"/>
                    <w:left w:w="28" w:type="dxa"/>
                    <w:bottom w:w="0" w:type="dxa"/>
                    <w:right w:w="28" w:type="dxa"/>
                  </w:tcMar>
                  <w:vAlign w:val="center"/>
                </w:tcPr>
                <w:p w14:paraId="39F2F8E0">
                  <w:pPr>
                    <w:pStyle w:val="73"/>
                    <w:rPr>
                      <w:color w:val="000000" w:themeColor="text1"/>
                    </w:rPr>
                  </w:pPr>
                  <w:r>
                    <w:rPr>
                      <w:color w:val="000000" w:themeColor="text1"/>
                    </w:rPr>
                    <w:t>唐山市曹妃甸区行政审批局</w:t>
                  </w:r>
                </w:p>
              </w:tc>
              <w:tc>
                <w:tcPr>
                  <w:tcW w:w="716" w:type="pct"/>
                  <w:gridSpan w:val="3"/>
                  <w:tcMar>
                    <w:top w:w="0" w:type="dxa"/>
                    <w:left w:w="28" w:type="dxa"/>
                    <w:bottom w:w="0" w:type="dxa"/>
                    <w:right w:w="28" w:type="dxa"/>
                  </w:tcMar>
                  <w:vAlign w:val="center"/>
                </w:tcPr>
                <w:p w14:paraId="17606B79">
                  <w:pPr>
                    <w:pStyle w:val="73"/>
                    <w:rPr>
                      <w:color w:val="000000" w:themeColor="text1"/>
                    </w:rPr>
                  </w:pPr>
                  <w:r>
                    <w:rPr>
                      <w:color w:val="000000" w:themeColor="text1"/>
                    </w:rPr>
                    <w:t>唐曹审批环评</w:t>
                  </w:r>
                  <w:r>
                    <w:rPr>
                      <w:rFonts w:hint="eastAsia"/>
                      <w:color w:val="000000" w:themeColor="text1"/>
                    </w:rPr>
                    <w:t>[2021]1号</w:t>
                  </w:r>
                </w:p>
              </w:tc>
              <w:tc>
                <w:tcPr>
                  <w:tcW w:w="643" w:type="pct"/>
                  <w:tcMar>
                    <w:top w:w="0" w:type="dxa"/>
                    <w:left w:w="28" w:type="dxa"/>
                    <w:bottom w:w="0" w:type="dxa"/>
                    <w:right w:w="28" w:type="dxa"/>
                  </w:tcMar>
                  <w:vAlign w:val="center"/>
                </w:tcPr>
                <w:p w14:paraId="0B09E8A3">
                  <w:pPr>
                    <w:pStyle w:val="73"/>
                    <w:rPr>
                      <w:color w:val="000000" w:themeColor="text1"/>
                    </w:rPr>
                  </w:pPr>
                  <w:r>
                    <w:rPr>
                      <w:rFonts w:hint="eastAsia"/>
                      <w:color w:val="000000" w:themeColor="text1"/>
                    </w:rPr>
                    <w:t>2021.7.2</w:t>
                  </w:r>
                </w:p>
              </w:tc>
              <w:tc>
                <w:tcPr>
                  <w:tcW w:w="1696" w:type="pct"/>
                  <w:gridSpan w:val="3"/>
                  <w:vMerge w:val="continue"/>
                  <w:tcMar>
                    <w:top w:w="0" w:type="dxa"/>
                    <w:left w:w="28" w:type="dxa"/>
                    <w:bottom w:w="0" w:type="dxa"/>
                    <w:right w:w="28" w:type="dxa"/>
                  </w:tcMar>
                  <w:vAlign w:val="center"/>
                </w:tcPr>
                <w:p w14:paraId="6EFC95EE">
                  <w:pPr>
                    <w:pStyle w:val="73"/>
                    <w:rPr>
                      <w:color w:val="000000" w:themeColor="text1"/>
                    </w:rPr>
                  </w:pPr>
                </w:p>
              </w:tc>
            </w:tr>
            <w:tr w14:paraId="101960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7" w:type="pct"/>
                  <w:vAlign w:val="center"/>
                </w:tcPr>
                <w:p w14:paraId="6A20E9CB">
                  <w:pPr>
                    <w:pStyle w:val="73"/>
                    <w:rPr>
                      <w:color w:val="000000" w:themeColor="text1"/>
                    </w:rPr>
                  </w:pPr>
                  <w:r>
                    <w:rPr>
                      <w:color w:val="000000" w:themeColor="text1"/>
                    </w:rPr>
                    <w:t>3</w:t>
                  </w:r>
                </w:p>
              </w:tc>
              <w:tc>
                <w:tcPr>
                  <w:tcW w:w="1098" w:type="pct"/>
                  <w:tcMar>
                    <w:top w:w="0" w:type="dxa"/>
                    <w:left w:w="28" w:type="dxa"/>
                    <w:bottom w:w="0" w:type="dxa"/>
                    <w:right w:w="28" w:type="dxa"/>
                  </w:tcMar>
                  <w:vAlign w:val="center"/>
                </w:tcPr>
                <w:p w14:paraId="7AA77932">
                  <w:pPr>
                    <w:pStyle w:val="73"/>
                    <w:rPr>
                      <w:color w:val="000000" w:themeColor="text1"/>
                    </w:rPr>
                  </w:pPr>
                  <w:r>
                    <w:rPr>
                      <w:rFonts w:hint="eastAsia"/>
                      <w:color w:val="000000" w:themeColor="text1"/>
                    </w:rPr>
                    <w:t>河北文丰新材料有限公司氢氧化铝及新材料生产二期项目</w:t>
                  </w:r>
                </w:p>
              </w:tc>
              <w:tc>
                <w:tcPr>
                  <w:tcW w:w="580" w:type="pct"/>
                  <w:tcMar>
                    <w:top w:w="0" w:type="dxa"/>
                    <w:left w:w="28" w:type="dxa"/>
                    <w:bottom w:w="0" w:type="dxa"/>
                    <w:right w:w="28" w:type="dxa"/>
                  </w:tcMar>
                  <w:vAlign w:val="center"/>
                </w:tcPr>
                <w:p w14:paraId="5D91D83B">
                  <w:pPr>
                    <w:pStyle w:val="73"/>
                    <w:rPr>
                      <w:color w:val="000000" w:themeColor="text1"/>
                    </w:rPr>
                  </w:pPr>
                  <w:r>
                    <w:rPr>
                      <w:color w:val="000000" w:themeColor="text1"/>
                    </w:rPr>
                    <w:t>唐山市曹妃甸区行政审批局</w:t>
                  </w:r>
                </w:p>
              </w:tc>
              <w:tc>
                <w:tcPr>
                  <w:tcW w:w="716" w:type="pct"/>
                  <w:gridSpan w:val="3"/>
                  <w:tcMar>
                    <w:top w:w="0" w:type="dxa"/>
                    <w:left w:w="28" w:type="dxa"/>
                    <w:bottom w:w="0" w:type="dxa"/>
                    <w:right w:w="28" w:type="dxa"/>
                  </w:tcMar>
                  <w:vAlign w:val="center"/>
                </w:tcPr>
                <w:p w14:paraId="145BDEC8">
                  <w:pPr>
                    <w:pStyle w:val="73"/>
                    <w:rPr>
                      <w:color w:val="000000" w:themeColor="text1"/>
                    </w:rPr>
                  </w:pPr>
                  <w:r>
                    <w:rPr>
                      <w:rFonts w:hint="eastAsia"/>
                      <w:color w:val="000000" w:themeColor="text1"/>
                    </w:rPr>
                    <w:t>唐曹审批环书[</w:t>
                  </w:r>
                  <w:r>
                    <w:rPr>
                      <w:color w:val="000000" w:themeColor="text1"/>
                    </w:rPr>
                    <w:t>202</w:t>
                  </w:r>
                  <w:r>
                    <w:rPr>
                      <w:rFonts w:hint="eastAsia"/>
                      <w:color w:val="000000" w:themeColor="text1"/>
                    </w:rPr>
                    <w:t>1</w:t>
                  </w:r>
                  <w:r>
                    <w:rPr>
                      <w:color w:val="000000" w:themeColor="text1"/>
                    </w:rPr>
                    <w:t>]1</w:t>
                  </w:r>
                  <w:r>
                    <w:rPr>
                      <w:rFonts w:hint="eastAsia"/>
                      <w:color w:val="000000" w:themeColor="text1"/>
                    </w:rPr>
                    <w:t>3号</w:t>
                  </w:r>
                </w:p>
              </w:tc>
              <w:tc>
                <w:tcPr>
                  <w:tcW w:w="643" w:type="pct"/>
                  <w:tcMar>
                    <w:top w:w="0" w:type="dxa"/>
                    <w:left w:w="28" w:type="dxa"/>
                    <w:bottom w:w="0" w:type="dxa"/>
                    <w:right w:w="28" w:type="dxa"/>
                  </w:tcMar>
                  <w:vAlign w:val="center"/>
                </w:tcPr>
                <w:p w14:paraId="263ACA00">
                  <w:pPr>
                    <w:pStyle w:val="73"/>
                    <w:rPr>
                      <w:color w:val="000000" w:themeColor="text1"/>
                    </w:rPr>
                  </w:pPr>
                  <w:r>
                    <w:rPr>
                      <w:rFonts w:hint="eastAsia"/>
                      <w:color w:val="000000" w:themeColor="text1"/>
                    </w:rPr>
                    <w:t>2021.9.3</w:t>
                  </w:r>
                </w:p>
              </w:tc>
              <w:tc>
                <w:tcPr>
                  <w:tcW w:w="1696" w:type="pct"/>
                  <w:gridSpan w:val="3"/>
                  <w:vMerge w:val="restart"/>
                  <w:tcMar>
                    <w:top w:w="0" w:type="dxa"/>
                    <w:left w:w="28" w:type="dxa"/>
                    <w:bottom w:w="0" w:type="dxa"/>
                    <w:right w:w="28" w:type="dxa"/>
                  </w:tcMar>
                  <w:vAlign w:val="center"/>
                </w:tcPr>
                <w:p w14:paraId="014C5109">
                  <w:pPr>
                    <w:pStyle w:val="73"/>
                    <w:rPr>
                      <w:color w:val="000000" w:themeColor="text1"/>
                    </w:rPr>
                  </w:pPr>
                  <w:r>
                    <w:rPr>
                      <w:rFonts w:hint="eastAsia"/>
                      <w:color w:val="000000" w:themeColor="text1"/>
                    </w:rPr>
                    <w:t>2023.8.30完成自主验收（二期新材料焙烧炉不再建设）</w:t>
                  </w:r>
                </w:p>
              </w:tc>
            </w:tr>
            <w:tr w14:paraId="42F078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7" w:type="pct"/>
                  <w:vAlign w:val="center"/>
                </w:tcPr>
                <w:p w14:paraId="3A23F177">
                  <w:pPr>
                    <w:pStyle w:val="73"/>
                    <w:rPr>
                      <w:color w:val="000000" w:themeColor="text1"/>
                    </w:rPr>
                  </w:pPr>
                  <w:r>
                    <w:rPr>
                      <w:color w:val="000000" w:themeColor="text1"/>
                    </w:rPr>
                    <w:t>4</w:t>
                  </w:r>
                </w:p>
              </w:tc>
              <w:tc>
                <w:tcPr>
                  <w:tcW w:w="1098" w:type="pct"/>
                  <w:tcMar>
                    <w:top w:w="0" w:type="dxa"/>
                    <w:left w:w="28" w:type="dxa"/>
                    <w:bottom w:w="0" w:type="dxa"/>
                    <w:right w:w="28" w:type="dxa"/>
                  </w:tcMar>
                  <w:vAlign w:val="center"/>
                </w:tcPr>
                <w:p w14:paraId="0E86BB9C">
                  <w:pPr>
                    <w:pStyle w:val="73"/>
                    <w:rPr>
                      <w:color w:val="000000" w:themeColor="text1"/>
                    </w:rPr>
                  </w:pPr>
                  <w:r>
                    <w:rPr>
                      <w:rFonts w:hint="eastAsia"/>
                      <w:color w:val="000000" w:themeColor="text1"/>
                    </w:rPr>
                    <w:t>河北文丰新材料有限公司氢氧化铝及新材料生产二期项目环境影响评价变动分析说明</w:t>
                  </w:r>
                </w:p>
              </w:tc>
              <w:tc>
                <w:tcPr>
                  <w:tcW w:w="1938" w:type="pct"/>
                  <w:gridSpan w:val="5"/>
                  <w:tcMar>
                    <w:top w:w="0" w:type="dxa"/>
                    <w:left w:w="28" w:type="dxa"/>
                    <w:bottom w:w="0" w:type="dxa"/>
                    <w:right w:w="28" w:type="dxa"/>
                  </w:tcMar>
                  <w:vAlign w:val="center"/>
                </w:tcPr>
                <w:p w14:paraId="07314F70">
                  <w:pPr>
                    <w:pStyle w:val="73"/>
                    <w:rPr>
                      <w:color w:val="000000" w:themeColor="text1"/>
                    </w:rPr>
                  </w:pPr>
                  <w:r>
                    <w:rPr>
                      <w:color w:val="000000" w:themeColor="text1"/>
                    </w:rPr>
                    <w:t>2022年</w:t>
                  </w:r>
                  <w:r>
                    <w:rPr>
                      <w:rFonts w:hint="eastAsia"/>
                      <w:color w:val="000000" w:themeColor="text1"/>
                    </w:rPr>
                    <w:t>11</w:t>
                  </w:r>
                  <w:r>
                    <w:rPr>
                      <w:color w:val="000000" w:themeColor="text1"/>
                    </w:rPr>
                    <w:t>月2</w:t>
                  </w:r>
                  <w:r>
                    <w:rPr>
                      <w:rFonts w:hint="eastAsia"/>
                      <w:color w:val="000000" w:themeColor="text1"/>
                    </w:rPr>
                    <w:t>9</w:t>
                  </w:r>
                  <w:r>
                    <w:rPr>
                      <w:color w:val="000000" w:themeColor="text1"/>
                    </w:rPr>
                    <w:t>日组织召开了专家咨询会，并出具了不属于重大变动的咨询意见</w:t>
                  </w:r>
                </w:p>
              </w:tc>
              <w:tc>
                <w:tcPr>
                  <w:tcW w:w="1696" w:type="pct"/>
                  <w:gridSpan w:val="3"/>
                  <w:vMerge w:val="continue"/>
                  <w:tcMar>
                    <w:top w:w="0" w:type="dxa"/>
                    <w:left w:w="28" w:type="dxa"/>
                    <w:bottom w:w="0" w:type="dxa"/>
                    <w:right w:w="28" w:type="dxa"/>
                  </w:tcMar>
                  <w:vAlign w:val="center"/>
                </w:tcPr>
                <w:p w14:paraId="2A65BD64">
                  <w:pPr>
                    <w:pStyle w:val="73"/>
                    <w:rPr>
                      <w:color w:val="000000" w:themeColor="text1"/>
                    </w:rPr>
                  </w:pPr>
                </w:p>
              </w:tc>
            </w:tr>
            <w:tr w14:paraId="3C8C1F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7" w:type="pct"/>
                  <w:vAlign w:val="center"/>
                </w:tcPr>
                <w:p w14:paraId="6B7DAE7C">
                  <w:pPr>
                    <w:pStyle w:val="73"/>
                    <w:rPr>
                      <w:color w:val="000000" w:themeColor="text1"/>
                    </w:rPr>
                  </w:pPr>
                  <w:r>
                    <w:rPr>
                      <w:rFonts w:hint="eastAsia"/>
                      <w:color w:val="000000" w:themeColor="text1"/>
                    </w:rPr>
                    <w:t>5</w:t>
                  </w:r>
                </w:p>
              </w:tc>
              <w:tc>
                <w:tcPr>
                  <w:tcW w:w="1098" w:type="pct"/>
                  <w:tcMar>
                    <w:top w:w="0" w:type="dxa"/>
                    <w:left w:w="28" w:type="dxa"/>
                    <w:bottom w:w="0" w:type="dxa"/>
                    <w:right w:w="28" w:type="dxa"/>
                  </w:tcMar>
                  <w:vAlign w:val="center"/>
                </w:tcPr>
                <w:p w14:paraId="2EDA590F">
                  <w:pPr>
                    <w:pStyle w:val="73"/>
                    <w:rPr>
                      <w:color w:val="000000" w:themeColor="text1"/>
                    </w:rPr>
                  </w:pPr>
                  <w:r>
                    <w:rPr>
                      <w:rFonts w:hint="eastAsia"/>
                      <w:color w:val="000000" w:themeColor="text1"/>
                    </w:rPr>
                    <w:t>氢氧化铝及新材料生产项目</w:t>
                  </w:r>
                  <w:r>
                    <w:rPr>
                      <w:color w:val="000000" w:themeColor="text1"/>
                    </w:rPr>
                    <w:t>LNG气化站项目</w:t>
                  </w:r>
                </w:p>
              </w:tc>
              <w:tc>
                <w:tcPr>
                  <w:tcW w:w="646" w:type="pct"/>
                  <w:gridSpan w:val="2"/>
                  <w:tcMar>
                    <w:top w:w="0" w:type="dxa"/>
                    <w:left w:w="28" w:type="dxa"/>
                    <w:bottom w:w="0" w:type="dxa"/>
                    <w:right w:w="28" w:type="dxa"/>
                  </w:tcMar>
                  <w:vAlign w:val="center"/>
                </w:tcPr>
                <w:p w14:paraId="72B36585">
                  <w:pPr>
                    <w:pStyle w:val="73"/>
                    <w:rPr>
                      <w:color w:val="000000" w:themeColor="text1"/>
                    </w:rPr>
                  </w:pPr>
                  <w:r>
                    <w:rPr>
                      <w:color w:val="000000" w:themeColor="text1"/>
                    </w:rPr>
                    <w:t>唐山市曹妃甸区行政审批局</w:t>
                  </w:r>
                </w:p>
              </w:tc>
              <w:tc>
                <w:tcPr>
                  <w:tcW w:w="646" w:type="pct"/>
                  <w:vAlign w:val="center"/>
                </w:tcPr>
                <w:p w14:paraId="2A6BE8FE">
                  <w:pPr>
                    <w:pStyle w:val="73"/>
                    <w:rPr>
                      <w:color w:val="000000" w:themeColor="text1"/>
                    </w:rPr>
                  </w:pPr>
                  <w:r>
                    <w:rPr>
                      <w:rFonts w:hint="eastAsia"/>
                      <w:color w:val="000000" w:themeColor="text1"/>
                    </w:rPr>
                    <w:t>唐曹审批环表</w:t>
                  </w:r>
                  <w:r>
                    <w:rPr>
                      <w:color w:val="000000" w:themeColor="text1"/>
                    </w:rPr>
                    <w:t>(2022)9 号</w:t>
                  </w:r>
                </w:p>
              </w:tc>
              <w:tc>
                <w:tcPr>
                  <w:tcW w:w="646" w:type="pct"/>
                  <w:gridSpan w:val="2"/>
                  <w:vAlign w:val="center"/>
                </w:tcPr>
                <w:p w14:paraId="5DE65C47">
                  <w:pPr>
                    <w:pStyle w:val="73"/>
                    <w:rPr>
                      <w:color w:val="000000" w:themeColor="text1"/>
                    </w:rPr>
                  </w:pPr>
                  <w:r>
                    <w:rPr>
                      <w:color w:val="000000" w:themeColor="text1"/>
                    </w:rPr>
                    <w:t>2022.10.10</w:t>
                  </w:r>
                </w:p>
              </w:tc>
              <w:tc>
                <w:tcPr>
                  <w:tcW w:w="1696" w:type="pct"/>
                  <w:gridSpan w:val="3"/>
                  <w:tcMar>
                    <w:top w:w="0" w:type="dxa"/>
                    <w:left w:w="28" w:type="dxa"/>
                    <w:bottom w:w="0" w:type="dxa"/>
                    <w:right w:w="28" w:type="dxa"/>
                  </w:tcMar>
                  <w:vAlign w:val="center"/>
                </w:tcPr>
                <w:p w14:paraId="2456249A">
                  <w:pPr>
                    <w:pStyle w:val="73"/>
                    <w:rPr>
                      <w:color w:val="000000" w:themeColor="text1"/>
                    </w:rPr>
                  </w:pPr>
                  <w:r>
                    <w:rPr>
                      <w:rFonts w:hint="eastAsia"/>
                      <w:color w:val="000000" w:themeColor="text1"/>
                    </w:rPr>
                    <w:t>2</w:t>
                  </w:r>
                  <w:r>
                    <w:rPr>
                      <w:color w:val="000000" w:themeColor="text1"/>
                    </w:rPr>
                    <w:t>023</w:t>
                  </w:r>
                  <w:r>
                    <w:rPr>
                      <w:rFonts w:hint="eastAsia"/>
                      <w:color w:val="000000" w:themeColor="text1"/>
                    </w:rPr>
                    <w:t>年1</w:t>
                  </w:r>
                  <w:r>
                    <w:rPr>
                      <w:color w:val="000000" w:themeColor="text1"/>
                    </w:rPr>
                    <w:t>1</w:t>
                  </w:r>
                  <w:r>
                    <w:rPr>
                      <w:rFonts w:hint="eastAsia"/>
                      <w:color w:val="000000" w:themeColor="text1"/>
                    </w:rPr>
                    <w:t>月完成自主验收</w:t>
                  </w:r>
                </w:p>
              </w:tc>
            </w:tr>
            <w:tr w14:paraId="3656BF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7" w:type="pct"/>
                  <w:vAlign w:val="center"/>
                </w:tcPr>
                <w:p w14:paraId="3E3B13FA">
                  <w:pPr>
                    <w:pStyle w:val="73"/>
                    <w:rPr>
                      <w:color w:val="000000" w:themeColor="text1"/>
                    </w:rPr>
                  </w:pPr>
                  <w:r>
                    <w:rPr>
                      <w:rFonts w:hint="eastAsia"/>
                      <w:color w:val="000000" w:themeColor="text1"/>
                    </w:rPr>
                    <w:t>6</w:t>
                  </w:r>
                </w:p>
              </w:tc>
              <w:tc>
                <w:tcPr>
                  <w:tcW w:w="1098" w:type="pct"/>
                  <w:tcMar>
                    <w:top w:w="0" w:type="dxa"/>
                    <w:left w:w="28" w:type="dxa"/>
                    <w:bottom w:w="0" w:type="dxa"/>
                    <w:right w:w="28" w:type="dxa"/>
                  </w:tcMar>
                  <w:vAlign w:val="center"/>
                </w:tcPr>
                <w:p w14:paraId="4DF09954">
                  <w:pPr>
                    <w:pStyle w:val="73"/>
                    <w:rPr>
                      <w:color w:val="000000" w:themeColor="text1"/>
                    </w:rPr>
                  </w:pPr>
                  <w:r>
                    <w:rPr>
                      <w:rFonts w:hint="eastAsia"/>
                      <w:szCs w:val="21"/>
                    </w:rPr>
                    <w:t>年产480</w:t>
                  </w:r>
                  <w:r>
                    <w:rPr>
                      <w:szCs w:val="21"/>
                    </w:rPr>
                    <w:t>万吨</w:t>
                  </w:r>
                  <w:r>
                    <w:rPr>
                      <w:rFonts w:hint="eastAsia"/>
                      <w:szCs w:val="21"/>
                    </w:rPr>
                    <w:t>冶金级氧化铝技术改造</w:t>
                  </w:r>
                  <w:r>
                    <w:rPr>
                      <w:szCs w:val="21"/>
                    </w:rPr>
                    <w:t>项目</w:t>
                  </w:r>
                </w:p>
              </w:tc>
              <w:tc>
                <w:tcPr>
                  <w:tcW w:w="646" w:type="pct"/>
                  <w:gridSpan w:val="2"/>
                  <w:tcMar>
                    <w:top w:w="0" w:type="dxa"/>
                    <w:left w:w="28" w:type="dxa"/>
                    <w:bottom w:w="0" w:type="dxa"/>
                    <w:right w:w="28" w:type="dxa"/>
                  </w:tcMar>
                  <w:vAlign w:val="center"/>
                </w:tcPr>
                <w:p w14:paraId="346E37B9">
                  <w:pPr>
                    <w:pStyle w:val="73"/>
                    <w:rPr>
                      <w:color w:val="000000" w:themeColor="text1"/>
                    </w:rPr>
                  </w:pPr>
                  <w:r>
                    <w:rPr>
                      <w:color w:val="000000" w:themeColor="text1"/>
                    </w:rPr>
                    <w:t>唐山市曹妃甸区行政审批局</w:t>
                  </w:r>
                </w:p>
              </w:tc>
              <w:tc>
                <w:tcPr>
                  <w:tcW w:w="646" w:type="pct"/>
                  <w:vAlign w:val="center"/>
                </w:tcPr>
                <w:p w14:paraId="0FFAC9DD">
                  <w:pPr>
                    <w:pStyle w:val="73"/>
                    <w:rPr>
                      <w:color w:val="000000" w:themeColor="text1"/>
                    </w:rPr>
                  </w:pPr>
                  <w:r>
                    <w:rPr>
                      <w:rFonts w:hint="eastAsia"/>
                      <w:color w:val="000000" w:themeColor="text1"/>
                    </w:rPr>
                    <w:t>唐曹审批环书[2024]2号</w:t>
                  </w:r>
                </w:p>
              </w:tc>
              <w:tc>
                <w:tcPr>
                  <w:tcW w:w="646" w:type="pct"/>
                  <w:gridSpan w:val="2"/>
                  <w:vAlign w:val="center"/>
                </w:tcPr>
                <w:p w14:paraId="3C003400">
                  <w:pPr>
                    <w:pStyle w:val="73"/>
                    <w:rPr>
                      <w:color w:val="000000" w:themeColor="text1"/>
                    </w:rPr>
                  </w:pPr>
                  <w:r>
                    <w:rPr>
                      <w:rFonts w:hint="eastAsia"/>
                      <w:color w:val="000000" w:themeColor="text1"/>
                    </w:rPr>
                    <w:t>2024.1.17</w:t>
                  </w:r>
                </w:p>
              </w:tc>
              <w:tc>
                <w:tcPr>
                  <w:tcW w:w="1696" w:type="pct"/>
                  <w:gridSpan w:val="3"/>
                  <w:tcMar>
                    <w:top w:w="0" w:type="dxa"/>
                    <w:left w:w="28" w:type="dxa"/>
                    <w:bottom w:w="0" w:type="dxa"/>
                    <w:right w:w="28" w:type="dxa"/>
                  </w:tcMar>
                  <w:vAlign w:val="center"/>
                </w:tcPr>
                <w:p w14:paraId="58B3915D">
                  <w:pPr>
                    <w:pStyle w:val="73"/>
                    <w:rPr>
                      <w:color w:val="000000" w:themeColor="text1"/>
                    </w:rPr>
                  </w:pPr>
                  <w:r>
                    <w:rPr>
                      <w:rFonts w:hint="eastAsia"/>
                      <w:color w:val="000000" w:themeColor="text1"/>
                    </w:rPr>
                    <w:t>2024.3.19完成自主验收</w:t>
                  </w:r>
                </w:p>
              </w:tc>
            </w:tr>
            <w:tr w14:paraId="68B416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7" w:type="pct"/>
                  <w:vAlign w:val="center"/>
                </w:tcPr>
                <w:p w14:paraId="41E564CD">
                  <w:pPr>
                    <w:pStyle w:val="73"/>
                    <w:rPr>
                      <w:color w:val="000000" w:themeColor="text1"/>
                    </w:rPr>
                  </w:pPr>
                  <w:r>
                    <w:rPr>
                      <w:rFonts w:hint="eastAsia"/>
                      <w:color w:val="000000" w:themeColor="text1"/>
                    </w:rPr>
                    <w:t>7</w:t>
                  </w:r>
                </w:p>
              </w:tc>
              <w:tc>
                <w:tcPr>
                  <w:tcW w:w="4733" w:type="pct"/>
                  <w:gridSpan w:val="9"/>
                  <w:tcMar>
                    <w:top w:w="0" w:type="dxa"/>
                    <w:left w:w="28" w:type="dxa"/>
                    <w:bottom w:w="0" w:type="dxa"/>
                    <w:right w:w="28" w:type="dxa"/>
                  </w:tcMar>
                  <w:vAlign w:val="center"/>
                </w:tcPr>
                <w:p w14:paraId="6ED153F1">
                  <w:pPr>
                    <w:pStyle w:val="73"/>
                    <w:rPr>
                      <w:color w:val="000000" w:themeColor="text1"/>
                    </w:rPr>
                  </w:pPr>
                  <w:r>
                    <w:rPr>
                      <w:rFonts w:hint="eastAsia"/>
                      <w:color w:val="000000" w:themeColor="text1"/>
                    </w:rPr>
                    <w:t>排污许可编号：91130230MA0EKMCJ08001V 有效期限：2024年2月23日至2029年2月22日</w:t>
                  </w:r>
                </w:p>
              </w:tc>
            </w:tr>
          </w:tbl>
          <w:p w14:paraId="44F9B5D1">
            <w:pPr>
              <w:adjustRightInd w:val="0"/>
              <w:snapToGrid w:val="0"/>
              <w:spacing w:line="480" w:lineRule="exact"/>
              <w:ind w:firstLine="482" w:firstLineChars="200"/>
              <w:rPr>
                <w:b/>
                <w:color w:val="000000"/>
                <w:szCs w:val="21"/>
              </w:rPr>
            </w:pPr>
            <w:r>
              <w:rPr>
                <w:b/>
                <w:color w:val="000000"/>
                <w:szCs w:val="21"/>
              </w:rPr>
              <w:t>2</w:t>
            </w:r>
            <w:r>
              <w:rPr>
                <w:rFonts w:hint="eastAsia"/>
                <w:b/>
                <w:color w:val="000000"/>
                <w:szCs w:val="21"/>
              </w:rPr>
              <w:t>、现有工程污染物实际排放情况</w:t>
            </w:r>
          </w:p>
          <w:p w14:paraId="43CB94E2">
            <w:pPr>
              <w:adjustRightInd w:val="0"/>
              <w:snapToGrid w:val="0"/>
              <w:spacing w:line="480" w:lineRule="exact"/>
              <w:ind w:firstLine="480" w:firstLineChars="200"/>
              <w:rPr>
                <w:bCs/>
                <w:color w:val="000000"/>
                <w:szCs w:val="21"/>
              </w:rPr>
            </w:pPr>
            <w:r>
              <w:rPr>
                <w:rFonts w:hint="eastAsia"/>
                <w:bCs/>
                <w:color w:val="000000"/>
                <w:szCs w:val="21"/>
              </w:rPr>
              <w:t>（1）现有工程污染物达标情况</w:t>
            </w:r>
          </w:p>
          <w:p w14:paraId="12B88B6E">
            <w:pPr>
              <w:adjustRightInd w:val="0"/>
              <w:snapToGrid w:val="0"/>
              <w:spacing w:line="480" w:lineRule="exact"/>
              <w:ind w:firstLine="480" w:firstLineChars="200"/>
              <w:rPr>
                <w:bCs/>
                <w:color w:val="000000"/>
                <w:szCs w:val="21"/>
              </w:rPr>
            </w:pPr>
            <w:r>
              <w:rPr>
                <w:rFonts w:hint="eastAsia"/>
                <w:bCs/>
                <w:color w:val="000000"/>
                <w:szCs w:val="21"/>
              </w:rPr>
              <w:t>①废气</w:t>
            </w:r>
          </w:p>
          <w:p w14:paraId="572055A8">
            <w:pPr>
              <w:adjustRightInd w:val="0"/>
              <w:snapToGrid w:val="0"/>
              <w:spacing w:line="480" w:lineRule="exact"/>
              <w:ind w:firstLine="480" w:firstLineChars="200"/>
              <w:rPr>
                <w:bCs/>
                <w:color w:val="000000"/>
                <w:szCs w:val="21"/>
              </w:rPr>
            </w:pPr>
            <w:r>
              <w:rPr>
                <w:rFonts w:hint="eastAsia"/>
                <w:bCs/>
                <w:color w:val="000000"/>
                <w:szCs w:val="21"/>
              </w:rPr>
              <w:t>根据文丰新材料自行监测结果，现有工程废气排放达标情况见下表。</w:t>
            </w:r>
          </w:p>
          <w:p w14:paraId="4616024C">
            <w:pPr>
              <w:autoSpaceDE w:val="0"/>
              <w:autoSpaceDN w:val="0"/>
              <w:adjustRightInd w:val="0"/>
              <w:snapToGrid w:val="0"/>
              <w:spacing w:line="480" w:lineRule="exact"/>
              <w:jc w:val="center"/>
              <w:rPr>
                <w:rFonts w:eastAsia="黑体" w:cs="宋体"/>
                <w:color w:val="000000"/>
                <w:kern w:val="0"/>
                <w:szCs w:val="21"/>
              </w:rPr>
            </w:pPr>
            <w:r>
              <w:rPr>
                <w:rFonts w:hint="eastAsia" w:eastAsia="黑体" w:cs="宋体"/>
                <w:color w:val="000000"/>
                <w:kern w:val="0"/>
                <w:szCs w:val="21"/>
              </w:rPr>
              <w:t>表</w:t>
            </w:r>
            <w:r>
              <w:rPr>
                <w:rFonts w:eastAsia="黑体" w:cs="宋体"/>
                <w:color w:val="000000"/>
                <w:kern w:val="0"/>
                <w:szCs w:val="21"/>
              </w:rPr>
              <w:t xml:space="preserve">2.4  </w:t>
            </w:r>
            <w:r>
              <w:rPr>
                <w:rFonts w:hint="eastAsia" w:eastAsia="黑体" w:cs="宋体"/>
                <w:color w:val="000000"/>
                <w:kern w:val="0"/>
                <w:szCs w:val="21"/>
              </w:rPr>
              <w:t>现有工程废气污染物达标排放情况一览表-有组织废气</w:t>
            </w:r>
          </w:p>
          <w:tbl>
            <w:tblPr>
              <w:tblStyle w:val="2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130"/>
              <w:gridCol w:w="1599"/>
              <w:gridCol w:w="826"/>
              <w:gridCol w:w="937"/>
              <w:gridCol w:w="936"/>
              <w:gridCol w:w="936"/>
              <w:gridCol w:w="940"/>
              <w:gridCol w:w="594"/>
              <w:gridCol w:w="538"/>
            </w:tblGrid>
            <w:tr w14:paraId="1C0507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restart"/>
                  <w:tcBorders>
                    <w:tl2br w:val="nil"/>
                    <w:tr2bl w:val="nil"/>
                  </w:tcBorders>
                  <w:vAlign w:val="center"/>
                </w:tcPr>
                <w:p w14:paraId="18B16513">
                  <w:pPr>
                    <w:pStyle w:val="73"/>
                  </w:pPr>
                  <w:r>
                    <w:t>检测点位/</w:t>
                  </w:r>
                </w:p>
                <w:p w14:paraId="7BD06369">
                  <w:pPr>
                    <w:pStyle w:val="73"/>
                  </w:pPr>
                  <w:r>
                    <w:t>采样时间</w:t>
                  </w:r>
                </w:p>
              </w:tc>
              <w:tc>
                <w:tcPr>
                  <w:tcW w:w="946" w:type="pct"/>
                  <w:vMerge w:val="restart"/>
                  <w:tcBorders>
                    <w:tl2br w:val="nil"/>
                    <w:tr2bl w:val="nil"/>
                  </w:tcBorders>
                  <w:vAlign w:val="center"/>
                </w:tcPr>
                <w:p w14:paraId="255A84A8">
                  <w:pPr>
                    <w:pStyle w:val="73"/>
                  </w:pPr>
                  <w:r>
                    <w:t>检测项目</w:t>
                  </w:r>
                </w:p>
              </w:tc>
              <w:tc>
                <w:tcPr>
                  <w:tcW w:w="489" w:type="pct"/>
                  <w:vMerge w:val="restart"/>
                  <w:tcBorders>
                    <w:tl2br w:val="nil"/>
                    <w:tr2bl w:val="nil"/>
                  </w:tcBorders>
                  <w:vAlign w:val="center"/>
                </w:tcPr>
                <w:p w14:paraId="32ED577D">
                  <w:pPr>
                    <w:pStyle w:val="73"/>
                  </w:pPr>
                  <w:r>
                    <w:t>单位</w:t>
                  </w:r>
                </w:p>
              </w:tc>
              <w:tc>
                <w:tcPr>
                  <w:tcW w:w="2222" w:type="pct"/>
                  <w:gridSpan w:val="4"/>
                  <w:tcBorders>
                    <w:tl2br w:val="nil"/>
                    <w:tr2bl w:val="nil"/>
                  </w:tcBorders>
                  <w:vAlign w:val="center"/>
                </w:tcPr>
                <w:p w14:paraId="1C3AB0AF">
                  <w:pPr>
                    <w:pStyle w:val="73"/>
                  </w:pPr>
                  <w:r>
                    <w:t>检测结果</w:t>
                  </w:r>
                </w:p>
              </w:tc>
              <w:tc>
                <w:tcPr>
                  <w:tcW w:w="352" w:type="pct"/>
                  <w:vMerge w:val="restart"/>
                  <w:tcBorders>
                    <w:tl2br w:val="nil"/>
                    <w:tr2bl w:val="nil"/>
                  </w:tcBorders>
                  <w:vAlign w:val="center"/>
                </w:tcPr>
                <w:p w14:paraId="7114D505">
                  <w:pPr>
                    <w:pStyle w:val="73"/>
                  </w:pPr>
                  <w:r>
                    <w:t>执行标准mg</w:t>
                  </w:r>
                  <w:r>
                    <w:rPr>
                      <w:rFonts w:hint="eastAsia"/>
                    </w:rPr>
                    <w:t>/m</w:t>
                  </w:r>
                  <w:r>
                    <w:rPr>
                      <w:rFonts w:hint="eastAsia"/>
                      <w:vertAlign w:val="superscript"/>
                    </w:rPr>
                    <w:t>3</w:t>
                  </w:r>
                </w:p>
              </w:tc>
              <w:tc>
                <w:tcPr>
                  <w:tcW w:w="319" w:type="pct"/>
                  <w:vMerge w:val="restart"/>
                  <w:tcBorders>
                    <w:tl2br w:val="nil"/>
                    <w:tr2bl w:val="nil"/>
                  </w:tcBorders>
                  <w:vAlign w:val="center"/>
                </w:tcPr>
                <w:p w14:paraId="4B0E9C31">
                  <w:pPr>
                    <w:pStyle w:val="73"/>
                  </w:pPr>
                  <w:r>
                    <w:t>达标情况</w:t>
                  </w:r>
                </w:p>
              </w:tc>
            </w:tr>
            <w:tr w14:paraId="0F7984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1E49730E">
                  <w:pPr>
                    <w:pStyle w:val="73"/>
                  </w:pPr>
                </w:p>
              </w:tc>
              <w:tc>
                <w:tcPr>
                  <w:tcW w:w="946" w:type="pct"/>
                  <w:vMerge w:val="continue"/>
                  <w:tcBorders>
                    <w:tl2br w:val="nil"/>
                    <w:tr2bl w:val="nil"/>
                  </w:tcBorders>
                  <w:vAlign w:val="center"/>
                </w:tcPr>
                <w:p w14:paraId="426AD18B">
                  <w:pPr>
                    <w:pStyle w:val="73"/>
                  </w:pPr>
                </w:p>
              </w:tc>
              <w:tc>
                <w:tcPr>
                  <w:tcW w:w="489" w:type="pct"/>
                  <w:vMerge w:val="continue"/>
                  <w:tcBorders>
                    <w:tl2br w:val="nil"/>
                    <w:tr2bl w:val="nil"/>
                  </w:tcBorders>
                  <w:vAlign w:val="center"/>
                </w:tcPr>
                <w:p w14:paraId="3557F82F">
                  <w:pPr>
                    <w:pStyle w:val="73"/>
                  </w:pPr>
                </w:p>
              </w:tc>
              <w:tc>
                <w:tcPr>
                  <w:tcW w:w="555" w:type="pct"/>
                  <w:tcBorders>
                    <w:tl2br w:val="nil"/>
                    <w:tr2bl w:val="nil"/>
                  </w:tcBorders>
                  <w:vAlign w:val="center"/>
                </w:tcPr>
                <w:p w14:paraId="30962B5E">
                  <w:pPr>
                    <w:pStyle w:val="73"/>
                  </w:pPr>
                  <w:r>
                    <w:t>1</w:t>
                  </w:r>
                </w:p>
              </w:tc>
              <w:tc>
                <w:tcPr>
                  <w:tcW w:w="555" w:type="pct"/>
                  <w:tcBorders>
                    <w:tl2br w:val="nil"/>
                    <w:tr2bl w:val="nil"/>
                  </w:tcBorders>
                  <w:vAlign w:val="center"/>
                </w:tcPr>
                <w:p w14:paraId="15F76005">
                  <w:pPr>
                    <w:pStyle w:val="73"/>
                  </w:pPr>
                  <w:r>
                    <w:t>2</w:t>
                  </w:r>
                </w:p>
              </w:tc>
              <w:tc>
                <w:tcPr>
                  <w:tcW w:w="555" w:type="pct"/>
                  <w:tcBorders>
                    <w:tl2br w:val="nil"/>
                    <w:tr2bl w:val="nil"/>
                  </w:tcBorders>
                  <w:vAlign w:val="center"/>
                </w:tcPr>
                <w:p w14:paraId="0200303B">
                  <w:pPr>
                    <w:pStyle w:val="73"/>
                  </w:pPr>
                  <w:r>
                    <w:t>3</w:t>
                  </w:r>
                </w:p>
              </w:tc>
              <w:tc>
                <w:tcPr>
                  <w:tcW w:w="556" w:type="pct"/>
                  <w:tcBorders>
                    <w:tl2br w:val="nil"/>
                    <w:tr2bl w:val="nil"/>
                  </w:tcBorders>
                  <w:vAlign w:val="center"/>
                </w:tcPr>
                <w:p w14:paraId="53A2DD42">
                  <w:pPr>
                    <w:pStyle w:val="73"/>
                  </w:pPr>
                  <w:r>
                    <w:t>最大值</w:t>
                  </w:r>
                </w:p>
              </w:tc>
              <w:tc>
                <w:tcPr>
                  <w:tcW w:w="352" w:type="pct"/>
                  <w:vMerge w:val="continue"/>
                  <w:tcBorders>
                    <w:tl2br w:val="nil"/>
                    <w:tr2bl w:val="nil"/>
                  </w:tcBorders>
                  <w:vAlign w:val="center"/>
                </w:tcPr>
                <w:p w14:paraId="491A8D7B">
                  <w:pPr>
                    <w:pStyle w:val="73"/>
                  </w:pPr>
                </w:p>
              </w:tc>
              <w:tc>
                <w:tcPr>
                  <w:tcW w:w="319" w:type="pct"/>
                  <w:vMerge w:val="continue"/>
                  <w:tcBorders>
                    <w:tl2br w:val="nil"/>
                    <w:tr2bl w:val="nil"/>
                  </w:tcBorders>
                  <w:vAlign w:val="center"/>
                </w:tcPr>
                <w:p w14:paraId="165723C4">
                  <w:pPr>
                    <w:pStyle w:val="73"/>
                  </w:pPr>
                </w:p>
              </w:tc>
            </w:tr>
            <w:tr w14:paraId="2F1438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restart"/>
                  <w:tcBorders>
                    <w:tl2br w:val="nil"/>
                    <w:tr2bl w:val="nil"/>
                  </w:tcBorders>
                  <w:vAlign w:val="center"/>
                </w:tcPr>
                <w:p w14:paraId="7A767F6C">
                  <w:pPr>
                    <w:pStyle w:val="73"/>
                  </w:pPr>
                  <w:r>
                    <w:t>DA0</w:t>
                  </w:r>
                  <w:r>
                    <w:rPr>
                      <w:rFonts w:hint="eastAsia"/>
                    </w:rPr>
                    <w:t>44</w:t>
                  </w:r>
                </w:p>
                <w:p w14:paraId="7E071476">
                  <w:pPr>
                    <w:pStyle w:val="73"/>
                  </w:pPr>
                  <w:r>
                    <w:t>1#焙烧烟气出口202</w:t>
                  </w:r>
                  <w:r>
                    <w:rPr>
                      <w:rFonts w:hint="eastAsia"/>
                    </w:rPr>
                    <w:t>4.</w:t>
                  </w:r>
                  <w:r>
                    <w:t>0</w:t>
                  </w:r>
                  <w:r>
                    <w:rPr>
                      <w:rFonts w:hint="eastAsia"/>
                    </w:rPr>
                    <w:t>3</w:t>
                  </w:r>
                  <w:r>
                    <w:t>.</w:t>
                  </w:r>
                  <w:r>
                    <w:rPr>
                      <w:rFonts w:hint="eastAsia"/>
                    </w:rPr>
                    <w:t>03</w:t>
                  </w:r>
                </w:p>
              </w:tc>
              <w:tc>
                <w:tcPr>
                  <w:tcW w:w="946" w:type="pct"/>
                  <w:tcBorders>
                    <w:tl2br w:val="nil"/>
                    <w:tr2bl w:val="nil"/>
                  </w:tcBorders>
                  <w:vAlign w:val="center"/>
                </w:tcPr>
                <w:p w14:paraId="34C23B22">
                  <w:pPr>
                    <w:pStyle w:val="73"/>
                  </w:pPr>
                  <w:r>
                    <w:t>标况排气量</w:t>
                  </w:r>
                </w:p>
              </w:tc>
              <w:tc>
                <w:tcPr>
                  <w:tcW w:w="489" w:type="pct"/>
                  <w:tcBorders>
                    <w:tl2br w:val="nil"/>
                    <w:tr2bl w:val="nil"/>
                  </w:tcBorders>
                  <w:vAlign w:val="center"/>
                </w:tcPr>
                <w:p w14:paraId="1AAACBAA">
                  <w:pPr>
                    <w:pStyle w:val="73"/>
                  </w:pPr>
                  <w:r>
                    <w:rPr>
                      <w:rFonts w:hint="eastAsia"/>
                    </w:rPr>
                    <w:t>Nm</w:t>
                  </w:r>
                  <w:r>
                    <w:rPr>
                      <w:rFonts w:hint="eastAsia"/>
                      <w:vertAlign w:val="superscript"/>
                    </w:rPr>
                    <w:t>3</w:t>
                  </w:r>
                  <w:r>
                    <w:t>/h</w:t>
                  </w:r>
                </w:p>
              </w:tc>
              <w:tc>
                <w:tcPr>
                  <w:tcW w:w="555" w:type="pct"/>
                  <w:tcBorders>
                    <w:tl2br w:val="nil"/>
                    <w:tr2bl w:val="nil"/>
                  </w:tcBorders>
                  <w:vAlign w:val="center"/>
                </w:tcPr>
                <w:p w14:paraId="29E50021">
                  <w:pPr>
                    <w:pStyle w:val="73"/>
                  </w:pPr>
                  <w:r>
                    <w:t>205892</w:t>
                  </w:r>
                </w:p>
              </w:tc>
              <w:tc>
                <w:tcPr>
                  <w:tcW w:w="555" w:type="pct"/>
                  <w:tcBorders>
                    <w:tl2br w:val="nil"/>
                    <w:tr2bl w:val="nil"/>
                  </w:tcBorders>
                  <w:vAlign w:val="center"/>
                </w:tcPr>
                <w:p w14:paraId="488151C7">
                  <w:pPr>
                    <w:pStyle w:val="73"/>
                  </w:pPr>
                  <w:r>
                    <w:t>195293</w:t>
                  </w:r>
                </w:p>
              </w:tc>
              <w:tc>
                <w:tcPr>
                  <w:tcW w:w="555" w:type="pct"/>
                  <w:tcBorders>
                    <w:tl2br w:val="nil"/>
                    <w:tr2bl w:val="nil"/>
                  </w:tcBorders>
                  <w:vAlign w:val="center"/>
                </w:tcPr>
                <w:p w14:paraId="3B3D2815">
                  <w:pPr>
                    <w:pStyle w:val="73"/>
                  </w:pPr>
                  <w:r>
                    <w:t>195107</w:t>
                  </w:r>
                </w:p>
              </w:tc>
              <w:tc>
                <w:tcPr>
                  <w:tcW w:w="556" w:type="pct"/>
                  <w:tcBorders>
                    <w:tl2br w:val="nil"/>
                    <w:tr2bl w:val="nil"/>
                  </w:tcBorders>
                  <w:vAlign w:val="center"/>
                </w:tcPr>
                <w:p w14:paraId="3D5C3B8F">
                  <w:pPr>
                    <w:pStyle w:val="73"/>
                  </w:pPr>
                  <w:r>
                    <w:t>/</w:t>
                  </w:r>
                </w:p>
              </w:tc>
              <w:tc>
                <w:tcPr>
                  <w:tcW w:w="352" w:type="pct"/>
                  <w:tcBorders>
                    <w:tl2br w:val="nil"/>
                    <w:tr2bl w:val="nil"/>
                  </w:tcBorders>
                  <w:vAlign w:val="center"/>
                </w:tcPr>
                <w:p w14:paraId="4956A580">
                  <w:pPr>
                    <w:pStyle w:val="73"/>
                  </w:pPr>
                </w:p>
              </w:tc>
              <w:tc>
                <w:tcPr>
                  <w:tcW w:w="319" w:type="pct"/>
                  <w:tcBorders>
                    <w:tl2br w:val="nil"/>
                    <w:tr2bl w:val="nil"/>
                  </w:tcBorders>
                  <w:vAlign w:val="center"/>
                </w:tcPr>
                <w:p w14:paraId="34787D8A">
                  <w:pPr>
                    <w:pStyle w:val="73"/>
                  </w:pPr>
                </w:p>
              </w:tc>
            </w:tr>
            <w:tr w14:paraId="7047E0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07C25972">
                  <w:pPr>
                    <w:pStyle w:val="73"/>
                  </w:pPr>
                </w:p>
              </w:tc>
              <w:tc>
                <w:tcPr>
                  <w:tcW w:w="946" w:type="pct"/>
                  <w:tcBorders>
                    <w:tl2br w:val="nil"/>
                    <w:tr2bl w:val="nil"/>
                  </w:tcBorders>
                  <w:vAlign w:val="center"/>
                </w:tcPr>
                <w:p w14:paraId="2EE29DB8">
                  <w:pPr>
                    <w:pStyle w:val="73"/>
                  </w:pPr>
                  <w:r>
                    <w:rPr>
                      <w:rFonts w:hint="eastAsia"/>
                    </w:rPr>
                    <w:t>氧含量</w:t>
                  </w:r>
                </w:p>
              </w:tc>
              <w:tc>
                <w:tcPr>
                  <w:tcW w:w="489" w:type="pct"/>
                  <w:tcBorders>
                    <w:tl2br w:val="nil"/>
                    <w:tr2bl w:val="nil"/>
                  </w:tcBorders>
                  <w:vAlign w:val="center"/>
                </w:tcPr>
                <w:p w14:paraId="34B5EB85">
                  <w:pPr>
                    <w:pStyle w:val="73"/>
                  </w:pPr>
                  <w:r>
                    <w:t>%</w:t>
                  </w:r>
                </w:p>
              </w:tc>
              <w:tc>
                <w:tcPr>
                  <w:tcW w:w="555" w:type="pct"/>
                  <w:tcBorders>
                    <w:tl2br w:val="nil"/>
                    <w:tr2bl w:val="nil"/>
                  </w:tcBorders>
                  <w:vAlign w:val="center"/>
                </w:tcPr>
                <w:p w14:paraId="236A1482">
                  <w:pPr>
                    <w:pStyle w:val="73"/>
                  </w:pPr>
                  <w:r>
                    <w:t>6.1</w:t>
                  </w:r>
                </w:p>
              </w:tc>
              <w:tc>
                <w:tcPr>
                  <w:tcW w:w="555" w:type="pct"/>
                  <w:tcBorders>
                    <w:tl2br w:val="nil"/>
                    <w:tr2bl w:val="nil"/>
                  </w:tcBorders>
                  <w:vAlign w:val="center"/>
                </w:tcPr>
                <w:p w14:paraId="4B4CCEC1">
                  <w:pPr>
                    <w:pStyle w:val="73"/>
                  </w:pPr>
                  <w:r>
                    <w:t>6.3</w:t>
                  </w:r>
                </w:p>
              </w:tc>
              <w:tc>
                <w:tcPr>
                  <w:tcW w:w="555" w:type="pct"/>
                  <w:tcBorders>
                    <w:tl2br w:val="nil"/>
                    <w:tr2bl w:val="nil"/>
                  </w:tcBorders>
                  <w:vAlign w:val="center"/>
                </w:tcPr>
                <w:p w14:paraId="33FEF649">
                  <w:pPr>
                    <w:pStyle w:val="73"/>
                  </w:pPr>
                  <w:r>
                    <w:t>6.1</w:t>
                  </w:r>
                </w:p>
              </w:tc>
              <w:tc>
                <w:tcPr>
                  <w:tcW w:w="556" w:type="pct"/>
                  <w:tcBorders>
                    <w:tl2br w:val="nil"/>
                    <w:tr2bl w:val="nil"/>
                  </w:tcBorders>
                  <w:vAlign w:val="center"/>
                </w:tcPr>
                <w:p w14:paraId="73330FA2">
                  <w:pPr>
                    <w:pStyle w:val="73"/>
                  </w:pPr>
                  <w:r>
                    <w:t>6.3</w:t>
                  </w:r>
                </w:p>
              </w:tc>
              <w:tc>
                <w:tcPr>
                  <w:tcW w:w="352" w:type="pct"/>
                  <w:tcBorders>
                    <w:tl2br w:val="nil"/>
                    <w:tr2bl w:val="nil"/>
                  </w:tcBorders>
                  <w:vAlign w:val="center"/>
                </w:tcPr>
                <w:p w14:paraId="2DAFB576">
                  <w:pPr>
                    <w:pStyle w:val="73"/>
                  </w:pPr>
                </w:p>
              </w:tc>
              <w:tc>
                <w:tcPr>
                  <w:tcW w:w="319" w:type="pct"/>
                  <w:tcBorders>
                    <w:tl2br w:val="nil"/>
                    <w:tr2bl w:val="nil"/>
                  </w:tcBorders>
                  <w:vAlign w:val="center"/>
                </w:tcPr>
                <w:p w14:paraId="0306ED09">
                  <w:pPr>
                    <w:pStyle w:val="73"/>
                  </w:pPr>
                </w:p>
              </w:tc>
            </w:tr>
            <w:tr w14:paraId="0CCA81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2E7BB129">
                  <w:pPr>
                    <w:pStyle w:val="73"/>
                  </w:pPr>
                </w:p>
              </w:tc>
              <w:tc>
                <w:tcPr>
                  <w:tcW w:w="946" w:type="pct"/>
                  <w:tcBorders>
                    <w:tl2br w:val="nil"/>
                    <w:tr2bl w:val="nil"/>
                  </w:tcBorders>
                  <w:vAlign w:val="center"/>
                </w:tcPr>
                <w:p w14:paraId="02FF048E">
                  <w:pPr>
                    <w:pStyle w:val="73"/>
                  </w:pPr>
                  <w:r>
                    <w:rPr>
                      <w:rFonts w:hint="eastAsia"/>
                    </w:rPr>
                    <w:t>颗粒物实测浓度</w:t>
                  </w:r>
                </w:p>
              </w:tc>
              <w:tc>
                <w:tcPr>
                  <w:tcW w:w="489" w:type="pct"/>
                  <w:tcBorders>
                    <w:tl2br w:val="nil"/>
                    <w:tr2bl w:val="nil"/>
                  </w:tcBorders>
                  <w:vAlign w:val="center"/>
                </w:tcPr>
                <w:p w14:paraId="673ECF84">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54CEE8E0">
                  <w:pPr>
                    <w:pStyle w:val="73"/>
                  </w:pPr>
                  <w:r>
                    <w:t>2.1</w:t>
                  </w:r>
                </w:p>
              </w:tc>
              <w:tc>
                <w:tcPr>
                  <w:tcW w:w="555" w:type="pct"/>
                  <w:tcBorders>
                    <w:tl2br w:val="nil"/>
                    <w:tr2bl w:val="nil"/>
                  </w:tcBorders>
                  <w:vAlign w:val="center"/>
                </w:tcPr>
                <w:p w14:paraId="0CE6714C">
                  <w:pPr>
                    <w:pStyle w:val="73"/>
                  </w:pPr>
                  <w:r>
                    <w:t>1.9</w:t>
                  </w:r>
                </w:p>
              </w:tc>
              <w:tc>
                <w:tcPr>
                  <w:tcW w:w="555" w:type="pct"/>
                  <w:tcBorders>
                    <w:tl2br w:val="nil"/>
                    <w:tr2bl w:val="nil"/>
                  </w:tcBorders>
                  <w:vAlign w:val="center"/>
                </w:tcPr>
                <w:p w14:paraId="4C0309C9">
                  <w:pPr>
                    <w:pStyle w:val="73"/>
                  </w:pPr>
                  <w:r>
                    <w:t>2.1</w:t>
                  </w:r>
                </w:p>
              </w:tc>
              <w:tc>
                <w:tcPr>
                  <w:tcW w:w="556" w:type="pct"/>
                  <w:tcBorders>
                    <w:tl2br w:val="nil"/>
                    <w:tr2bl w:val="nil"/>
                  </w:tcBorders>
                  <w:vAlign w:val="center"/>
                </w:tcPr>
                <w:p w14:paraId="63DE757A">
                  <w:pPr>
                    <w:pStyle w:val="73"/>
                  </w:pPr>
                  <w:r>
                    <w:t>2.1</w:t>
                  </w:r>
                </w:p>
              </w:tc>
              <w:tc>
                <w:tcPr>
                  <w:tcW w:w="352" w:type="pct"/>
                  <w:tcBorders>
                    <w:tl2br w:val="nil"/>
                    <w:tr2bl w:val="nil"/>
                  </w:tcBorders>
                  <w:vAlign w:val="center"/>
                </w:tcPr>
                <w:p w14:paraId="0099E981">
                  <w:pPr>
                    <w:pStyle w:val="73"/>
                  </w:pPr>
                </w:p>
              </w:tc>
              <w:tc>
                <w:tcPr>
                  <w:tcW w:w="319" w:type="pct"/>
                  <w:tcBorders>
                    <w:tl2br w:val="nil"/>
                    <w:tr2bl w:val="nil"/>
                  </w:tcBorders>
                  <w:vAlign w:val="center"/>
                </w:tcPr>
                <w:p w14:paraId="4713C55B">
                  <w:pPr>
                    <w:pStyle w:val="73"/>
                  </w:pPr>
                </w:p>
              </w:tc>
            </w:tr>
            <w:tr w14:paraId="39519D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04458F4C">
                  <w:pPr>
                    <w:pStyle w:val="73"/>
                  </w:pPr>
                </w:p>
              </w:tc>
              <w:tc>
                <w:tcPr>
                  <w:tcW w:w="946" w:type="pct"/>
                  <w:tcBorders>
                    <w:tl2br w:val="nil"/>
                    <w:tr2bl w:val="nil"/>
                  </w:tcBorders>
                  <w:vAlign w:val="center"/>
                </w:tcPr>
                <w:p w14:paraId="434087D0">
                  <w:pPr>
                    <w:pStyle w:val="73"/>
                  </w:pPr>
                  <w:r>
                    <w:rPr>
                      <w:rFonts w:hint="eastAsia"/>
                    </w:rPr>
                    <w:t>颗粒物折算浓度</w:t>
                  </w:r>
                </w:p>
              </w:tc>
              <w:tc>
                <w:tcPr>
                  <w:tcW w:w="489" w:type="pct"/>
                  <w:tcBorders>
                    <w:tl2br w:val="nil"/>
                    <w:tr2bl w:val="nil"/>
                  </w:tcBorders>
                  <w:vAlign w:val="center"/>
                </w:tcPr>
                <w:p w14:paraId="03873518">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11B6D2AC">
                  <w:pPr>
                    <w:pStyle w:val="73"/>
                  </w:pPr>
                  <w:r>
                    <w:rPr>
                      <w:rFonts w:hint="eastAsia"/>
                    </w:rPr>
                    <w:t>1.8</w:t>
                  </w:r>
                </w:p>
              </w:tc>
              <w:tc>
                <w:tcPr>
                  <w:tcW w:w="555" w:type="pct"/>
                  <w:tcBorders>
                    <w:tl2br w:val="nil"/>
                    <w:tr2bl w:val="nil"/>
                  </w:tcBorders>
                  <w:vAlign w:val="center"/>
                </w:tcPr>
                <w:p w14:paraId="399AEE05">
                  <w:pPr>
                    <w:pStyle w:val="73"/>
                  </w:pPr>
                  <w:r>
                    <w:rPr>
                      <w:rFonts w:hint="eastAsia"/>
                    </w:rPr>
                    <w:t>1.7</w:t>
                  </w:r>
                </w:p>
              </w:tc>
              <w:tc>
                <w:tcPr>
                  <w:tcW w:w="555" w:type="pct"/>
                  <w:tcBorders>
                    <w:tl2br w:val="nil"/>
                    <w:tr2bl w:val="nil"/>
                  </w:tcBorders>
                  <w:vAlign w:val="center"/>
                </w:tcPr>
                <w:p w14:paraId="6EFAA7A5">
                  <w:pPr>
                    <w:pStyle w:val="73"/>
                  </w:pPr>
                  <w:r>
                    <w:rPr>
                      <w:rFonts w:hint="eastAsia"/>
                    </w:rPr>
                    <w:t>1.8</w:t>
                  </w:r>
                </w:p>
              </w:tc>
              <w:tc>
                <w:tcPr>
                  <w:tcW w:w="556" w:type="pct"/>
                  <w:tcBorders>
                    <w:tl2br w:val="nil"/>
                    <w:tr2bl w:val="nil"/>
                  </w:tcBorders>
                  <w:vAlign w:val="center"/>
                </w:tcPr>
                <w:p w14:paraId="71F48259">
                  <w:pPr>
                    <w:pStyle w:val="73"/>
                  </w:pPr>
                  <w:r>
                    <w:rPr>
                      <w:rFonts w:hint="eastAsia"/>
                    </w:rPr>
                    <w:t>1.8</w:t>
                  </w:r>
                </w:p>
              </w:tc>
              <w:tc>
                <w:tcPr>
                  <w:tcW w:w="352" w:type="pct"/>
                  <w:tcBorders>
                    <w:tl2br w:val="nil"/>
                    <w:tr2bl w:val="nil"/>
                  </w:tcBorders>
                  <w:vAlign w:val="center"/>
                </w:tcPr>
                <w:p w14:paraId="575CEE99">
                  <w:pPr>
                    <w:pStyle w:val="73"/>
                  </w:pPr>
                  <w:r>
                    <w:rPr>
                      <w:rFonts w:hint="eastAsia"/>
                    </w:rPr>
                    <w:t>10</w:t>
                  </w:r>
                </w:p>
              </w:tc>
              <w:tc>
                <w:tcPr>
                  <w:tcW w:w="319" w:type="pct"/>
                  <w:tcBorders>
                    <w:tl2br w:val="nil"/>
                    <w:tr2bl w:val="nil"/>
                  </w:tcBorders>
                  <w:vAlign w:val="center"/>
                </w:tcPr>
                <w:p w14:paraId="7E1026EA">
                  <w:pPr>
                    <w:pStyle w:val="73"/>
                  </w:pPr>
                  <w:r>
                    <w:rPr>
                      <w:rFonts w:hint="eastAsia"/>
                    </w:rPr>
                    <w:t>达标</w:t>
                  </w:r>
                </w:p>
              </w:tc>
            </w:tr>
            <w:tr w14:paraId="07FFF6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2F8B4B70">
                  <w:pPr>
                    <w:pStyle w:val="73"/>
                  </w:pPr>
                </w:p>
              </w:tc>
              <w:tc>
                <w:tcPr>
                  <w:tcW w:w="946" w:type="pct"/>
                  <w:tcBorders>
                    <w:tl2br w:val="nil"/>
                    <w:tr2bl w:val="nil"/>
                  </w:tcBorders>
                  <w:vAlign w:val="center"/>
                </w:tcPr>
                <w:p w14:paraId="2E7E5947">
                  <w:pPr>
                    <w:pStyle w:val="73"/>
                  </w:pPr>
                  <w:r>
                    <w:rPr>
                      <w:rFonts w:hint="eastAsia"/>
                    </w:rPr>
                    <w:t>二氧化硫实测浓度</w:t>
                  </w:r>
                </w:p>
              </w:tc>
              <w:tc>
                <w:tcPr>
                  <w:tcW w:w="489" w:type="pct"/>
                  <w:tcBorders>
                    <w:tl2br w:val="nil"/>
                    <w:tr2bl w:val="nil"/>
                  </w:tcBorders>
                  <w:vAlign w:val="center"/>
                </w:tcPr>
                <w:p w14:paraId="488E16BE">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440BC42E">
                  <w:pPr>
                    <w:pStyle w:val="73"/>
                  </w:pPr>
                  <w:r>
                    <w:t>4</w:t>
                  </w:r>
                </w:p>
              </w:tc>
              <w:tc>
                <w:tcPr>
                  <w:tcW w:w="555" w:type="pct"/>
                  <w:tcBorders>
                    <w:tl2br w:val="nil"/>
                    <w:tr2bl w:val="nil"/>
                  </w:tcBorders>
                  <w:vAlign w:val="center"/>
                </w:tcPr>
                <w:p w14:paraId="2608F9B5">
                  <w:pPr>
                    <w:pStyle w:val="73"/>
                  </w:pPr>
                  <w:r>
                    <w:t>4</w:t>
                  </w:r>
                </w:p>
              </w:tc>
              <w:tc>
                <w:tcPr>
                  <w:tcW w:w="555" w:type="pct"/>
                  <w:tcBorders>
                    <w:tl2br w:val="nil"/>
                    <w:tr2bl w:val="nil"/>
                  </w:tcBorders>
                  <w:vAlign w:val="center"/>
                </w:tcPr>
                <w:p w14:paraId="3EB53444">
                  <w:pPr>
                    <w:pStyle w:val="73"/>
                  </w:pPr>
                  <w:r>
                    <w:t>4</w:t>
                  </w:r>
                </w:p>
              </w:tc>
              <w:tc>
                <w:tcPr>
                  <w:tcW w:w="556" w:type="pct"/>
                  <w:tcBorders>
                    <w:tl2br w:val="nil"/>
                    <w:tr2bl w:val="nil"/>
                  </w:tcBorders>
                  <w:vAlign w:val="center"/>
                </w:tcPr>
                <w:p w14:paraId="41A6C918">
                  <w:pPr>
                    <w:pStyle w:val="73"/>
                  </w:pPr>
                  <w:r>
                    <w:t>4</w:t>
                  </w:r>
                </w:p>
              </w:tc>
              <w:tc>
                <w:tcPr>
                  <w:tcW w:w="352" w:type="pct"/>
                  <w:tcBorders>
                    <w:tl2br w:val="nil"/>
                    <w:tr2bl w:val="nil"/>
                  </w:tcBorders>
                  <w:vAlign w:val="center"/>
                </w:tcPr>
                <w:p w14:paraId="3CD0BEAC">
                  <w:pPr>
                    <w:pStyle w:val="73"/>
                  </w:pPr>
                </w:p>
              </w:tc>
              <w:tc>
                <w:tcPr>
                  <w:tcW w:w="319" w:type="pct"/>
                  <w:tcBorders>
                    <w:tl2br w:val="nil"/>
                    <w:tr2bl w:val="nil"/>
                  </w:tcBorders>
                  <w:vAlign w:val="center"/>
                </w:tcPr>
                <w:p w14:paraId="07740780">
                  <w:pPr>
                    <w:pStyle w:val="73"/>
                  </w:pPr>
                </w:p>
              </w:tc>
            </w:tr>
            <w:tr w14:paraId="4576A1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05648F43">
                  <w:pPr>
                    <w:pStyle w:val="73"/>
                  </w:pPr>
                </w:p>
              </w:tc>
              <w:tc>
                <w:tcPr>
                  <w:tcW w:w="946" w:type="pct"/>
                  <w:tcBorders>
                    <w:tl2br w:val="nil"/>
                    <w:tr2bl w:val="nil"/>
                  </w:tcBorders>
                  <w:vAlign w:val="center"/>
                </w:tcPr>
                <w:p w14:paraId="7DECF6A3">
                  <w:pPr>
                    <w:pStyle w:val="73"/>
                  </w:pPr>
                  <w:r>
                    <w:rPr>
                      <w:rFonts w:hint="eastAsia"/>
                    </w:rPr>
                    <w:t>二氧化硫折算浓度</w:t>
                  </w:r>
                </w:p>
              </w:tc>
              <w:tc>
                <w:tcPr>
                  <w:tcW w:w="489" w:type="pct"/>
                  <w:tcBorders>
                    <w:tl2br w:val="nil"/>
                    <w:tr2bl w:val="nil"/>
                  </w:tcBorders>
                  <w:vAlign w:val="center"/>
                </w:tcPr>
                <w:p w14:paraId="0FEE4E8B">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1F7C79C0">
                  <w:pPr>
                    <w:pStyle w:val="73"/>
                  </w:pPr>
                  <w:r>
                    <w:t>3</w:t>
                  </w:r>
                </w:p>
              </w:tc>
              <w:tc>
                <w:tcPr>
                  <w:tcW w:w="555" w:type="pct"/>
                  <w:tcBorders>
                    <w:tl2br w:val="nil"/>
                    <w:tr2bl w:val="nil"/>
                  </w:tcBorders>
                  <w:vAlign w:val="center"/>
                </w:tcPr>
                <w:p w14:paraId="3EA43EA6">
                  <w:pPr>
                    <w:pStyle w:val="73"/>
                  </w:pPr>
                  <w:r>
                    <w:t>4</w:t>
                  </w:r>
                </w:p>
              </w:tc>
              <w:tc>
                <w:tcPr>
                  <w:tcW w:w="555" w:type="pct"/>
                  <w:tcBorders>
                    <w:tl2br w:val="nil"/>
                    <w:tr2bl w:val="nil"/>
                  </w:tcBorders>
                  <w:vAlign w:val="center"/>
                </w:tcPr>
                <w:p w14:paraId="228A3134">
                  <w:pPr>
                    <w:pStyle w:val="73"/>
                  </w:pPr>
                  <w:r>
                    <w:t>3</w:t>
                  </w:r>
                </w:p>
              </w:tc>
              <w:tc>
                <w:tcPr>
                  <w:tcW w:w="556" w:type="pct"/>
                  <w:tcBorders>
                    <w:tl2br w:val="nil"/>
                    <w:tr2bl w:val="nil"/>
                  </w:tcBorders>
                  <w:vAlign w:val="center"/>
                </w:tcPr>
                <w:p w14:paraId="14CADD59">
                  <w:pPr>
                    <w:pStyle w:val="73"/>
                  </w:pPr>
                  <w:r>
                    <w:t>3</w:t>
                  </w:r>
                </w:p>
              </w:tc>
              <w:tc>
                <w:tcPr>
                  <w:tcW w:w="352" w:type="pct"/>
                  <w:tcBorders>
                    <w:tl2br w:val="nil"/>
                    <w:tr2bl w:val="nil"/>
                  </w:tcBorders>
                  <w:vAlign w:val="center"/>
                </w:tcPr>
                <w:p w14:paraId="76C12A8C">
                  <w:pPr>
                    <w:pStyle w:val="73"/>
                  </w:pPr>
                  <w:r>
                    <w:rPr>
                      <w:rFonts w:hint="eastAsia"/>
                    </w:rPr>
                    <w:t>50</w:t>
                  </w:r>
                </w:p>
              </w:tc>
              <w:tc>
                <w:tcPr>
                  <w:tcW w:w="319" w:type="pct"/>
                  <w:tcBorders>
                    <w:tl2br w:val="nil"/>
                    <w:tr2bl w:val="nil"/>
                  </w:tcBorders>
                  <w:vAlign w:val="center"/>
                </w:tcPr>
                <w:p w14:paraId="54B346E2">
                  <w:pPr>
                    <w:pStyle w:val="73"/>
                  </w:pPr>
                  <w:r>
                    <w:rPr>
                      <w:rFonts w:hint="eastAsia"/>
                    </w:rPr>
                    <w:t>达标</w:t>
                  </w:r>
                </w:p>
              </w:tc>
            </w:tr>
            <w:tr w14:paraId="10546A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314BA184">
                  <w:pPr>
                    <w:pStyle w:val="73"/>
                  </w:pPr>
                </w:p>
              </w:tc>
              <w:tc>
                <w:tcPr>
                  <w:tcW w:w="946" w:type="pct"/>
                  <w:tcBorders>
                    <w:tl2br w:val="nil"/>
                    <w:tr2bl w:val="nil"/>
                  </w:tcBorders>
                  <w:vAlign w:val="center"/>
                </w:tcPr>
                <w:p w14:paraId="4A68167C">
                  <w:pPr>
                    <w:pStyle w:val="73"/>
                  </w:pPr>
                  <w:r>
                    <w:t>氮氧化物实测浓度</w:t>
                  </w:r>
                </w:p>
              </w:tc>
              <w:tc>
                <w:tcPr>
                  <w:tcW w:w="489" w:type="pct"/>
                  <w:tcBorders>
                    <w:tl2br w:val="nil"/>
                    <w:tr2bl w:val="nil"/>
                  </w:tcBorders>
                  <w:vAlign w:val="center"/>
                </w:tcPr>
                <w:p w14:paraId="158347D4">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39FA52BC">
                  <w:pPr>
                    <w:pStyle w:val="73"/>
                  </w:pPr>
                  <w:r>
                    <w:rPr>
                      <w:rFonts w:hint="eastAsia"/>
                    </w:rPr>
                    <w:t>6</w:t>
                  </w:r>
                </w:p>
              </w:tc>
              <w:tc>
                <w:tcPr>
                  <w:tcW w:w="555" w:type="pct"/>
                  <w:tcBorders>
                    <w:tl2br w:val="nil"/>
                    <w:tr2bl w:val="nil"/>
                  </w:tcBorders>
                  <w:vAlign w:val="center"/>
                </w:tcPr>
                <w:p w14:paraId="2A74BA69">
                  <w:pPr>
                    <w:pStyle w:val="73"/>
                  </w:pPr>
                  <w:r>
                    <w:rPr>
                      <w:rFonts w:hint="eastAsia"/>
                    </w:rPr>
                    <w:t>7</w:t>
                  </w:r>
                </w:p>
              </w:tc>
              <w:tc>
                <w:tcPr>
                  <w:tcW w:w="555" w:type="pct"/>
                  <w:tcBorders>
                    <w:tl2br w:val="nil"/>
                    <w:tr2bl w:val="nil"/>
                  </w:tcBorders>
                  <w:vAlign w:val="center"/>
                </w:tcPr>
                <w:p w14:paraId="721FA4D7">
                  <w:pPr>
                    <w:pStyle w:val="73"/>
                  </w:pPr>
                  <w:r>
                    <w:rPr>
                      <w:rFonts w:hint="eastAsia"/>
                    </w:rPr>
                    <w:t>9</w:t>
                  </w:r>
                </w:p>
              </w:tc>
              <w:tc>
                <w:tcPr>
                  <w:tcW w:w="556" w:type="pct"/>
                  <w:tcBorders>
                    <w:tl2br w:val="nil"/>
                    <w:tr2bl w:val="nil"/>
                  </w:tcBorders>
                  <w:vAlign w:val="center"/>
                </w:tcPr>
                <w:p w14:paraId="0674E75A">
                  <w:pPr>
                    <w:pStyle w:val="73"/>
                  </w:pPr>
                  <w:r>
                    <w:rPr>
                      <w:rFonts w:hint="eastAsia"/>
                    </w:rPr>
                    <w:t>9</w:t>
                  </w:r>
                </w:p>
              </w:tc>
              <w:tc>
                <w:tcPr>
                  <w:tcW w:w="352" w:type="pct"/>
                  <w:tcBorders>
                    <w:tl2br w:val="nil"/>
                    <w:tr2bl w:val="nil"/>
                  </w:tcBorders>
                  <w:vAlign w:val="center"/>
                </w:tcPr>
                <w:p w14:paraId="074E4422">
                  <w:pPr>
                    <w:pStyle w:val="73"/>
                  </w:pPr>
                </w:p>
              </w:tc>
              <w:tc>
                <w:tcPr>
                  <w:tcW w:w="319" w:type="pct"/>
                  <w:tcBorders>
                    <w:tl2br w:val="nil"/>
                    <w:tr2bl w:val="nil"/>
                  </w:tcBorders>
                  <w:vAlign w:val="center"/>
                </w:tcPr>
                <w:p w14:paraId="422B69B7">
                  <w:pPr>
                    <w:pStyle w:val="73"/>
                  </w:pPr>
                </w:p>
              </w:tc>
            </w:tr>
            <w:tr w14:paraId="7E3DB2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01747B22">
                  <w:pPr>
                    <w:pStyle w:val="73"/>
                  </w:pPr>
                </w:p>
              </w:tc>
              <w:tc>
                <w:tcPr>
                  <w:tcW w:w="946" w:type="pct"/>
                  <w:tcBorders>
                    <w:tl2br w:val="nil"/>
                    <w:tr2bl w:val="nil"/>
                  </w:tcBorders>
                  <w:vAlign w:val="center"/>
                </w:tcPr>
                <w:p w14:paraId="4F1923D2">
                  <w:pPr>
                    <w:pStyle w:val="73"/>
                  </w:pPr>
                  <w:r>
                    <w:t>氮氧化物折算浓度</w:t>
                  </w:r>
                </w:p>
              </w:tc>
              <w:tc>
                <w:tcPr>
                  <w:tcW w:w="489" w:type="pct"/>
                  <w:tcBorders>
                    <w:tl2br w:val="nil"/>
                    <w:tr2bl w:val="nil"/>
                  </w:tcBorders>
                  <w:vAlign w:val="center"/>
                </w:tcPr>
                <w:p w14:paraId="0E44A405">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05128D7E">
                  <w:pPr>
                    <w:pStyle w:val="73"/>
                  </w:pPr>
                  <w:r>
                    <w:rPr>
                      <w:rFonts w:hint="eastAsia"/>
                    </w:rPr>
                    <w:t>5</w:t>
                  </w:r>
                </w:p>
              </w:tc>
              <w:tc>
                <w:tcPr>
                  <w:tcW w:w="555" w:type="pct"/>
                  <w:tcBorders>
                    <w:tl2br w:val="nil"/>
                    <w:tr2bl w:val="nil"/>
                  </w:tcBorders>
                  <w:vAlign w:val="center"/>
                </w:tcPr>
                <w:p w14:paraId="698A4FB4">
                  <w:pPr>
                    <w:pStyle w:val="73"/>
                  </w:pPr>
                  <w:r>
                    <w:rPr>
                      <w:rFonts w:hint="eastAsia"/>
                    </w:rPr>
                    <w:t>6</w:t>
                  </w:r>
                </w:p>
              </w:tc>
              <w:tc>
                <w:tcPr>
                  <w:tcW w:w="555" w:type="pct"/>
                  <w:tcBorders>
                    <w:tl2br w:val="nil"/>
                    <w:tr2bl w:val="nil"/>
                  </w:tcBorders>
                  <w:vAlign w:val="center"/>
                </w:tcPr>
                <w:p w14:paraId="29D910C7">
                  <w:pPr>
                    <w:pStyle w:val="73"/>
                  </w:pPr>
                  <w:r>
                    <w:rPr>
                      <w:rFonts w:hint="eastAsia"/>
                    </w:rPr>
                    <w:t>8</w:t>
                  </w:r>
                </w:p>
              </w:tc>
              <w:tc>
                <w:tcPr>
                  <w:tcW w:w="556" w:type="pct"/>
                  <w:tcBorders>
                    <w:tl2br w:val="nil"/>
                    <w:tr2bl w:val="nil"/>
                  </w:tcBorders>
                  <w:vAlign w:val="center"/>
                </w:tcPr>
                <w:p w14:paraId="2C4BC926">
                  <w:pPr>
                    <w:pStyle w:val="73"/>
                  </w:pPr>
                  <w:r>
                    <w:rPr>
                      <w:rFonts w:hint="eastAsia"/>
                    </w:rPr>
                    <w:t>8</w:t>
                  </w:r>
                </w:p>
              </w:tc>
              <w:tc>
                <w:tcPr>
                  <w:tcW w:w="352" w:type="pct"/>
                  <w:tcBorders>
                    <w:tl2br w:val="nil"/>
                    <w:tr2bl w:val="nil"/>
                  </w:tcBorders>
                  <w:vAlign w:val="center"/>
                </w:tcPr>
                <w:p w14:paraId="400860F6">
                  <w:pPr>
                    <w:pStyle w:val="73"/>
                  </w:pPr>
                  <w:r>
                    <w:rPr>
                      <w:rFonts w:hint="eastAsia"/>
                    </w:rPr>
                    <w:t>50</w:t>
                  </w:r>
                </w:p>
              </w:tc>
              <w:tc>
                <w:tcPr>
                  <w:tcW w:w="319" w:type="pct"/>
                  <w:tcBorders>
                    <w:tl2br w:val="nil"/>
                    <w:tr2bl w:val="nil"/>
                  </w:tcBorders>
                  <w:vAlign w:val="center"/>
                </w:tcPr>
                <w:p w14:paraId="5801BADE">
                  <w:pPr>
                    <w:pStyle w:val="73"/>
                  </w:pPr>
                  <w:r>
                    <w:rPr>
                      <w:rFonts w:hint="eastAsia"/>
                    </w:rPr>
                    <w:t>达标</w:t>
                  </w:r>
                </w:p>
              </w:tc>
            </w:tr>
            <w:tr w14:paraId="70C027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6C0427B2">
                  <w:pPr>
                    <w:pStyle w:val="73"/>
                  </w:pPr>
                </w:p>
              </w:tc>
              <w:tc>
                <w:tcPr>
                  <w:tcW w:w="946" w:type="pct"/>
                  <w:tcBorders>
                    <w:tl2br w:val="nil"/>
                    <w:tr2bl w:val="nil"/>
                  </w:tcBorders>
                  <w:vAlign w:val="center"/>
                </w:tcPr>
                <w:p w14:paraId="6D4CE8CF">
                  <w:pPr>
                    <w:pStyle w:val="73"/>
                  </w:pPr>
                  <w:r>
                    <w:rPr>
                      <w:rFonts w:hint="eastAsia"/>
                    </w:rPr>
                    <w:t>氨</w:t>
                  </w:r>
                  <w:r>
                    <w:t>实测浓度</w:t>
                  </w:r>
                </w:p>
              </w:tc>
              <w:tc>
                <w:tcPr>
                  <w:tcW w:w="489" w:type="pct"/>
                  <w:tcBorders>
                    <w:tl2br w:val="nil"/>
                    <w:tr2bl w:val="nil"/>
                  </w:tcBorders>
                  <w:vAlign w:val="center"/>
                </w:tcPr>
                <w:p w14:paraId="2A063043">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038112EB">
                  <w:pPr>
                    <w:pStyle w:val="73"/>
                  </w:pPr>
                  <w:r>
                    <w:rPr>
                      <w:rFonts w:hint="eastAsia"/>
                    </w:rPr>
                    <w:t>0.54</w:t>
                  </w:r>
                </w:p>
              </w:tc>
              <w:tc>
                <w:tcPr>
                  <w:tcW w:w="555" w:type="pct"/>
                  <w:tcBorders>
                    <w:tl2br w:val="nil"/>
                    <w:tr2bl w:val="nil"/>
                  </w:tcBorders>
                  <w:vAlign w:val="center"/>
                </w:tcPr>
                <w:p w14:paraId="1946F8B6">
                  <w:pPr>
                    <w:pStyle w:val="73"/>
                  </w:pPr>
                  <w:r>
                    <w:rPr>
                      <w:rFonts w:hint="eastAsia"/>
                    </w:rPr>
                    <w:t>0.27</w:t>
                  </w:r>
                </w:p>
              </w:tc>
              <w:tc>
                <w:tcPr>
                  <w:tcW w:w="555" w:type="pct"/>
                  <w:tcBorders>
                    <w:tl2br w:val="nil"/>
                    <w:tr2bl w:val="nil"/>
                  </w:tcBorders>
                  <w:vAlign w:val="center"/>
                </w:tcPr>
                <w:p w14:paraId="53824CB8">
                  <w:pPr>
                    <w:pStyle w:val="73"/>
                  </w:pPr>
                  <w:r>
                    <w:rPr>
                      <w:rFonts w:hint="eastAsia"/>
                    </w:rPr>
                    <w:t>0.53</w:t>
                  </w:r>
                </w:p>
              </w:tc>
              <w:tc>
                <w:tcPr>
                  <w:tcW w:w="556" w:type="pct"/>
                  <w:tcBorders>
                    <w:tl2br w:val="nil"/>
                    <w:tr2bl w:val="nil"/>
                  </w:tcBorders>
                  <w:vAlign w:val="center"/>
                </w:tcPr>
                <w:p w14:paraId="2134F1E7">
                  <w:pPr>
                    <w:pStyle w:val="73"/>
                  </w:pPr>
                  <w:r>
                    <w:rPr>
                      <w:rFonts w:hint="eastAsia"/>
                    </w:rPr>
                    <w:t>0.54</w:t>
                  </w:r>
                </w:p>
              </w:tc>
              <w:tc>
                <w:tcPr>
                  <w:tcW w:w="352" w:type="pct"/>
                  <w:tcBorders>
                    <w:tl2br w:val="nil"/>
                    <w:tr2bl w:val="nil"/>
                  </w:tcBorders>
                  <w:vAlign w:val="center"/>
                </w:tcPr>
                <w:p w14:paraId="21B20347">
                  <w:pPr>
                    <w:pStyle w:val="73"/>
                  </w:pPr>
                </w:p>
              </w:tc>
              <w:tc>
                <w:tcPr>
                  <w:tcW w:w="319" w:type="pct"/>
                  <w:tcBorders>
                    <w:tl2br w:val="nil"/>
                    <w:tr2bl w:val="nil"/>
                  </w:tcBorders>
                  <w:vAlign w:val="center"/>
                </w:tcPr>
                <w:p w14:paraId="6D9AF143">
                  <w:pPr>
                    <w:pStyle w:val="73"/>
                  </w:pPr>
                </w:p>
              </w:tc>
            </w:tr>
            <w:tr w14:paraId="266BC8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537847D3">
                  <w:pPr>
                    <w:pStyle w:val="73"/>
                  </w:pPr>
                </w:p>
              </w:tc>
              <w:tc>
                <w:tcPr>
                  <w:tcW w:w="946" w:type="pct"/>
                  <w:tcBorders>
                    <w:tl2br w:val="nil"/>
                    <w:tr2bl w:val="nil"/>
                  </w:tcBorders>
                  <w:vAlign w:val="center"/>
                </w:tcPr>
                <w:p w14:paraId="60108DF8">
                  <w:pPr>
                    <w:pStyle w:val="73"/>
                  </w:pPr>
                  <w:r>
                    <w:rPr>
                      <w:rFonts w:hint="eastAsia"/>
                    </w:rPr>
                    <w:t>氨</w:t>
                  </w:r>
                  <w:r>
                    <w:t>折算浓度</w:t>
                  </w:r>
                </w:p>
              </w:tc>
              <w:tc>
                <w:tcPr>
                  <w:tcW w:w="489" w:type="pct"/>
                  <w:tcBorders>
                    <w:tl2br w:val="nil"/>
                    <w:tr2bl w:val="nil"/>
                  </w:tcBorders>
                  <w:vAlign w:val="center"/>
                </w:tcPr>
                <w:p w14:paraId="43287517">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4FA25269">
                  <w:pPr>
                    <w:pStyle w:val="73"/>
                  </w:pPr>
                  <w:r>
                    <w:rPr>
                      <w:rFonts w:hint="eastAsia"/>
                    </w:rPr>
                    <w:t>0.47</w:t>
                  </w:r>
                </w:p>
              </w:tc>
              <w:tc>
                <w:tcPr>
                  <w:tcW w:w="555" w:type="pct"/>
                  <w:tcBorders>
                    <w:tl2br w:val="nil"/>
                    <w:tr2bl w:val="nil"/>
                  </w:tcBorders>
                  <w:vAlign w:val="center"/>
                </w:tcPr>
                <w:p w14:paraId="6558BC42">
                  <w:pPr>
                    <w:pStyle w:val="73"/>
                  </w:pPr>
                  <w:r>
                    <w:rPr>
                      <w:rFonts w:hint="eastAsia"/>
                    </w:rPr>
                    <w:t>0.24</w:t>
                  </w:r>
                </w:p>
              </w:tc>
              <w:tc>
                <w:tcPr>
                  <w:tcW w:w="555" w:type="pct"/>
                  <w:tcBorders>
                    <w:tl2br w:val="nil"/>
                    <w:tr2bl w:val="nil"/>
                  </w:tcBorders>
                  <w:vAlign w:val="center"/>
                </w:tcPr>
                <w:p w14:paraId="3A2ACAB0">
                  <w:pPr>
                    <w:pStyle w:val="73"/>
                  </w:pPr>
                  <w:r>
                    <w:rPr>
                      <w:rFonts w:hint="eastAsia"/>
                    </w:rPr>
                    <w:t>0.46</w:t>
                  </w:r>
                </w:p>
              </w:tc>
              <w:tc>
                <w:tcPr>
                  <w:tcW w:w="556" w:type="pct"/>
                  <w:tcBorders>
                    <w:tl2br w:val="nil"/>
                    <w:tr2bl w:val="nil"/>
                  </w:tcBorders>
                  <w:vAlign w:val="center"/>
                </w:tcPr>
                <w:p w14:paraId="1DBC2028">
                  <w:pPr>
                    <w:pStyle w:val="73"/>
                  </w:pPr>
                  <w:r>
                    <w:rPr>
                      <w:rFonts w:hint="eastAsia"/>
                    </w:rPr>
                    <w:t>0.47</w:t>
                  </w:r>
                </w:p>
              </w:tc>
              <w:tc>
                <w:tcPr>
                  <w:tcW w:w="352" w:type="pct"/>
                  <w:tcBorders>
                    <w:tl2br w:val="nil"/>
                    <w:tr2bl w:val="nil"/>
                  </w:tcBorders>
                  <w:vAlign w:val="center"/>
                </w:tcPr>
                <w:p w14:paraId="4B8B1C0C">
                  <w:pPr>
                    <w:pStyle w:val="73"/>
                  </w:pPr>
                  <w:r>
                    <w:rPr>
                      <w:rFonts w:hint="eastAsia"/>
                    </w:rPr>
                    <w:t>2.5</w:t>
                  </w:r>
                </w:p>
              </w:tc>
              <w:tc>
                <w:tcPr>
                  <w:tcW w:w="319" w:type="pct"/>
                  <w:tcBorders>
                    <w:tl2br w:val="nil"/>
                    <w:tr2bl w:val="nil"/>
                  </w:tcBorders>
                  <w:vAlign w:val="center"/>
                </w:tcPr>
                <w:p w14:paraId="1876FB7A">
                  <w:pPr>
                    <w:pStyle w:val="73"/>
                  </w:pPr>
                  <w:r>
                    <w:rPr>
                      <w:rFonts w:hint="eastAsia"/>
                    </w:rPr>
                    <w:t>达标</w:t>
                  </w:r>
                </w:p>
              </w:tc>
            </w:tr>
            <w:tr w14:paraId="0A5974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restart"/>
                  <w:tcBorders>
                    <w:tl2br w:val="nil"/>
                    <w:tr2bl w:val="nil"/>
                  </w:tcBorders>
                  <w:vAlign w:val="center"/>
                </w:tcPr>
                <w:p w14:paraId="641CD817">
                  <w:pPr>
                    <w:pStyle w:val="73"/>
                  </w:pPr>
                  <w:r>
                    <w:t>DA0</w:t>
                  </w:r>
                  <w:r>
                    <w:rPr>
                      <w:rFonts w:hint="eastAsia"/>
                    </w:rPr>
                    <w:t>45</w:t>
                  </w:r>
                </w:p>
                <w:p w14:paraId="056C902E">
                  <w:pPr>
                    <w:pStyle w:val="73"/>
                  </w:pPr>
                  <w:r>
                    <w:t>2#焙烧烟气出口202</w:t>
                  </w:r>
                  <w:r>
                    <w:rPr>
                      <w:rFonts w:hint="eastAsia"/>
                    </w:rPr>
                    <w:t>4.</w:t>
                  </w:r>
                  <w:r>
                    <w:t>0</w:t>
                  </w:r>
                  <w:r>
                    <w:rPr>
                      <w:rFonts w:hint="eastAsia"/>
                    </w:rPr>
                    <w:t>3</w:t>
                  </w:r>
                  <w:r>
                    <w:t>.</w:t>
                  </w:r>
                  <w:r>
                    <w:rPr>
                      <w:rFonts w:hint="eastAsia"/>
                    </w:rPr>
                    <w:t>03</w:t>
                  </w:r>
                </w:p>
              </w:tc>
              <w:tc>
                <w:tcPr>
                  <w:tcW w:w="946" w:type="pct"/>
                  <w:tcBorders>
                    <w:tl2br w:val="nil"/>
                    <w:tr2bl w:val="nil"/>
                  </w:tcBorders>
                  <w:vAlign w:val="center"/>
                </w:tcPr>
                <w:p w14:paraId="7FE000F9">
                  <w:pPr>
                    <w:pStyle w:val="73"/>
                  </w:pPr>
                  <w:r>
                    <w:t>标况排气量</w:t>
                  </w:r>
                </w:p>
              </w:tc>
              <w:tc>
                <w:tcPr>
                  <w:tcW w:w="489" w:type="pct"/>
                  <w:tcBorders>
                    <w:tl2br w:val="nil"/>
                    <w:tr2bl w:val="nil"/>
                  </w:tcBorders>
                  <w:vAlign w:val="center"/>
                </w:tcPr>
                <w:p w14:paraId="34141BC4">
                  <w:pPr>
                    <w:pStyle w:val="73"/>
                  </w:pPr>
                  <w:r>
                    <w:rPr>
                      <w:rFonts w:hint="eastAsia"/>
                    </w:rPr>
                    <w:t>Nm</w:t>
                  </w:r>
                  <w:r>
                    <w:rPr>
                      <w:rFonts w:hint="eastAsia"/>
                      <w:vertAlign w:val="superscript"/>
                    </w:rPr>
                    <w:t>3</w:t>
                  </w:r>
                  <w:r>
                    <w:t>/h</w:t>
                  </w:r>
                </w:p>
              </w:tc>
              <w:tc>
                <w:tcPr>
                  <w:tcW w:w="555" w:type="pct"/>
                  <w:tcBorders>
                    <w:tl2br w:val="nil"/>
                    <w:tr2bl w:val="nil"/>
                  </w:tcBorders>
                  <w:vAlign w:val="center"/>
                </w:tcPr>
                <w:p w14:paraId="159CF579">
                  <w:pPr>
                    <w:pStyle w:val="73"/>
                  </w:pPr>
                  <w:r>
                    <w:t>209473</w:t>
                  </w:r>
                </w:p>
              </w:tc>
              <w:tc>
                <w:tcPr>
                  <w:tcW w:w="555" w:type="pct"/>
                  <w:tcBorders>
                    <w:tl2br w:val="nil"/>
                    <w:tr2bl w:val="nil"/>
                  </w:tcBorders>
                  <w:vAlign w:val="center"/>
                </w:tcPr>
                <w:p w14:paraId="45BEEC57">
                  <w:pPr>
                    <w:pStyle w:val="73"/>
                  </w:pPr>
                  <w:r>
                    <w:t>200039</w:t>
                  </w:r>
                </w:p>
              </w:tc>
              <w:tc>
                <w:tcPr>
                  <w:tcW w:w="555" w:type="pct"/>
                  <w:tcBorders>
                    <w:tl2br w:val="nil"/>
                    <w:tr2bl w:val="nil"/>
                  </w:tcBorders>
                  <w:vAlign w:val="center"/>
                </w:tcPr>
                <w:p w14:paraId="6A9B7AF0">
                  <w:pPr>
                    <w:pStyle w:val="73"/>
                  </w:pPr>
                  <w:r>
                    <w:t>206207</w:t>
                  </w:r>
                </w:p>
              </w:tc>
              <w:tc>
                <w:tcPr>
                  <w:tcW w:w="556" w:type="pct"/>
                  <w:tcBorders>
                    <w:tl2br w:val="nil"/>
                    <w:tr2bl w:val="nil"/>
                  </w:tcBorders>
                  <w:vAlign w:val="center"/>
                </w:tcPr>
                <w:p w14:paraId="55ACBC64">
                  <w:pPr>
                    <w:pStyle w:val="73"/>
                  </w:pPr>
                  <w:r>
                    <w:t>/</w:t>
                  </w:r>
                </w:p>
              </w:tc>
              <w:tc>
                <w:tcPr>
                  <w:tcW w:w="352" w:type="pct"/>
                  <w:tcBorders>
                    <w:tl2br w:val="nil"/>
                    <w:tr2bl w:val="nil"/>
                  </w:tcBorders>
                  <w:vAlign w:val="center"/>
                </w:tcPr>
                <w:p w14:paraId="7D2F0053">
                  <w:pPr>
                    <w:pStyle w:val="73"/>
                  </w:pPr>
                </w:p>
              </w:tc>
              <w:tc>
                <w:tcPr>
                  <w:tcW w:w="319" w:type="pct"/>
                  <w:tcBorders>
                    <w:tl2br w:val="nil"/>
                    <w:tr2bl w:val="nil"/>
                  </w:tcBorders>
                  <w:vAlign w:val="center"/>
                </w:tcPr>
                <w:p w14:paraId="0C21D497">
                  <w:pPr>
                    <w:pStyle w:val="73"/>
                  </w:pPr>
                </w:p>
              </w:tc>
            </w:tr>
            <w:tr w14:paraId="7270BE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2C6C509D">
                  <w:pPr>
                    <w:pStyle w:val="73"/>
                  </w:pPr>
                </w:p>
              </w:tc>
              <w:tc>
                <w:tcPr>
                  <w:tcW w:w="946" w:type="pct"/>
                  <w:tcBorders>
                    <w:tl2br w:val="nil"/>
                    <w:tr2bl w:val="nil"/>
                  </w:tcBorders>
                  <w:vAlign w:val="center"/>
                </w:tcPr>
                <w:p w14:paraId="52669C05">
                  <w:pPr>
                    <w:pStyle w:val="73"/>
                  </w:pPr>
                  <w:r>
                    <w:t>氧含量</w:t>
                  </w:r>
                </w:p>
              </w:tc>
              <w:tc>
                <w:tcPr>
                  <w:tcW w:w="489" w:type="pct"/>
                  <w:tcBorders>
                    <w:tl2br w:val="nil"/>
                    <w:tr2bl w:val="nil"/>
                  </w:tcBorders>
                  <w:vAlign w:val="center"/>
                </w:tcPr>
                <w:p w14:paraId="08F41EDD">
                  <w:pPr>
                    <w:pStyle w:val="73"/>
                  </w:pPr>
                  <w:r>
                    <w:t>%</w:t>
                  </w:r>
                </w:p>
              </w:tc>
              <w:tc>
                <w:tcPr>
                  <w:tcW w:w="555" w:type="pct"/>
                  <w:tcBorders>
                    <w:tl2br w:val="nil"/>
                    <w:tr2bl w:val="nil"/>
                  </w:tcBorders>
                  <w:vAlign w:val="center"/>
                </w:tcPr>
                <w:p w14:paraId="5AA76709">
                  <w:pPr>
                    <w:pStyle w:val="73"/>
                  </w:pPr>
                  <w:r>
                    <w:t>5.9</w:t>
                  </w:r>
                </w:p>
              </w:tc>
              <w:tc>
                <w:tcPr>
                  <w:tcW w:w="555" w:type="pct"/>
                  <w:tcBorders>
                    <w:tl2br w:val="nil"/>
                    <w:tr2bl w:val="nil"/>
                  </w:tcBorders>
                  <w:vAlign w:val="center"/>
                </w:tcPr>
                <w:p w14:paraId="31D6727C">
                  <w:pPr>
                    <w:pStyle w:val="73"/>
                  </w:pPr>
                  <w:r>
                    <w:t>6.2</w:t>
                  </w:r>
                </w:p>
              </w:tc>
              <w:tc>
                <w:tcPr>
                  <w:tcW w:w="555" w:type="pct"/>
                  <w:tcBorders>
                    <w:tl2br w:val="nil"/>
                    <w:tr2bl w:val="nil"/>
                  </w:tcBorders>
                  <w:vAlign w:val="center"/>
                </w:tcPr>
                <w:p w14:paraId="346BAAA0">
                  <w:pPr>
                    <w:pStyle w:val="73"/>
                  </w:pPr>
                  <w:r>
                    <w:t>6.0</w:t>
                  </w:r>
                </w:p>
              </w:tc>
              <w:tc>
                <w:tcPr>
                  <w:tcW w:w="556" w:type="pct"/>
                  <w:tcBorders>
                    <w:tl2br w:val="nil"/>
                    <w:tr2bl w:val="nil"/>
                  </w:tcBorders>
                  <w:vAlign w:val="center"/>
                </w:tcPr>
                <w:p w14:paraId="7F5D5016">
                  <w:pPr>
                    <w:pStyle w:val="73"/>
                  </w:pPr>
                  <w:r>
                    <w:t>6.2</w:t>
                  </w:r>
                </w:p>
              </w:tc>
              <w:tc>
                <w:tcPr>
                  <w:tcW w:w="352" w:type="pct"/>
                  <w:tcBorders>
                    <w:tl2br w:val="nil"/>
                    <w:tr2bl w:val="nil"/>
                  </w:tcBorders>
                  <w:vAlign w:val="center"/>
                </w:tcPr>
                <w:p w14:paraId="3CF9CC42">
                  <w:pPr>
                    <w:pStyle w:val="73"/>
                  </w:pPr>
                </w:p>
              </w:tc>
              <w:tc>
                <w:tcPr>
                  <w:tcW w:w="319" w:type="pct"/>
                  <w:tcBorders>
                    <w:tl2br w:val="nil"/>
                    <w:tr2bl w:val="nil"/>
                  </w:tcBorders>
                  <w:vAlign w:val="center"/>
                </w:tcPr>
                <w:p w14:paraId="40172BEC">
                  <w:pPr>
                    <w:pStyle w:val="73"/>
                  </w:pPr>
                </w:p>
              </w:tc>
            </w:tr>
            <w:tr w14:paraId="500B87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25B1DE03">
                  <w:pPr>
                    <w:pStyle w:val="73"/>
                  </w:pPr>
                </w:p>
              </w:tc>
              <w:tc>
                <w:tcPr>
                  <w:tcW w:w="946" w:type="pct"/>
                  <w:tcBorders>
                    <w:tl2br w:val="nil"/>
                    <w:tr2bl w:val="nil"/>
                  </w:tcBorders>
                  <w:vAlign w:val="center"/>
                </w:tcPr>
                <w:p w14:paraId="60DA612E">
                  <w:pPr>
                    <w:pStyle w:val="73"/>
                  </w:pPr>
                  <w:r>
                    <w:t>颗粒物实测浓度</w:t>
                  </w:r>
                </w:p>
              </w:tc>
              <w:tc>
                <w:tcPr>
                  <w:tcW w:w="489" w:type="pct"/>
                  <w:tcBorders>
                    <w:tl2br w:val="nil"/>
                    <w:tr2bl w:val="nil"/>
                  </w:tcBorders>
                  <w:vAlign w:val="center"/>
                </w:tcPr>
                <w:p w14:paraId="15242EE1">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000F73EC">
                  <w:pPr>
                    <w:pStyle w:val="73"/>
                  </w:pPr>
                  <w:r>
                    <w:t>2.6</w:t>
                  </w:r>
                </w:p>
              </w:tc>
              <w:tc>
                <w:tcPr>
                  <w:tcW w:w="555" w:type="pct"/>
                  <w:tcBorders>
                    <w:tl2br w:val="nil"/>
                    <w:tr2bl w:val="nil"/>
                  </w:tcBorders>
                  <w:vAlign w:val="center"/>
                </w:tcPr>
                <w:p w14:paraId="4238540B">
                  <w:pPr>
                    <w:pStyle w:val="73"/>
                  </w:pPr>
                  <w:r>
                    <w:t>3.2</w:t>
                  </w:r>
                </w:p>
              </w:tc>
              <w:tc>
                <w:tcPr>
                  <w:tcW w:w="555" w:type="pct"/>
                  <w:tcBorders>
                    <w:tl2br w:val="nil"/>
                    <w:tr2bl w:val="nil"/>
                  </w:tcBorders>
                  <w:vAlign w:val="center"/>
                </w:tcPr>
                <w:p w14:paraId="6588EB44">
                  <w:pPr>
                    <w:pStyle w:val="73"/>
                  </w:pPr>
                  <w:r>
                    <w:t>3.0</w:t>
                  </w:r>
                </w:p>
              </w:tc>
              <w:tc>
                <w:tcPr>
                  <w:tcW w:w="556" w:type="pct"/>
                  <w:tcBorders>
                    <w:tl2br w:val="nil"/>
                    <w:tr2bl w:val="nil"/>
                  </w:tcBorders>
                  <w:vAlign w:val="center"/>
                </w:tcPr>
                <w:p w14:paraId="082C0878">
                  <w:pPr>
                    <w:pStyle w:val="73"/>
                  </w:pPr>
                  <w:r>
                    <w:t>3.2</w:t>
                  </w:r>
                </w:p>
              </w:tc>
              <w:tc>
                <w:tcPr>
                  <w:tcW w:w="352" w:type="pct"/>
                  <w:tcBorders>
                    <w:tl2br w:val="nil"/>
                    <w:tr2bl w:val="nil"/>
                  </w:tcBorders>
                  <w:vAlign w:val="center"/>
                </w:tcPr>
                <w:p w14:paraId="0C107C58">
                  <w:pPr>
                    <w:pStyle w:val="73"/>
                  </w:pPr>
                </w:p>
              </w:tc>
              <w:tc>
                <w:tcPr>
                  <w:tcW w:w="319" w:type="pct"/>
                  <w:tcBorders>
                    <w:tl2br w:val="nil"/>
                    <w:tr2bl w:val="nil"/>
                  </w:tcBorders>
                  <w:vAlign w:val="center"/>
                </w:tcPr>
                <w:p w14:paraId="5A76D2BF">
                  <w:pPr>
                    <w:pStyle w:val="73"/>
                  </w:pPr>
                </w:p>
              </w:tc>
            </w:tr>
            <w:tr w14:paraId="23BE3F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6B94A194">
                  <w:pPr>
                    <w:pStyle w:val="73"/>
                  </w:pPr>
                </w:p>
              </w:tc>
              <w:tc>
                <w:tcPr>
                  <w:tcW w:w="946" w:type="pct"/>
                  <w:tcBorders>
                    <w:tl2br w:val="nil"/>
                    <w:tr2bl w:val="nil"/>
                  </w:tcBorders>
                  <w:vAlign w:val="center"/>
                </w:tcPr>
                <w:p w14:paraId="57632602">
                  <w:pPr>
                    <w:pStyle w:val="73"/>
                  </w:pPr>
                  <w:r>
                    <w:t>颗粒物折算浓度</w:t>
                  </w:r>
                </w:p>
              </w:tc>
              <w:tc>
                <w:tcPr>
                  <w:tcW w:w="489" w:type="pct"/>
                  <w:tcBorders>
                    <w:tl2br w:val="nil"/>
                    <w:tr2bl w:val="nil"/>
                  </w:tcBorders>
                  <w:vAlign w:val="center"/>
                </w:tcPr>
                <w:p w14:paraId="713367AF">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2E10541E">
                  <w:pPr>
                    <w:pStyle w:val="73"/>
                  </w:pPr>
                  <w:r>
                    <w:rPr>
                      <w:rFonts w:hint="eastAsia"/>
                    </w:rPr>
                    <w:t>2.2</w:t>
                  </w:r>
                </w:p>
              </w:tc>
              <w:tc>
                <w:tcPr>
                  <w:tcW w:w="555" w:type="pct"/>
                  <w:tcBorders>
                    <w:tl2br w:val="nil"/>
                    <w:tr2bl w:val="nil"/>
                  </w:tcBorders>
                  <w:vAlign w:val="center"/>
                </w:tcPr>
                <w:p w14:paraId="0448B3E0">
                  <w:pPr>
                    <w:pStyle w:val="73"/>
                  </w:pPr>
                  <w:r>
                    <w:rPr>
                      <w:rFonts w:hint="eastAsia"/>
                    </w:rPr>
                    <w:t>2.8</w:t>
                  </w:r>
                </w:p>
              </w:tc>
              <w:tc>
                <w:tcPr>
                  <w:tcW w:w="555" w:type="pct"/>
                  <w:tcBorders>
                    <w:tl2br w:val="nil"/>
                    <w:tr2bl w:val="nil"/>
                  </w:tcBorders>
                  <w:vAlign w:val="center"/>
                </w:tcPr>
                <w:p w14:paraId="2AC45813">
                  <w:pPr>
                    <w:pStyle w:val="73"/>
                  </w:pPr>
                  <w:r>
                    <w:rPr>
                      <w:rFonts w:hint="eastAsia"/>
                    </w:rPr>
                    <w:t>2.6</w:t>
                  </w:r>
                </w:p>
              </w:tc>
              <w:tc>
                <w:tcPr>
                  <w:tcW w:w="556" w:type="pct"/>
                  <w:tcBorders>
                    <w:tl2br w:val="nil"/>
                    <w:tr2bl w:val="nil"/>
                  </w:tcBorders>
                  <w:vAlign w:val="center"/>
                </w:tcPr>
                <w:p w14:paraId="5CA0278E">
                  <w:pPr>
                    <w:pStyle w:val="73"/>
                  </w:pPr>
                  <w:r>
                    <w:rPr>
                      <w:rFonts w:hint="eastAsia"/>
                    </w:rPr>
                    <w:t>2.8</w:t>
                  </w:r>
                </w:p>
              </w:tc>
              <w:tc>
                <w:tcPr>
                  <w:tcW w:w="352" w:type="pct"/>
                  <w:tcBorders>
                    <w:tl2br w:val="nil"/>
                    <w:tr2bl w:val="nil"/>
                  </w:tcBorders>
                  <w:vAlign w:val="center"/>
                </w:tcPr>
                <w:p w14:paraId="10CB93EC">
                  <w:pPr>
                    <w:pStyle w:val="73"/>
                  </w:pPr>
                  <w:r>
                    <w:rPr>
                      <w:rFonts w:hint="eastAsia"/>
                    </w:rPr>
                    <w:t>10</w:t>
                  </w:r>
                </w:p>
              </w:tc>
              <w:tc>
                <w:tcPr>
                  <w:tcW w:w="319" w:type="pct"/>
                  <w:tcBorders>
                    <w:tl2br w:val="nil"/>
                    <w:tr2bl w:val="nil"/>
                  </w:tcBorders>
                  <w:vAlign w:val="center"/>
                </w:tcPr>
                <w:p w14:paraId="195EE43A">
                  <w:pPr>
                    <w:pStyle w:val="73"/>
                  </w:pPr>
                  <w:r>
                    <w:rPr>
                      <w:rFonts w:hint="eastAsia"/>
                    </w:rPr>
                    <w:t>达标</w:t>
                  </w:r>
                </w:p>
              </w:tc>
            </w:tr>
            <w:tr w14:paraId="1ED55E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3B44BD5F">
                  <w:pPr>
                    <w:pStyle w:val="73"/>
                  </w:pPr>
                </w:p>
              </w:tc>
              <w:tc>
                <w:tcPr>
                  <w:tcW w:w="946" w:type="pct"/>
                  <w:tcBorders>
                    <w:tl2br w:val="nil"/>
                    <w:tr2bl w:val="nil"/>
                  </w:tcBorders>
                  <w:vAlign w:val="center"/>
                </w:tcPr>
                <w:p w14:paraId="6783D8A8">
                  <w:pPr>
                    <w:pStyle w:val="73"/>
                  </w:pPr>
                  <w:r>
                    <w:t>二氧化硫实测浓度</w:t>
                  </w:r>
                </w:p>
              </w:tc>
              <w:tc>
                <w:tcPr>
                  <w:tcW w:w="489" w:type="pct"/>
                  <w:tcBorders>
                    <w:tl2br w:val="nil"/>
                    <w:tr2bl w:val="nil"/>
                  </w:tcBorders>
                  <w:vAlign w:val="center"/>
                </w:tcPr>
                <w:p w14:paraId="2B742659">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682B00F3">
                  <w:pPr>
                    <w:pStyle w:val="73"/>
                  </w:pPr>
                  <w:r>
                    <w:t>ND</w:t>
                  </w:r>
                </w:p>
              </w:tc>
              <w:tc>
                <w:tcPr>
                  <w:tcW w:w="555" w:type="pct"/>
                  <w:tcBorders>
                    <w:tl2br w:val="nil"/>
                    <w:tr2bl w:val="nil"/>
                  </w:tcBorders>
                  <w:vAlign w:val="center"/>
                </w:tcPr>
                <w:p w14:paraId="7EC1D1CA">
                  <w:pPr>
                    <w:pStyle w:val="73"/>
                  </w:pPr>
                  <w:r>
                    <w:t>2</w:t>
                  </w:r>
                </w:p>
              </w:tc>
              <w:tc>
                <w:tcPr>
                  <w:tcW w:w="555" w:type="pct"/>
                  <w:tcBorders>
                    <w:tl2br w:val="nil"/>
                    <w:tr2bl w:val="nil"/>
                  </w:tcBorders>
                  <w:vAlign w:val="center"/>
                </w:tcPr>
                <w:p w14:paraId="505994BE">
                  <w:pPr>
                    <w:pStyle w:val="73"/>
                  </w:pPr>
                  <w:r>
                    <w:t>3</w:t>
                  </w:r>
                </w:p>
              </w:tc>
              <w:tc>
                <w:tcPr>
                  <w:tcW w:w="556" w:type="pct"/>
                  <w:tcBorders>
                    <w:tl2br w:val="nil"/>
                    <w:tr2bl w:val="nil"/>
                  </w:tcBorders>
                  <w:vAlign w:val="center"/>
                </w:tcPr>
                <w:p w14:paraId="1888E6FB">
                  <w:pPr>
                    <w:pStyle w:val="73"/>
                  </w:pPr>
                  <w:r>
                    <w:t>3</w:t>
                  </w:r>
                </w:p>
              </w:tc>
              <w:tc>
                <w:tcPr>
                  <w:tcW w:w="352" w:type="pct"/>
                  <w:tcBorders>
                    <w:tl2br w:val="nil"/>
                    <w:tr2bl w:val="nil"/>
                  </w:tcBorders>
                  <w:vAlign w:val="center"/>
                </w:tcPr>
                <w:p w14:paraId="07EB3CE6">
                  <w:pPr>
                    <w:pStyle w:val="73"/>
                  </w:pPr>
                </w:p>
              </w:tc>
              <w:tc>
                <w:tcPr>
                  <w:tcW w:w="319" w:type="pct"/>
                  <w:tcBorders>
                    <w:tl2br w:val="nil"/>
                    <w:tr2bl w:val="nil"/>
                  </w:tcBorders>
                  <w:vAlign w:val="center"/>
                </w:tcPr>
                <w:p w14:paraId="3AF1E39C">
                  <w:pPr>
                    <w:pStyle w:val="73"/>
                  </w:pPr>
                </w:p>
              </w:tc>
            </w:tr>
            <w:tr w14:paraId="1C9E2C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5F59B2F0">
                  <w:pPr>
                    <w:pStyle w:val="73"/>
                  </w:pPr>
                </w:p>
              </w:tc>
              <w:tc>
                <w:tcPr>
                  <w:tcW w:w="946" w:type="pct"/>
                  <w:tcBorders>
                    <w:tl2br w:val="nil"/>
                    <w:tr2bl w:val="nil"/>
                  </w:tcBorders>
                  <w:vAlign w:val="center"/>
                </w:tcPr>
                <w:p w14:paraId="66E9086C">
                  <w:pPr>
                    <w:pStyle w:val="73"/>
                  </w:pPr>
                  <w:r>
                    <w:t>二氧化硫折算浓度</w:t>
                  </w:r>
                </w:p>
              </w:tc>
              <w:tc>
                <w:tcPr>
                  <w:tcW w:w="489" w:type="pct"/>
                  <w:tcBorders>
                    <w:tl2br w:val="nil"/>
                    <w:tr2bl w:val="nil"/>
                  </w:tcBorders>
                  <w:vAlign w:val="center"/>
                </w:tcPr>
                <w:p w14:paraId="5DBF32A6">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536E8CC2">
                  <w:pPr>
                    <w:pStyle w:val="73"/>
                  </w:pPr>
                  <w:r>
                    <w:t>ND</w:t>
                  </w:r>
                </w:p>
              </w:tc>
              <w:tc>
                <w:tcPr>
                  <w:tcW w:w="555" w:type="pct"/>
                  <w:tcBorders>
                    <w:tl2br w:val="nil"/>
                    <w:tr2bl w:val="nil"/>
                  </w:tcBorders>
                  <w:vAlign w:val="center"/>
                </w:tcPr>
                <w:p w14:paraId="45177A1A">
                  <w:pPr>
                    <w:pStyle w:val="73"/>
                  </w:pPr>
                  <w:r>
                    <w:t>ND</w:t>
                  </w:r>
                </w:p>
              </w:tc>
              <w:tc>
                <w:tcPr>
                  <w:tcW w:w="555" w:type="pct"/>
                  <w:tcBorders>
                    <w:tl2br w:val="nil"/>
                    <w:tr2bl w:val="nil"/>
                  </w:tcBorders>
                  <w:vAlign w:val="center"/>
                </w:tcPr>
                <w:p w14:paraId="619D0E3F">
                  <w:pPr>
                    <w:pStyle w:val="73"/>
                  </w:pPr>
                  <w:r>
                    <w:t>3</w:t>
                  </w:r>
                </w:p>
              </w:tc>
              <w:tc>
                <w:tcPr>
                  <w:tcW w:w="556" w:type="pct"/>
                  <w:tcBorders>
                    <w:tl2br w:val="nil"/>
                    <w:tr2bl w:val="nil"/>
                  </w:tcBorders>
                  <w:vAlign w:val="center"/>
                </w:tcPr>
                <w:p w14:paraId="1CE9EF9F">
                  <w:pPr>
                    <w:pStyle w:val="73"/>
                  </w:pPr>
                  <w:r>
                    <w:t>3</w:t>
                  </w:r>
                </w:p>
              </w:tc>
              <w:tc>
                <w:tcPr>
                  <w:tcW w:w="352" w:type="pct"/>
                  <w:tcBorders>
                    <w:tl2br w:val="nil"/>
                    <w:tr2bl w:val="nil"/>
                  </w:tcBorders>
                  <w:vAlign w:val="center"/>
                </w:tcPr>
                <w:p w14:paraId="535828BE">
                  <w:pPr>
                    <w:pStyle w:val="73"/>
                  </w:pPr>
                  <w:r>
                    <w:rPr>
                      <w:rFonts w:hint="eastAsia"/>
                    </w:rPr>
                    <w:t>50</w:t>
                  </w:r>
                </w:p>
              </w:tc>
              <w:tc>
                <w:tcPr>
                  <w:tcW w:w="319" w:type="pct"/>
                  <w:tcBorders>
                    <w:tl2br w:val="nil"/>
                    <w:tr2bl w:val="nil"/>
                  </w:tcBorders>
                  <w:vAlign w:val="center"/>
                </w:tcPr>
                <w:p w14:paraId="7C222FB4">
                  <w:pPr>
                    <w:pStyle w:val="73"/>
                  </w:pPr>
                  <w:r>
                    <w:rPr>
                      <w:rFonts w:hint="eastAsia"/>
                    </w:rPr>
                    <w:t>达标</w:t>
                  </w:r>
                </w:p>
              </w:tc>
            </w:tr>
            <w:tr w14:paraId="359D87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481C6A46">
                  <w:pPr>
                    <w:pStyle w:val="73"/>
                  </w:pPr>
                </w:p>
              </w:tc>
              <w:tc>
                <w:tcPr>
                  <w:tcW w:w="946" w:type="pct"/>
                  <w:tcBorders>
                    <w:tl2br w:val="nil"/>
                    <w:tr2bl w:val="nil"/>
                  </w:tcBorders>
                  <w:vAlign w:val="center"/>
                </w:tcPr>
                <w:p w14:paraId="63E38BE6">
                  <w:pPr>
                    <w:pStyle w:val="73"/>
                  </w:pPr>
                  <w:r>
                    <w:t>氮氧化物实测浓度</w:t>
                  </w:r>
                </w:p>
              </w:tc>
              <w:tc>
                <w:tcPr>
                  <w:tcW w:w="489" w:type="pct"/>
                  <w:tcBorders>
                    <w:tl2br w:val="nil"/>
                    <w:tr2bl w:val="nil"/>
                  </w:tcBorders>
                  <w:vAlign w:val="center"/>
                </w:tcPr>
                <w:p w14:paraId="0652ADE8">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7FB43521">
                  <w:pPr>
                    <w:pStyle w:val="73"/>
                  </w:pPr>
                  <w:r>
                    <w:t>8</w:t>
                  </w:r>
                </w:p>
              </w:tc>
              <w:tc>
                <w:tcPr>
                  <w:tcW w:w="555" w:type="pct"/>
                  <w:tcBorders>
                    <w:tl2br w:val="nil"/>
                    <w:tr2bl w:val="nil"/>
                  </w:tcBorders>
                  <w:vAlign w:val="center"/>
                </w:tcPr>
                <w:p w14:paraId="28971E98">
                  <w:pPr>
                    <w:pStyle w:val="73"/>
                  </w:pPr>
                  <w:r>
                    <w:t>10</w:t>
                  </w:r>
                </w:p>
              </w:tc>
              <w:tc>
                <w:tcPr>
                  <w:tcW w:w="555" w:type="pct"/>
                  <w:tcBorders>
                    <w:tl2br w:val="nil"/>
                    <w:tr2bl w:val="nil"/>
                  </w:tcBorders>
                  <w:vAlign w:val="center"/>
                </w:tcPr>
                <w:p w14:paraId="6D4338DB">
                  <w:pPr>
                    <w:pStyle w:val="73"/>
                  </w:pPr>
                  <w:r>
                    <w:t>7</w:t>
                  </w:r>
                </w:p>
              </w:tc>
              <w:tc>
                <w:tcPr>
                  <w:tcW w:w="556" w:type="pct"/>
                  <w:tcBorders>
                    <w:tl2br w:val="nil"/>
                    <w:tr2bl w:val="nil"/>
                  </w:tcBorders>
                  <w:vAlign w:val="center"/>
                </w:tcPr>
                <w:p w14:paraId="366B08B3">
                  <w:pPr>
                    <w:pStyle w:val="73"/>
                  </w:pPr>
                  <w:r>
                    <w:t>10</w:t>
                  </w:r>
                </w:p>
              </w:tc>
              <w:tc>
                <w:tcPr>
                  <w:tcW w:w="352" w:type="pct"/>
                  <w:tcBorders>
                    <w:tl2br w:val="nil"/>
                    <w:tr2bl w:val="nil"/>
                  </w:tcBorders>
                  <w:vAlign w:val="center"/>
                </w:tcPr>
                <w:p w14:paraId="38CA665C">
                  <w:pPr>
                    <w:pStyle w:val="73"/>
                  </w:pPr>
                </w:p>
              </w:tc>
              <w:tc>
                <w:tcPr>
                  <w:tcW w:w="319" w:type="pct"/>
                  <w:tcBorders>
                    <w:tl2br w:val="nil"/>
                    <w:tr2bl w:val="nil"/>
                  </w:tcBorders>
                  <w:vAlign w:val="center"/>
                </w:tcPr>
                <w:p w14:paraId="5B4CF05B">
                  <w:pPr>
                    <w:pStyle w:val="73"/>
                  </w:pPr>
                </w:p>
              </w:tc>
            </w:tr>
            <w:tr w14:paraId="7872D4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56649862">
                  <w:pPr>
                    <w:pStyle w:val="73"/>
                  </w:pPr>
                </w:p>
              </w:tc>
              <w:tc>
                <w:tcPr>
                  <w:tcW w:w="946" w:type="pct"/>
                  <w:tcBorders>
                    <w:tl2br w:val="nil"/>
                    <w:tr2bl w:val="nil"/>
                  </w:tcBorders>
                  <w:vAlign w:val="center"/>
                </w:tcPr>
                <w:p w14:paraId="7900790B">
                  <w:pPr>
                    <w:pStyle w:val="73"/>
                  </w:pPr>
                  <w:r>
                    <w:t>氮氧化物折算浓度</w:t>
                  </w:r>
                </w:p>
              </w:tc>
              <w:tc>
                <w:tcPr>
                  <w:tcW w:w="489" w:type="pct"/>
                  <w:tcBorders>
                    <w:tl2br w:val="nil"/>
                    <w:tr2bl w:val="nil"/>
                  </w:tcBorders>
                  <w:vAlign w:val="center"/>
                </w:tcPr>
                <w:p w14:paraId="38A594B1">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32629CAC">
                  <w:pPr>
                    <w:pStyle w:val="73"/>
                  </w:pPr>
                  <w:r>
                    <w:t>7</w:t>
                  </w:r>
                </w:p>
              </w:tc>
              <w:tc>
                <w:tcPr>
                  <w:tcW w:w="555" w:type="pct"/>
                  <w:tcBorders>
                    <w:tl2br w:val="nil"/>
                    <w:tr2bl w:val="nil"/>
                  </w:tcBorders>
                  <w:vAlign w:val="center"/>
                </w:tcPr>
                <w:p w14:paraId="60EFE51E">
                  <w:pPr>
                    <w:pStyle w:val="73"/>
                  </w:pPr>
                  <w:r>
                    <w:t>9</w:t>
                  </w:r>
                </w:p>
              </w:tc>
              <w:tc>
                <w:tcPr>
                  <w:tcW w:w="555" w:type="pct"/>
                  <w:tcBorders>
                    <w:tl2br w:val="nil"/>
                    <w:tr2bl w:val="nil"/>
                  </w:tcBorders>
                  <w:vAlign w:val="center"/>
                </w:tcPr>
                <w:p w14:paraId="279F0529">
                  <w:pPr>
                    <w:pStyle w:val="73"/>
                  </w:pPr>
                  <w:r>
                    <w:t>6</w:t>
                  </w:r>
                </w:p>
              </w:tc>
              <w:tc>
                <w:tcPr>
                  <w:tcW w:w="556" w:type="pct"/>
                  <w:tcBorders>
                    <w:tl2br w:val="nil"/>
                    <w:tr2bl w:val="nil"/>
                  </w:tcBorders>
                  <w:vAlign w:val="center"/>
                </w:tcPr>
                <w:p w14:paraId="06071AA8">
                  <w:pPr>
                    <w:pStyle w:val="73"/>
                  </w:pPr>
                  <w:r>
                    <w:t>9</w:t>
                  </w:r>
                </w:p>
              </w:tc>
              <w:tc>
                <w:tcPr>
                  <w:tcW w:w="352" w:type="pct"/>
                  <w:tcBorders>
                    <w:tl2br w:val="nil"/>
                    <w:tr2bl w:val="nil"/>
                  </w:tcBorders>
                  <w:vAlign w:val="center"/>
                </w:tcPr>
                <w:p w14:paraId="6C03EF84">
                  <w:pPr>
                    <w:pStyle w:val="73"/>
                  </w:pPr>
                  <w:r>
                    <w:rPr>
                      <w:rFonts w:hint="eastAsia"/>
                    </w:rPr>
                    <w:t>50</w:t>
                  </w:r>
                </w:p>
              </w:tc>
              <w:tc>
                <w:tcPr>
                  <w:tcW w:w="319" w:type="pct"/>
                  <w:tcBorders>
                    <w:tl2br w:val="nil"/>
                    <w:tr2bl w:val="nil"/>
                  </w:tcBorders>
                  <w:vAlign w:val="center"/>
                </w:tcPr>
                <w:p w14:paraId="50ACAD57">
                  <w:pPr>
                    <w:pStyle w:val="73"/>
                  </w:pPr>
                  <w:r>
                    <w:rPr>
                      <w:rFonts w:hint="eastAsia"/>
                    </w:rPr>
                    <w:t>达标</w:t>
                  </w:r>
                </w:p>
              </w:tc>
            </w:tr>
            <w:tr w14:paraId="72D466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3E904626">
                  <w:pPr>
                    <w:pStyle w:val="73"/>
                  </w:pPr>
                </w:p>
              </w:tc>
              <w:tc>
                <w:tcPr>
                  <w:tcW w:w="946" w:type="pct"/>
                  <w:tcBorders>
                    <w:tl2br w:val="nil"/>
                    <w:tr2bl w:val="nil"/>
                  </w:tcBorders>
                  <w:vAlign w:val="center"/>
                </w:tcPr>
                <w:p w14:paraId="4391CC77">
                  <w:pPr>
                    <w:pStyle w:val="73"/>
                  </w:pPr>
                  <w:r>
                    <w:rPr>
                      <w:rFonts w:hint="eastAsia"/>
                    </w:rPr>
                    <w:t>氨</w:t>
                  </w:r>
                  <w:r>
                    <w:t>实测浓度</w:t>
                  </w:r>
                </w:p>
              </w:tc>
              <w:tc>
                <w:tcPr>
                  <w:tcW w:w="489" w:type="pct"/>
                  <w:tcBorders>
                    <w:tl2br w:val="nil"/>
                    <w:tr2bl w:val="nil"/>
                  </w:tcBorders>
                  <w:vAlign w:val="center"/>
                </w:tcPr>
                <w:p w14:paraId="28D25875">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595BDEB7">
                  <w:pPr>
                    <w:pStyle w:val="73"/>
                  </w:pPr>
                  <w:r>
                    <w:t>0.41</w:t>
                  </w:r>
                </w:p>
              </w:tc>
              <w:tc>
                <w:tcPr>
                  <w:tcW w:w="555" w:type="pct"/>
                  <w:tcBorders>
                    <w:tl2br w:val="nil"/>
                    <w:tr2bl w:val="nil"/>
                  </w:tcBorders>
                  <w:vAlign w:val="center"/>
                </w:tcPr>
                <w:p w14:paraId="2C07DB00">
                  <w:pPr>
                    <w:pStyle w:val="73"/>
                  </w:pPr>
                  <w:r>
                    <w:t>0.27</w:t>
                  </w:r>
                </w:p>
              </w:tc>
              <w:tc>
                <w:tcPr>
                  <w:tcW w:w="555" w:type="pct"/>
                  <w:tcBorders>
                    <w:tl2br w:val="nil"/>
                    <w:tr2bl w:val="nil"/>
                  </w:tcBorders>
                  <w:vAlign w:val="center"/>
                </w:tcPr>
                <w:p w14:paraId="768818DB">
                  <w:pPr>
                    <w:pStyle w:val="73"/>
                  </w:pPr>
                  <w:r>
                    <w:t>0.23</w:t>
                  </w:r>
                </w:p>
              </w:tc>
              <w:tc>
                <w:tcPr>
                  <w:tcW w:w="556" w:type="pct"/>
                  <w:tcBorders>
                    <w:tl2br w:val="nil"/>
                    <w:tr2bl w:val="nil"/>
                  </w:tcBorders>
                  <w:vAlign w:val="center"/>
                </w:tcPr>
                <w:p w14:paraId="52621819">
                  <w:pPr>
                    <w:pStyle w:val="73"/>
                  </w:pPr>
                  <w:r>
                    <w:t>0.41</w:t>
                  </w:r>
                </w:p>
              </w:tc>
              <w:tc>
                <w:tcPr>
                  <w:tcW w:w="352" w:type="pct"/>
                  <w:tcBorders>
                    <w:tl2br w:val="nil"/>
                    <w:tr2bl w:val="nil"/>
                  </w:tcBorders>
                  <w:vAlign w:val="center"/>
                </w:tcPr>
                <w:p w14:paraId="3E56EE0A">
                  <w:pPr>
                    <w:pStyle w:val="73"/>
                  </w:pPr>
                </w:p>
              </w:tc>
              <w:tc>
                <w:tcPr>
                  <w:tcW w:w="319" w:type="pct"/>
                  <w:tcBorders>
                    <w:tl2br w:val="nil"/>
                    <w:tr2bl w:val="nil"/>
                  </w:tcBorders>
                  <w:vAlign w:val="center"/>
                </w:tcPr>
                <w:p w14:paraId="005175E1">
                  <w:pPr>
                    <w:pStyle w:val="73"/>
                  </w:pPr>
                </w:p>
              </w:tc>
            </w:tr>
            <w:tr w14:paraId="167FA8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7410551E">
                  <w:pPr>
                    <w:pStyle w:val="73"/>
                  </w:pPr>
                </w:p>
              </w:tc>
              <w:tc>
                <w:tcPr>
                  <w:tcW w:w="946" w:type="pct"/>
                  <w:tcBorders>
                    <w:tl2br w:val="nil"/>
                    <w:tr2bl w:val="nil"/>
                  </w:tcBorders>
                  <w:vAlign w:val="center"/>
                </w:tcPr>
                <w:p w14:paraId="12B81FA8">
                  <w:pPr>
                    <w:pStyle w:val="73"/>
                  </w:pPr>
                  <w:r>
                    <w:rPr>
                      <w:rFonts w:hint="eastAsia"/>
                    </w:rPr>
                    <w:t>氨折算</w:t>
                  </w:r>
                  <w:r>
                    <w:t>浓度</w:t>
                  </w:r>
                </w:p>
              </w:tc>
              <w:tc>
                <w:tcPr>
                  <w:tcW w:w="489" w:type="pct"/>
                  <w:tcBorders>
                    <w:tl2br w:val="nil"/>
                    <w:tr2bl w:val="nil"/>
                  </w:tcBorders>
                  <w:vAlign w:val="center"/>
                </w:tcPr>
                <w:p w14:paraId="528B2DC3">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5F3E2389">
                  <w:pPr>
                    <w:pStyle w:val="73"/>
                  </w:pPr>
                  <w:r>
                    <w:rPr>
                      <w:rFonts w:hint="eastAsia"/>
                    </w:rPr>
                    <w:t>0.35</w:t>
                  </w:r>
                </w:p>
              </w:tc>
              <w:tc>
                <w:tcPr>
                  <w:tcW w:w="555" w:type="pct"/>
                  <w:tcBorders>
                    <w:tl2br w:val="nil"/>
                    <w:tr2bl w:val="nil"/>
                  </w:tcBorders>
                  <w:vAlign w:val="center"/>
                </w:tcPr>
                <w:p w14:paraId="1663AEF8">
                  <w:pPr>
                    <w:pStyle w:val="73"/>
                  </w:pPr>
                  <w:r>
                    <w:rPr>
                      <w:rFonts w:hint="eastAsia"/>
                    </w:rPr>
                    <w:t>0.24</w:t>
                  </w:r>
                </w:p>
              </w:tc>
              <w:tc>
                <w:tcPr>
                  <w:tcW w:w="555" w:type="pct"/>
                  <w:tcBorders>
                    <w:tl2br w:val="nil"/>
                    <w:tr2bl w:val="nil"/>
                  </w:tcBorders>
                  <w:vAlign w:val="center"/>
                </w:tcPr>
                <w:p w14:paraId="5EEB07AC">
                  <w:pPr>
                    <w:pStyle w:val="73"/>
                  </w:pPr>
                  <w:r>
                    <w:rPr>
                      <w:rFonts w:hint="eastAsia"/>
                    </w:rPr>
                    <w:t>0.20</w:t>
                  </w:r>
                </w:p>
              </w:tc>
              <w:tc>
                <w:tcPr>
                  <w:tcW w:w="556" w:type="pct"/>
                  <w:tcBorders>
                    <w:tl2br w:val="nil"/>
                    <w:tr2bl w:val="nil"/>
                  </w:tcBorders>
                  <w:vAlign w:val="center"/>
                </w:tcPr>
                <w:p w14:paraId="717C1EF9">
                  <w:pPr>
                    <w:pStyle w:val="73"/>
                  </w:pPr>
                  <w:r>
                    <w:rPr>
                      <w:rFonts w:hint="eastAsia"/>
                    </w:rPr>
                    <w:t>0.35</w:t>
                  </w:r>
                </w:p>
              </w:tc>
              <w:tc>
                <w:tcPr>
                  <w:tcW w:w="352" w:type="pct"/>
                  <w:tcBorders>
                    <w:tl2br w:val="nil"/>
                    <w:tr2bl w:val="nil"/>
                  </w:tcBorders>
                  <w:vAlign w:val="center"/>
                </w:tcPr>
                <w:p w14:paraId="0D44DA1B">
                  <w:pPr>
                    <w:pStyle w:val="73"/>
                  </w:pPr>
                  <w:r>
                    <w:rPr>
                      <w:rFonts w:hint="eastAsia"/>
                    </w:rPr>
                    <w:t>2.5</w:t>
                  </w:r>
                </w:p>
              </w:tc>
              <w:tc>
                <w:tcPr>
                  <w:tcW w:w="319" w:type="pct"/>
                  <w:tcBorders>
                    <w:tl2br w:val="nil"/>
                    <w:tr2bl w:val="nil"/>
                  </w:tcBorders>
                  <w:vAlign w:val="center"/>
                </w:tcPr>
                <w:p w14:paraId="35D9322A">
                  <w:pPr>
                    <w:pStyle w:val="73"/>
                  </w:pPr>
                  <w:r>
                    <w:rPr>
                      <w:rFonts w:hint="eastAsia"/>
                    </w:rPr>
                    <w:t>达标</w:t>
                  </w:r>
                </w:p>
              </w:tc>
            </w:tr>
            <w:tr w14:paraId="66E37F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restart"/>
                  <w:tcBorders>
                    <w:tl2br w:val="nil"/>
                    <w:tr2bl w:val="nil"/>
                  </w:tcBorders>
                  <w:vAlign w:val="center"/>
                </w:tcPr>
                <w:p w14:paraId="0E130B49">
                  <w:pPr>
                    <w:pStyle w:val="73"/>
                  </w:pPr>
                  <w:r>
                    <w:t>DA046</w:t>
                  </w:r>
                </w:p>
                <w:p w14:paraId="78C503CE">
                  <w:pPr>
                    <w:pStyle w:val="73"/>
                  </w:pPr>
                  <w:r>
                    <w:t>3#焙烧烟气出口2024.03.02</w:t>
                  </w:r>
                </w:p>
              </w:tc>
              <w:tc>
                <w:tcPr>
                  <w:tcW w:w="946" w:type="pct"/>
                  <w:tcBorders>
                    <w:tl2br w:val="nil"/>
                    <w:tr2bl w:val="nil"/>
                  </w:tcBorders>
                  <w:vAlign w:val="center"/>
                </w:tcPr>
                <w:p w14:paraId="2D2A080B">
                  <w:pPr>
                    <w:pStyle w:val="73"/>
                  </w:pPr>
                  <w:r>
                    <w:t>标况排气量</w:t>
                  </w:r>
                </w:p>
              </w:tc>
              <w:tc>
                <w:tcPr>
                  <w:tcW w:w="489" w:type="pct"/>
                  <w:tcBorders>
                    <w:tl2br w:val="nil"/>
                    <w:tr2bl w:val="nil"/>
                  </w:tcBorders>
                  <w:vAlign w:val="center"/>
                </w:tcPr>
                <w:p w14:paraId="7289F48F">
                  <w:pPr>
                    <w:pStyle w:val="73"/>
                  </w:pPr>
                  <w:r>
                    <w:rPr>
                      <w:rFonts w:hint="eastAsia"/>
                    </w:rPr>
                    <w:t>Nm</w:t>
                  </w:r>
                  <w:r>
                    <w:rPr>
                      <w:rFonts w:hint="eastAsia"/>
                      <w:vertAlign w:val="superscript"/>
                    </w:rPr>
                    <w:t>3</w:t>
                  </w:r>
                  <w:r>
                    <w:t>/h</w:t>
                  </w:r>
                </w:p>
              </w:tc>
              <w:tc>
                <w:tcPr>
                  <w:tcW w:w="555" w:type="pct"/>
                  <w:tcBorders>
                    <w:tl2br w:val="nil"/>
                    <w:tr2bl w:val="nil"/>
                  </w:tcBorders>
                  <w:vAlign w:val="center"/>
                </w:tcPr>
                <w:p w14:paraId="2D130334">
                  <w:pPr>
                    <w:pStyle w:val="73"/>
                  </w:pPr>
                  <w:r>
                    <w:t>212042</w:t>
                  </w:r>
                </w:p>
              </w:tc>
              <w:tc>
                <w:tcPr>
                  <w:tcW w:w="555" w:type="pct"/>
                  <w:tcBorders>
                    <w:tl2br w:val="nil"/>
                    <w:tr2bl w:val="nil"/>
                  </w:tcBorders>
                  <w:vAlign w:val="center"/>
                </w:tcPr>
                <w:p w14:paraId="0A2B6121">
                  <w:pPr>
                    <w:pStyle w:val="73"/>
                  </w:pPr>
                  <w:r>
                    <w:t>220518</w:t>
                  </w:r>
                </w:p>
              </w:tc>
              <w:tc>
                <w:tcPr>
                  <w:tcW w:w="555" w:type="pct"/>
                  <w:tcBorders>
                    <w:tl2br w:val="nil"/>
                    <w:tr2bl w:val="nil"/>
                  </w:tcBorders>
                  <w:vAlign w:val="center"/>
                </w:tcPr>
                <w:p w14:paraId="1A40DF2F">
                  <w:pPr>
                    <w:pStyle w:val="73"/>
                  </w:pPr>
                  <w:r>
                    <w:t>221799</w:t>
                  </w:r>
                </w:p>
              </w:tc>
              <w:tc>
                <w:tcPr>
                  <w:tcW w:w="556" w:type="pct"/>
                  <w:tcBorders>
                    <w:tl2br w:val="nil"/>
                    <w:tr2bl w:val="nil"/>
                  </w:tcBorders>
                  <w:vAlign w:val="center"/>
                </w:tcPr>
                <w:p w14:paraId="41037D3B">
                  <w:pPr>
                    <w:pStyle w:val="73"/>
                  </w:pPr>
                  <w:r>
                    <w:t>/</w:t>
                  </w:r>
                </w:p>
              </w:tc>
              <w:tc>
                <w:tcPr>
                  <w:tcW w:w="352" w:type="pct"/>
                  <w:tcBorders>
                    <w:tl2br w:val="nil"/>
                    <w:tr2bl w:val="nil"/>
                  </w:tcBorders>
                  <w:vAlign w:val="center"/>
                </w:tcPr>
                <w:p w14:paraId="755C3919">
                  <w:pPr>
                    <w:pStyle w:val="73"/>
                  </w:pPr>
                </w:p>
              </w:tc>
              <w:tc>
                <w:tcPr>
                  <w:tcW w:w="319" w:type="pct"/>
                  <w:tcBorders>
                    <w:tl2br w:val="nil"/>
                    <w:tr2bl w:val="nil"/>
                  </w:tcBorders>
                  <w:vAlign w:val="center"/>
                </w:tcPr>
                <w:p w14:paraId="476B3B7C">
                  <w:pPr>
                    <w:pStyle w:val="73"/>
                  </w:pPr>
                </w:p>
              </w:tc>
            </w:tr>
            <w:tr w14:paraId="0922E7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0B5DD344">
                  <w:pPr>
                    <w:pStyle w:val="73"/>
                  </w:pPr>
                </w:p>
              </w:tc>
              <w:tc>
                <w:tcPr>
                  <w:tcW w:w="946" w:type="pct"/>
                  <w:tcBorders>
                    <w:tl2br w:val="nil"/>
                    <w:tr2bl w:val="nil"/>
                  </w:tcBorders>
                  <w:vAlign w:val="center"/>
                </w:tcPr>
                <w:p w14:paraId="5938552A">
                  <w:pPr>
                    <w:pStyle w:val="73"/>
                  </w:pPr>
                  <w:r>
                    <w:t>氧含量</w:t>
                  </w:r>
                </w:p>
              </w:tc>
              <w:tc>
                <w:tcPr>
                  <w:tcW w:w="489" w:type="pct"/>
                  <w:tcBorders>
                    <w:tl2br w:val="nil"/>
                    <w:tr2bl w:val="nil"/>
                  </w:tcBorders>
                  <w:vAlign w:val="center"/>
                </w:tcPr>
                <w:p w14:paraId="34EDEB8C">
                  <w:pPr>
                    <w:pStyle w:val="73"/>
                  </w:pPr>
                  <w:r>
                    <w:t>%</w:t>
                  </w:r>
                </w:p>
              </w:tc>
              <w:tc>
                <w:tcPr>
                  <w:tcW w:w="555" w:type="pct"/>
                  <w:tcBorders>
                    <w:tl2br w:val="nil"/>
                    <w:tr2bl w:val="nil"/>
                  </w:tcBorders>
                  <w:vAlign w:val="center"/>
                </w:tcPr>
                <w:p w14:paraId="5242F0BE">
                  <w:pPr>
                    <w:pStyle w:val="73"/>
                  </w:pPr>
                  <w:r>
                    <w:t>6.5</w:t>
                  </w:r>
                </w:p>
              </w:tc>
              <w:tc>
                <w:tcPr>
                  <w:tcW w:w="555" w:type="pct"/>
                  <w:tcBorders>
                    <w:tl2br w:val="nil"/>
                    <w:tr2bl w:val="nil"/>
                  </w:tcBorders>
                  <w:vAlign w:val="center"/>
                </w:tcPr>
                <w:p w14:paraId="4D85DB10">
                  <w:pPr>
                    <w:pStyle w:val="73"/>
                  </w:pPr>
                  <w:r>
                    <w:t>6.3</w:t>
                  </w:r>
                </w:p>
              </w:tc>
              <w:tc>
                <w:tcPr>
                  <w:tcW w:w="555" w:type="pct"/>
                  <w:tcBorders>
                    <w:tl2br w:val="nil"/>
                    <w:tr2bl w:val="nil"/>
                  </w:tcBorders>
                  <w:vAlign w:val="center"/>
                </w:tcPr>
                <w:p w14:paraId="505A018D">
                  <w:pPr>
                    <w:pStyle w:val="73"/>
                  </w:pPr>
                  <w:r>
                    <w:t>6.1</w:t>
                  </w:r>
                </w:p>
              </w:tc>
              <w:tc>
                <w:tcPr>
                  <w:tcW w:w="556" w:type="pct"/>
                  <w:tcBorders>
                    <w:tl2br w:val="nil"/>
                    <w:tr2bl w:val="nil"/>
                  </w:tcBorders>
                  <w:vAlign w:val="center"/>
                </w:tcPr>
                <w:p w14:paraId="38B17D44">
                  <w:pPr>
                    <w:pStyle w:val="73"/>
                  </w:pPr>
                  <w:r>
                    <w:t>6.3</w:t>
                  </w:r>
                </w:p>
              </w:tc>
              <w:tc>
                <w:tcPr>
                  <w:tcW w:w="352" w:type="pct"/>
                  <w:tcBorders>
                    <w:tl2br w:val="nil"/>
                    <w:tr2bl w:val="nil"/>
                  </w:tcBorders>
                  <w:vAlign w:val="center"/>
                </w:tcPr>
                <w:p w14:paraId="6009B2A4">
                  <w:pPr>
                    <w:pStyle w:val="73"/>
                  </w:pPr>
                </w:p>
              </w:tc>
              <w:tc>
                <w:tcPr>
                  <w:tcW w:w="319" w:type="pct"/>
                  <w:tcBorders>
                    <w:tl2br w:val="nil"/>
                    <w:tr2bl w:val="nil"/>
                  </w:tcBorders>
                  <w:vAlign w:val="center"/>
                </w:tcPr>
                <w:p w14:paraId="6290D7A4">
                  <w:pPr>
                    <w:pStyle w:val="73"/>
                  </w:pPr>
                </w:p>
              </w:tc>
            </w:tr>
            <w:tr w14:paraId="6E17EF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540398ED">
                  <w:pPr>
                    <w:pStyle w:val="73"/>
                  </w:pPr>
                </w:p>
              </w:tc>
              <w:tc>
                <w:tcPr>
                  <w:tcW w:w="946" w:type="pct"/>
                  <w:tcBorders>
                    <w:tl2br w:val="nil"/>
                    <w:tr2bl w:val="nil"/>
                  </w:tcBorders>
                  <w:vAlign w:val="center"/>
                </w:tcPr>
                <w:p w14:paraId="0007B923">
                  <w:pPr>
                    <w:pStyle w:val="73"/>
                  </w:pPr>
                  <w:r>
                    <w:t>颗粒物实测浓度</w:t>
                  </w:r>
                </w:p>
              </w:tc>
              <w:tc>
                <w:tcPr>
                  <w:tcW w:w="489" w:type="pct"/>
                  <w:tcBorders>
                    <w:tl2br w:val="nil"/>
                    <w:tr2bl w:val="nil"/>
                  </w:tcBorders>
                  <w:vAlign w:val="center"/>
                </w:tcPr>
                <w:p w14:paraId="2D444FBD">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29B385C0">
                  <w:pPr>
                    <w:pStyle w:val="73"/>
                  </w:pPr>
                  <w:r>
                    <w:t>2.3</w:t>
                  </w:r>
                </w:p>
              </w:tc>
              <w:tc>
                <w:tcPr>
                  <w:tcW w:w="555" w:type="pct"/>
                  <w:tcBorders>
                    <w:tl2br w:val="nil"/>
                    <w:tr2bl w:val="nil"/>
                  </w:tcBorders>
                  <w:vAlign w:val="center"/>
                </w:tcPr>
                <w:p w14:paraId="3CCA5F9D">
                  <w:pPr>
                    <w:pStyle w:val="73"/>
                  </w:pPr>
                  <w:r>
                    <w:t>1.8</w:t>
                  </w:r>
                </w:p>
              </w:tc>
              <w:tc>
                <w:tcPr>
                  <w:tcW w:w="555" w:type="pct"/>
                  <w:tcBorders>
                    <w:tl2br w:val="nil"/>
                    <w:tr2bl w:val="nil"/>
                  </w:tcBorders>
                  <w:vAlign w:val="center"/>
                </w:tcPr>
                <w:p w14:paraId="5462D7EB">
                  <w:pPr>
                    <w:pStyle w:val="73"/>
                  </w:pPr>
                  <w:r>
                    <w:t>2.2</w:t>
                  </w:r>
                </w:p>
              </w:tc>
              <w:tc>
                <w:tcPr>
                  <w:tcW w:w="556" w:type="pct"/>
                  <w:tcBorders>
                    <w:tl2br w:val="nil"/>
                    <w:tr2bl w:val="nil"/>
                  </w:tcBorders>
                  <w:vAlign w:val="center"/>
                </w:tcPr>
                <w:p w14:paraId="5489E90F">
                  <w:pPr>
                    <w:pStyle w:val="73"/>
                  </w:pPr>
                  <w:r>
                    <w:t>2.3</w:t>
                  </w:r>
                </w:p>
              </w:tc>
              <w:tc>
                <w:tcPr>
                  <w:tcW w:w="352" w:type="pct"/>
                  <w:tcBorders>
                    <w:tl2br w:val="nil"/>
                    <w:tr2bl w:val="nil"/>
                  </w:tcBorders>
                  <w:vAlign w:val="center"/>
                </w:tcPr>
                <w:p w14:paraId="7E55CA19">
                  <w:pPr>
                    <w:pStyle w:val="73"/>
                  </w:pPr>
                </w:p>
              </w:tc>
              <w:tc>
                <w:tcPr>
                  <w:tcW w:w="319" w:type="pct"/>
                  <w:tcBorders>
                    <w:tl2br w:val="nil"/>
                    <w:tr2bl w:val="nil"/>
                  </w:tcBorders>
                  <w:vAlign w:val="center"/>
                </w:tcPr>
                <w:p w14:paraId="23D981F4">
                  <w:pPr>
                    <w:pStyle w:val="73"/>
                  </w:pPr>
                </w:p>
              </w:tc>
            </w:tr>
            <w:tr w14:paraId="7CD244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5E909F0B">
                  <w:pPr>
                    <w:pStyle w:val="73"/>
                  </w:pPr>
                </w:p>
              </w:tc>
              <w:tc>
                <w:tcPr>
                  <w:tcW w:w="946" w:type="pct"/>
                  <w:tcBorders>
                    <w:tl2br w:val="nil"/>
                    <w:tr2bl w:val="nil"/>
                  </w:tcBorders>
                  <w:vAlign w:val="center"/>
                </w:tcPr>
                <w:p w14:paraId="783113CE">
                  <w:pPr>
                    <w:pStyle w:val="73"/>
                  </w:pPr>
                  <w:r>
                    <w:t>颗粒物折算浓度</w:t>
                  </w:r>
                </w:p>
              </w:tc>
              <w:tc>
                <w:tcPr>
                  <w:tcW w:w="489" w:type="pct"/>
                  <w:tcBorders>
                    <w:tl2br w:val="nil"/>
                    <w:tr2bl w:val="nil"/>
                  </w:tcBorders>
                  <w:vAlign w:val="center"/>
                </w:tcPr>
                <w:p w14:paraId="76A73584">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4B60F4F7">
                  <w:pPr>
                    <w:pStyle w:val="73"/>
                  </w:pPr>
                  <w:r>
                    <w:rPr>
                      <w:rFonts w:hint="eastAsia"/>
                    </w:rPr>
                    <w:t>2.1</w:t>
                  </w:r>
                </w:p>
              </w:tc>
              <w:tc>
                <w:tcPr>
                  <w:tcW w:w="555" w:type="pct"/>
                  <w:tcBorders>
                    <w:tl2br w:val="nil"/>
                    <w:tr2bl w:val="nil"/>
                  </w:tcBorders>
                  <w:vAlign w:val="center"/>
                </w:tcPr>
                <w:p w14:paraId="7B0245BB">
                  <w:pPr>
                    <w:pStyle w:val="73"/>
                  </w:pPr>
                  <w:r>
                    <w:rPr>
                      <w:rFonts w:hint="eastAsia"/>
                    </w:rPr>
                    <w:t>1.6</w:t>
                  </w:r>
                </w:p>
              </w:tc>
              <w:tc>
                <w:tcPr>
                  <w:tcW w:w="555" w:type="pct"/>
                  <w:tcBorders>
                    <w:tl2br w:val="nil"/>
                    <w:tr2bl w:val="nil"/>
                  </w:tcBorders>
                  <w:vAlign w:val="center"/>
                </w:tcPr>
                <w:p w14:paraId="731600E2">
                  <w:pPr>
                    <w:pStyle w:val="73"/>
                  </w:pPr>
                  <w:r>
                    <w:rPr>
                      <w:rFonts w:hint="eastAsia"/>
                    </w:rPr>
                    <w:t>1.9</w:t>
                  </w:r>
                </w:p>
              </w:tc>
              <w:tc>
                <w:tcPr>
                  <w:tcW w:w="556" w:type="pct"/>
                  <w:tcBorders>
                    <w:tl2br w:val="nil"/>
                    <w:tr2bl w:val="nil"/>
                  </w:tcBorders>
                  <w:vAlign w:val="center"/>
                </w:tcPr>
                <w:p w14:paraId="3D9F65EB">
                  <w:pPr>
                    <w:pStyle w:val="73"/>
                  </w:pPr>
                  <w:r>
                    <w:rPr>
                      <w:rFonts w:hint="eastAsia"/>
                    </w:rPr>
                    <w:t>2.1</w:t>
                  </w:r>
                </w:p>
              </w:tc>
              <w:tc>
                <w:tcPr>
                  <w:tcW w:w="352" w:type="pct"/>
                  <w:tcBorders>
                    <w:tl2br w:val="nil"/>
                    <w:tr2bl w:val="nil"/>
                  </w:tcBorders>
                  <w:vAlign w:val="center"/>
                </w:tcPr>
                <w:p w14:paraId="3DA77D30">
                  <w:pPr>
                    <w:pStyle w:val="73"/>
                  </w:pPr>
                  <w:r>
                    <w:rPr>
                      <w:rFonts w:hint="eastAsia"/>
                    </w:rPr>
                    <w:t>10</w:t>
                  </w:r>
                </w:p>
              </w:tc>
              <w:tc>
                <w:tcPr>
                  <w:tcW w:w="319" w:type="pct"/>
                  <w:tcBorders>
                    <w:tl2br w:val="nil"/>
                    <w:tr2bl w:val="nil"/>
                  </w:tcBorders>
                  <w:vAlign w:val="center"/>
                </w:tcPr>
                <w:p w14:paraId="0321A0C0">
                  <w:pPr>
                    <w:pStyle w:val="73"/>
                  </w:pPr>
                  <w:r>
                    <w:rPr>
                      <w:rFonts w:hint="eastAsia"/>
                    </w:rPr>
                    <w:t>达标</w:t>
                  </w:r>
                </w:p>
              </w:tc>
            </w:tr>
            <w:tr w14:paraId="571A0A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22CC1E67">
                  <w:pPr>
                    <w:pStyle w:val="73"/>
                  </w:pPr>
                </w:p>
              </w:tc>
              <w:tc>
                <w:tcPr>
                  <w:tcW w:w="946" w:type="pct"/>
                  <w:tcBorders>
                    <w:tl2br w:val="nil"/>
                    <w:tr2bl w:val="nil"/>
                  </w:tcBorders>
                  <w:vAlign w:val="center"/>
                </w:tcPr>
                <w:p w14:paraId="4D55B2FF">
                  <w:pPr>
                    <w:pStyle w:val="73"/>
                  </w:pPr>
                  <w:r>
                    <w:t>颗粒物排放速率</w:t>
                  </w:r>
                </w:p>
              </w:tc>
              <w:tc>
                <w:tcPr>
                  <w:tcW w:w="489" w:type="pct"/>
                  <w:tcBorders>
                    <w:tl2br w:val="nil"/>
                    <w:tr2bl w:val="nil"/>
                  </w:tcBorders>
                  <w:vAlign w:val="center"/>
                </w:tcPr>
                <w:p w14:paraId="1D06089F">
                  <w:pPr>
                    <w:pStyle w:val="73"/>
                  </w:pPr>
                  <w:r>
                    <w:t>kg/h</w:t>
                  </w:r>
                </w:p>
              </w:tc>
              <w:tc>
                <w:tcPr>
                  <w:tcW w:w="555" w:type="pct"/>
                  <w:tcBorders>
                    <w:tl2br w:val="nil"/>
                    <w:tr2bl w:val="nil"/>
                  </w:tcBorders>
                  <w:vAlign w:val="center"/>
                </w:tcPr>
                <w:p w14:paraId="3DA5B25C">
                  <w:pPr>
                    <w:pStyle w:val="73"/>
                  </w:pPr>
                  <w:r>
                    <w:rPr>
                      <w:rFonts w:hint="eastAsia"/>
                    </w:rPr>
                    <w:t>0.488</w:t>
                  </w:r>
                </w:p>
              </w:tc>
              <w:tc>
                <w:tcPr>
                  <w:tcW w:w="555" w:type="pct"/>
                  <w:tcBorders>
                    <w:tl2br w:val="nil"/>
                    <w:tr2bl w:val="nil"/>
                  </w:tcBorders>
                  <w:vAlign w:val="center"/>
                </w:tcPr>
                <w:p w14:paraId="4DD80B66">
                  <w:pPr>
                    <w:pStyle w:val="73"/>
                  </w:pPr>
                  <w:r>
                    <w:rPr>
                      <w:rFonts w:hint="eastAsia"/>
                    </w:rPr>
                    <w:t>0.397</w:t>
                  </w:r>
                </w:p>
              </w:tc>
              <w:tc>
                <w:tcPr>
                  <w:tcW w:w="555" w:type="pct"/>
                  <w:tcBorders>
                    <w:tl2br w:val="nil"/>
                    <w:tr2bl w:val="nil"/>
                  </w:tcBorders>
                  <w:vAlign w:val="center"/>
                </w:tcPr>
                <w:p w14:paraId="592C0C79">
                  <w:pPr>
                    <w:pStyle w:val="73"/>
                  </w:pPr>
                  <w:r>
                    <w:rPr>
                      <w:rFonts w:hint="eastAsia"/>
                    </w:rPr>
                    <w:t>0.488</w:t>
                  </w:r>
                </w:p>
              </w:tc>
              <w:tc>
                <w:tcPr>
                  <w:tcW w:w="556" w:type="pct"/>
                  <w:tcBorders>
                    <w:tl2br w:val="nil"/>
                    <w:tr2bl w:val="nil"/>
                  </w:tcBorders>
                  <w:vAlign w:val="center"/>
                </w:tcPr>
                <w:p w14:paraId="337FAF01">
                  <w:pPr>
                    <w:pStyle w:val="73"/>
                  </w:pPr>
                  <w:r>
                    <w:rPr>
                      <w:rFonts w:hint="eastAsia"/>
                    </w:rPr>
                    <w:t>0.488</w:t>
                  </w:r>
                </w:p>
              </w:tc>
              <w:tc>
                <w:tcPr>
                  <w:tcW w:w="352" w:type="pct"/>
                  <w:tcBorders>
                    <w:tl2br w:val="nil"/>
                    <w:tr2bl w:val="nil"/>
                  </w:tcBorders>
                  <w:vAlign w:val="center"/>
                </w:tcPr>
                <w:p w14:paraId="60B47EC9">
                  <w:pPr>
                    <w:pStyle w:val="73"/>
                  </w:pPr>
                </w:p>
              </w:tc>
              <w:tc>
                <w:tcPr>
                  <w:tcW w:w="319" w:type="pct"/>
                  <w:tcBorders>
                    <w:tl2br w:val="nil"/>
                    <w:tr2bl w:val="nil"/>
                  </w:tcBorders>
                  <w:vAlign w:val="center"/>
                </w:tcPr>
                <w:p w14:paraId="4CE7E64F">
                  <w:pPr>
                    <w:pStyle w:val="73"/>
                  </w:pPr>
                </w:p>
              </w:tc>
            </w:tr>
            <w:tr w14:paraId="08145A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478A8087">
                  <w:pPr>
                    <w:pStyle w:val="73"/>
                  </w:pPr>
                </w:p>
              </w:tc>
              <w:tc>
                <w:tcPr>
                  <w:tcW w:w="946" w:type="pct"/>
                  <w:tcBorders>
                    <w:tl2br w:val="nil"/>
                    <w:tr2bl w:val="nil"/>
                  </w:tcBorders>
                  <w:vAlign w:val="center"/>
                </w:tcPr>
                <w:p w14:paraId="08922FD8">
                  <w:pPr>
                    <w:pStyle w:val="73"/>
                  </w:pPr>
                  <w:r>
                    <w:t>二氧化硫实测浓度</w:t>
                  </w:r>
                </w:p>
              </w:tc>
              <w:tc>
                <w:tcPr>
                  <w:tcW w:w="489" w:type="pct"/>
                  <w:tcBorders>
                    <w:tl2br w:val="nil"/>
                    <w:tr2bl w:val="nil"/>
                  </w:tcBorders>
                  <w:vAlign w:val="center"/>
                </w:tcPr>
                <w:p w14:paraId="20D12968">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2C3A0F13">
                  <w:pPr>
                    <w:pStyle w:val="73"/>
                  </w:pPr>
                  <w:r>
                    <w:t>2</w:t>
                  </w:r>
                </w:p>
              </w:tc>
              <w:tc>
                <w:tcPr>
                  <w:tcW w:w="555" w:type="pct"/>
                  <w:tcBorders>
                    <w:tl2br w:val="nil"/>
                    <w:tr2bl w:val="nil"/>
                  </w:tcBorders>
                  <w:vAlign w:val="center"/>
                </w:tcPr>
                <w:p w14:paraId="711E6FEB">
                  <w:pPr>
                    <w:pStyle w:val="73"/>
                  </w:pPr>
                  <w:r>
                    <w:t>3</w:t>
                  </w:r>
                </w:p>
              </w:tc>
              <w:tc>
                <w:tcPr>
                  <w:tcW w:w="555" w:type="pct"/>
                  <w:tcBorders>
                    <w:tl2br w:val="nil"/>
                    <w:tr2bl w:val="nil"/>
                  </w:tcBorders>
                  <w:vAlign w:val="center"/>
                </w:tcPr>
                <w:p w14:paraId="3F57039B">
                  <w:pPr>
                    <w:pStyle w:val="73"/>
                  </w:pPr>
                  <w:r>
                    <w:t>2</w:t>
                  </w:r>
                </w:p>
              </w:tc>
              <w:tc>
                <w:tcPr>
                  <w:tcW w:w="556" w:type="pct"/>
                  <w:tcBorders>
                    <w:tl2br w:val="nil"/>
                    <w:tr2bl w:val="nil"/>
                  </w:tcBorders>
                  <w:vAlign w:val="center"/>
                </w:tcPr>
                <w:p w14:paraId="0A731925">
                  <w:pPr>
                    <w:pStyle w:val="73"/>
                  </w:pPr>
                  <w:r>
                    <w:t>3</w:t>
                  </w:r>
                </w:p>
              </w:tc>
              <w:tc>
                <w:tcPr>
                  <w:tcW w:w="352" w:type="pct"/>
                  <w:tcBorders>
                    <w:tl2br w:val="nil"/>
                    <w:tr2bl w:val="nil"/>
                  </w:tcBorders>
                  <w:vAlign w:val="center"/>
                </w:tcPr>
                <w:p w14:paraId="7B4A1D9F">
                  <w:pPr>
                    <w:pStyle w:val="73"/>
                  </w:pPr>
                </w:p>
              </w:tc>
              <w:tc>
                <w:tcPr>
                  <w:tcW w:w="319" w:type="pct"/>
                  <w:tcBorders>
                    <w:tl2br w:val="nil"/>
                    <w:tr2bl w:val="nil"/>
                  </w:tcBorders>
                  <w:vAlign w:val="center"/>
                </w:tcPr>
                <w:p w14:paraId="65CF0DDD">
                  <w:pPr>
                    <w:pStyle w:val="73"/>
                  </w:pPr>
                </w:p>
              </w:tc>
            </w:tr>
            <w:tr w14:paraId="48A56E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72BE2662">
                  <w:pPr>
                    <w:pStyle w:val="73"/>
                  </w:pPr>
                </w:p>
              </w:tc>
              <w:tc>
                <w:tcPr>
                  <w:tcW w:w="946" w:type="pct"/>
                  <w:tcBorders>
                    <w:tl2br w:val="nil"/>
                    <w:tr2bl w:val="nil"/>
                  </w:tcBorders>
                  <w:vAlign w:val="center"/>
                </w:tcPr>
                <w:p w14:paraId="1B12FD14">
                  <w:pPr>
                    <w:pStyle w:val="73"/>
                  </w:pPr>
                  <w:r>
                    <w:t>二氧化硫折算浓度</w:t>
                  </w:r>
                </w:p>
              </w:tc>
              <w:tc>
                <w:tcPr>
                  <w:tcW w:w="489" w:type="pct"/>
                  <w:tcBorders>
                    <w:tl2br w:val="nil"/>
                    <w:tr2bl w:val="nil"/>
                  </w:tcBorders>
                  <w:vAlign w:val="center"/>
                </w:tcPr>
                <w:p w14:paraId="01CBA970">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19EDF919">
                  <w:pPr>
                    <w:pStyle w:val="73"/>
                  </w:pPr>
                  <w:r>
                    <w:t>ND</w:t>
                  </w:r>
                </w:p>
              </w:tc>
              <w:tc>
                <w:tcPr>
                  <w:tcW w:w="555" w:type="pct"/>
                  <w:tcBorders>
                    <w:tl2br w:val="nil"/>
                    <w:tr2bl w:val="nil"/>
                  </w:tcBorders>
                  <w:vAlign w:val="center"/>
                </w:tcPr>
                <w:p w14:paraId="7881ED4C">
                  <w:pPr>
                    <w:pStyle w:val="73"/>
                  </w:pPr>
                  <w:r>
                    <w:t>3</w:t>
                  </w:r>
                </w:p>
              </w:tc>
              <w:tc>
                <w:tcPr>
                  <w:tcW w:w="555" w:type="pct"/>
                  <w:tcBorders>
                    <w:tl2br w:val="nil"/>
                    <w:tr2bl w:val="nil"/>
                  </w:tcBorders>
                  <w:vAlign w:val="center"/>
                </w:tcPr>
                <w:p w14:paraId="6875C738">
                  <w:pPr>
                    <w:pStyle w:val="73"/>
                  </w:pPr>
                  <w:r>
                    <w:t>ND</w:t>
                  </w:r>
                </w:p>
              </w:tc>
              <w:tc>
                <w:tcPr>
                  <w:tcW w:w="556" w:type="pct"/>
                  <w:tcBorders>
                    <w:tl2br w:val="nil"/>
                    <w:tr2bl w:val="nil"/>
                  </w:tcBorders>
                  <w:vAlign w:val="center"/>
                </w:tcPr>
                <w:p w14:paraId="441DFFC7">
                  <w:pPr>
                    <w:pStyle w:val="73"/>
                  </w:pPr>
                  <w:r>
                    <w:t>3</w:t>
                  </w:r>
                </w:p>
              </w:tc>
              <w:tc>
                <w:tcPr>
                  <w:tcW w:w="352" w:type="pct"/>
                  <w:tcBorders>
                    <w:tl2br w:val="nil"/>
                    <w:tr2bl w:val="nil"/>
                  </w:tcBorders>
                  <w:vAlign w:val="center"/>
                </w:tcPr>
                <w:p w14:paraId="45410BF6">
                  <w:pPr>
                    <w:pStyle w:val="73"/>
                  </w:pPr>
                  <w:r>
                    <w:rPr>
                      <w:rFonts w:hint="eastAsia"/>
                    </w:rPr>
                    <w:t>50</w:t>
                  </w:r>
                </w:p>
              </w:tc>
              <w:tc>
                <w:tcPr>
                  <w:tcW w:w="319" w:type="pct"/>
                  <w:tcBorders>
                    <w:tl2br w:val="nil"/>
                    <w:tr2bl w:val="nil"/>
                  </w:tcBorders>
                  <w:vAlign w:val="center"/>
                </w:tcPr>
                <w:p w14:paraId="5F811F88">
                  <w:pPr>
                    <w:pStyle w:val="73"/>
                  </w:pPr>
                  <w:r>
                    <w:rPr>
                      <w:rFonts w:hint="eastAsia"/>
                    </w:rPr>
                    <w:t>达标</w:t>
                  </w:r>
                </w:p>
              </w:tc>
            </w:tr>
            <w:tr w14:paraId="151BE2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38035AAA">
                  <w:pPr>
                    <w:pStyle w:val="73"/>
                  </w:pPr>
                </w:p>
              </w:tc>
              <w:tc>
                <w:tcPr>
                  <w:tcW w:w="946" w:type="pct"/>
                  <w:tcBorders>
                    <w:tl2br w:val="nil"/>
                    <w:tr2bl w:val="nil"/>
                  </w:tcBorders>
                  <w:vAlign w:val="center"/>
                </w:tcPr>
                <w:p w14:paraId="374DD57C">
                  <w:pPr>
                    <w:pStyle w:val="73"/>
                  </w:pPr>
                  <w:r>
                    <w:t>二氧化硫排放速率</w:t>
                  </w:r>
                </w:p>
              </w:tc>
              <w:tc>
                <w:tcPr>
                  <w:tcW w:w="489" w:type="pct"/>
                  <w:tcBorders>
                    <w:tl2br w:val="nil"/>
                    <w:tr2bl w:val="nil"/>
                  </w:tcBorders>
                  <w:vAlign w:val="center"/>
                </w:tcPr>
                <w:p w14:paraId="45308377">
                  <w:pPr>
                    <w:pStyle w:val="73"/>
                  </w:pPr>
                  <w:r>
                    <w:t>kg/h</w:t>
                  </w:r>
                </w:p>
              </w:tc>
              <w:tc>
                <w:tcPr>
                  <w:tcW w:w="555" w:type="pct"/>
                  <w:tcBorders>
                    <w:tl2br w:val="nil"/>
                    <w:tr2bl w:val="nil"/>
                  </w:tcBorders>
                  <w:vAlign w:val="center"/>
                </w:tcPr>
                <w:p w14:paraId="429F41E4">
                  <w:pPr>
                    <w:pStyle w:val="73"/>
                  </w:pPr>
                  <w:r>
                    <w:rPr>
                      <w:rFonts w:hint="eastAsia"/>
                    </w:rPr>
                    <w:t>0.424</w:t>
                  </w:r>
                </w:p>
              </w:tc>
              <w:tc>
                <w:tcPr>
                  <w:tcW w:w="555" w:type="pct"/>
                  <w:tcBorders>
                    <w:tl2br w:val="nil"/>
                    <w:tr2bl w:val="nil"/>
                  </w:tcBorders>
                  <w:vAlign w:val="center"/>
                </w:tcPr>
                <w:p w14:paraId="6A052F8F">
                  <w:pPr>
                    <w:pStyle w:val="73"/>
                  </w:pPr>
                  <w:r>
                    <w:rPr>
                      <w:rFonts w:hint="eastAsia"/>
                    </w:rPr>
                    <w:t>0.662</w:t>
                  </w:r>
                </w:p>
              </w:tc>
              <w:tc>
                <w:tcPr>
                  <w:tcW w:w="555" w:type="pct"/>
                  <w:tcBorders>
                    <w:tl2br w:val="nil"/>
                    <w:tr2bl w:val="nil"/>
                  </w:tcBorders>
                  <w:vAlign w:val="center"/>
                </w:tcPr>
                <w:p w14:paraId="1A68A8C5">
                  <w:pPr>
                    <w:pStyle w:val="73"/>
                  </w:pPr>
                  <w:r>
                    <w:rPr>
                      <w:rFonts w:hint="eastAsia"/>
                    </w:rPr>
                    <w:t>0.444</w:t>
                  </w:r>
                </w:p>
              </w:tc>
              <w:tc>
                <w:tcPr>
                  <w:tcW w:w="556" w:type="pct"/>
                  <w:tcBorders>
                    <w:tl2br w:val="nil"/>
                    <w:tr2bl w:val="nil"/>
                  </w:tcBorders>
                  <w:vAlign w:val="center"/>
                </w:tcPr>
                <w:p w14:paraId="3C681BCF">
                  <w:pPr>
                    <w:pStyle w:val="73"/>
                  </w:pPr>
                  <w:r>
                    <w:rPr>
                      <w:rFonts w:hint="eastAsia"/>
                    </w:rPr>
                    <w:t>0.662</w:t>
                  </w:r>
                </w:p>
              </w:tc>
              <w:tc>
                <w:tcPr>
                  <w:tcW w:w="352" w:type="pct"/>
                  <w:tcBorders>
                    <w:tl2br w:val="nil"/>
                    <w:tr2bl w:val="nil"/>
                  </w:tcBorders>
                  <w:vAlign w:val="center"/>
                </w:tcPr>
                <w:p w14:paraId="41F579F3">
                  <w:pPr>
                    <w:pStyle w:val="73"/>
                  </w:pPr>
                </w:p>
              </w:tc>
              <w:tc>
                <w:tcPr>
                  <w:tcW w:w="319" w:type="pct"/>
                  <w:tcBorders>
                    <w:tl2br w:val="nil"/>
                    <w:tr2bl w:val="nil"/>
                  </w:tcBorders>
                  <w:vAlign w:val="center"/>
                </w:tcPr>
                <w:p w14:paraId="79EF0AB1">
                  <w:pPr>
                    <w:pStyle w:val="73"/>
                  </w:pPr>
                </w:p>
              </w:tc>
            </w:tr>
            <w:tr w14:paraId="3E2732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47AE3AFF">
                  <w:pPr>
                    <w:pStyle w:val="73"/>
                  </w:pPr>
                </w:p>
              </w:tc>
              <w:tc>
                <w:tcPr>
                  <w:tcW w:w="946" w:type="pct"/>
                  <w:tcBorders>
                    <w:tl2br w:val="nil"/>
                    <w:tr2bl w:val="nil"/>
                  </w:tcBorders>
                  <w:vAlign w:val="center"/>
                </w:tcPr>
                <w:p w14:paraId="75088057">
                  <w:pPr>
                    <w:pStyle w:val="73"/>
                  </w:pPr>
                  <w:r>
                    <w:t>氮氧化物实测浓度</w:t>
                  </w:r>
                </w:p>
              </w:tc>
              <w:tc>
                <w:tcPr>
                  <w:tcW w:w="489" w:type="pct"/>
                  <w:tcBorders>
                    <w:tl2br w:val="nil"/>
                    <w:tr2bl w:val="nil"/>
                  </w:tcBorders>
                  <w:vAlign w:val="center"/>
                </w:tcPr>
                <w:p w14:paraId="5A56CD9E">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5348762C">
                  <w:pPr>
                    <w:pStyle w:val="73"/>
                  </w:pPr>
                  <w:r>
                    <w:t>10</w:t>
                  </w:r>
                </w:p>
              </w:tc>
              <w:tc>
                <w:tcPr>
                  <w:tcW w:w="555" w:type="pct"/>
                  <w:tcBorders>
                    <w:tl2br w:val="nil"/>
                    <w:tr2bl w:val="nil"/>
                  </w:tcBorders>
                  <w:vAlign w:val="center"/>
                </w:tcPr>
                <w:p w14:paraId="4B3CCE42">
                  <w:pPr>
                    <w:pStyle w:val="73"/>
                  </w:pPr>
                  <w:r>
                    <w:t>7</w:t>
                  </w:r>
                </w:p>
              </w:tc>
              <w:tc>
                <w:tcPr>
                  <w:tcW w:w="555" w:type="pct"/>
                  <w:tcBorders>
                    <w:tl2br w:val="nil"/>
                    <w:tr2bl w:val="nil"/>
                  </w:tcBorders>
                  <w:vAlign w:val="center"/>
                </w:tcPr>
                <w:p w14:paraId="7CC7A994">
                  <w:pPr>
                    <w:pStyle w:val="73"/>
                  </w:pPr>
                  <w:r>
                    <w:t>9</w:t>
                  </w:r>
                </w:p>
              </w:tc>
              <w:tc>
                <w:tcPr>
                  <w:tcW w:w="556" w:type="pct"/>
                  <w:tcBorders>
                    <w:tl2br w:val="nil"/>
                    <w:tr2bl w:val="nil"/>
                  </w:tcBorders>
                  <w:vAlign w:val="center"/>
                </w:tcPr>
                <w:p w14:paraId="70911BC1">
                  <w:pPr>
                    <w:pStyle w:val="73"/>
                  </w:pPr>
                  <w:r>
                    <w:t>10</w:t>
                  </w:r>
                </w:p>
              </w:tc>
              <w:tc>
                <w:tcPr>
                  <w:tcW w:w="352" w:type="pct"/>
                  <w:tcBorders>
                    <w:tl2br w:val="nil"/>
                    <w:tr2bl w:val="nil"/>
                  </w:tcBorders>
                  <w:vAlign w:val="center"/>
                </w:tcPr>
                <w:p w14:paraId="0925CB6E">
                  <w:pPr>
                    <w:pStyle w:val="73"/>
                  </w:pPr>
                </w:p>
              </w:tc>
              <w:tc>
                <w:tcPr>
                  <w:tcW w:w="319" w:type="pct"/>
                  <w:tcBorders>
                    <w:tl2br w:val="nil"/>
                    <w:tr2bl w:val="nil"/>
                  </w:tcBorders>
                  <w:vAlign w:val="center"/>
                </w:tcPr>
                <w:p w14:paraId="0456D82D">
                  <w:pPr>
                    <w:pStyle w:val="73"/>
                  </w:pPr>
                </w:p>
              </w:tc>
            </w:tr>
            <w:tr w14:paraId="6999F7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3AB6BC0E">
                  <w:pPr>
                    <w:pStyle w:val="73"/>
                  </w:pPr>
                </w:p>
              </w:tc>
              <w:tc>
                <w:tcPr>
                  <w:tcW w:w="946" w:type="pct"/>
                  <w:tcBorders>
                    <w:tl2br w:val="nil"/>
                    <w:tr2bl w:val="nil"/>
                  </w:tcBorders>
                  <w:vAlign w:val="center"/>
                </w:tcPr>
                <w:p w14:paraId="7E86A0C1">
                  <w:pPr>
                    <w:pStyle w:val="73"/>
                  </w:pPr>
                  <w:r>
                    <w:t>氮氧化物折算浓度</w:t>
                  </w:r>
                </w:p>
              </w:tc>
              <w:tc>
                <w:tcPr>
                  <w:tcW w:w="489" w:type="pct"/>
                  <w:tcBorders>
                    <w:tl2br w:val="nil"/>
                    <w:tr2bl w:val="nil"/>
                  </w:tcBorders>
                  <w:vAlign w:val="center"/>
                </w:tcPr>
                <w:p w14:paraId="541698C8">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04FCBCCE">
                  <w:pPr>
                    <w:pStyle w:val="73"/>
                  </w:pPr>
                  <w:r>
                    <w:t>9</w:t>
                  </w:r>
                </w:p>
              </w:tc>
              <w:tc>
                <w:tcPr>
                  <w:tcW w:w="555" w:type="pct"/>
                  <w:tcBorders>
                    <w:tl2br w:val="nil"/>
                    <w:tr2bl w:val="nil"/>
                  </w:tcBorders>
                  <w:vAlign w:val="center"/>
                </w:tcPr>
                <w:p w14:paraId="14BE1A64">
                  <w:pPr>
                    <w:pStyle w:val="73"/>
                  </w:pPr>
                  <w:r>
                    <w:t>6</w:t>
                  </w:r>
                </w:p>
              </w:tc>
              <w:tc>
                <w:tcPr>
                  <w:tcW w:w="555" w:type="pct"/>
                  <w:tcBorders>
                    <w:tl2br w:val="nil"/>
                    <w:tr2bl w:val="nil"/>
                  </w:tcBorders>
                  <w:vAlign w:val="center"/>
                </w:tcPr>
                <w:p w14:paraId="6448739A">
                  <w:pPr>
                    <w:pStyle w:val="73"/>
                  </w:pPr>
                  <w:r>
                    <w:t>8</w:t>
                  </w:r>
                </w:p>
              </w:tc>
              <w:tc>
                <w:tcPr>
                  <w:tcW w:w="556" w:type="pct"/>
                  <w:tcBorders>
                    <w:tl2br w:val="nil"/>
                    <w:tr2bl w:val="nil"/>
                  </w:tcBorders>
                  <w:vAlign w:val="center"/>
                </w:tcPr>
                <w:p w14:paraId="6BA731BA">
                  <w:pPr>
                    <w:pStyle w:val="73"/>
                  </w:pPr>
                  <w:r>
                    <w:t>9</w:t>
                  </w:r>
                </w:p>
              </w:tc>
              <w:tc>
                <w:tcPr>
                  <w:tcW w:w="352" w:type="pct"/>
                  <w:tcBorders>
                    <w:tl2br w:val="nil"/>
                    <w:tr2bl w:val="nil"/>
                  </w:tcBorders>
                  <w:vAlign w:val="center"/>
                </w:tcPr>
                <w:p w14:paraId="6EEF1739">
                  <w:pPr>
                    <w:pStyle w:val="73"/>
                  </w:pPr>
                  <w:r>
                    <w:rPr>
                      <w:rFonts w:hint="eastAsia"/>
                    </w:rPr>
                    <w:t>50</w:t>
                  </w:r>
                </w:p>
              </w:tc>
              <w:tc>
                <w:tcPr>
                  <w:tcW w:w="319" w:type="pct"/>
                  <w:tcBorders>
                    <w:tl2br w:val="nil"/>
                    <w:tr2bl w:val="nil"/>
                  </w:tcBorders>
                  <w:vAlign w:val="center"/>
                </w:tcPr>
                <w:p w14:paraId="40263E7C">
                  <w:pPr>
                    <w:pStyle w:val="73"/>
                  </w:pPr>
                  <w:r>
                    <w:rPr>
                      <w:rFonts w:hint="eastAsia"/>
                    </w:rPr>
                    <w:t>达标</w:t>
                  </w:r>
                </w:p>
              </w:tc>
            </w:tr>
            <w:tr w14:paraId="0D7E15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7A6B243B">
                  <w:pPr>
                    <w:pStyle w:val="73"/>
                  </w:pPr>
                </w:p>
              </w:tc>
              <w:tc>
                <w:tcPr>
                  <w:tcW w:w="946" w:type="pct"/>
                  <w:tcBorders>
                    <w:tl2br w:val="nil"/>
                    <w:tr2bl w:val="nil"/>
                  </w:tcBorders>
                  <w:vAlign w:val="center"/>
                </w:tcPr>
                <w:p w14:paraId="45530915">
                  <w:pPr>
                    <w:pStyle w:val="73"/>
                  </w:pPr>
                  <w:r>
                    <w:t>氮氧化物排放速率</w:t>
                  </w:r>
                </w:p>
              </w:tc>
              <w:tc>
                <w:tcPr>
                  <w:tcW w:w="489" w:type="pct"/>
                  <w:tcBorders>
                    <w:tl2br w:val="nil"/>
                    <w:tr2bl w:val="nil"/>
                  </w:tcBorders>
                  <w:vAlign w:val="center"/>
                </w:tcPr>
                <w:p w14:paraId="704FA824">
                  <w:pPr>
                    <w:pStyle w:val="73"/>
                  </w:pPr>
                  <w:r>
                    <w:t>kg/h</w:t>
                  </w:r>
                </w:p>
              </w:tc>
              <w:tc>
                <w:tcPr>
                  <w:tcW w:w="555" w:type="pct"/>
                  <w:tcBorders>
                    <w:tl2br w:val="nil"/>
                    <w:tr2bl w:val="nil"/>
                  </w:tcBorders>
                  <w:vAlign w:val="center"/>
                </w:tcPr>
                <w:p w14:paraId="48D781F0">
                  <w:pPr>
                    <w:pStyle w:val="73"/>
                  </w:pPr>
                  <w:r>
                    <w:rPr>
                      <w:rFonts w:hint="eastAsia"/>
                    </w:rPr>
                    <w:t>2.12</w:t>
                  </w:r>
                </w:p>
              </w:tc>
              <w:tc>
                <w:tcPr>
                  <w:tcW w:w="555" w:type="pct"/>
                  <w:tcBorders>
                    <w:tl2br w:val="nil"/>
                    <w:tr2bl w:val="nil"/>
                  </w:tcBorders>
                  <w:vAlign w:val="center"/>
                </w:tcPr>
                <w:p w14:paraId="311AD39B">
                  <w:pPr>
                    <w:pStyle w:val="73"/>
                  </w:pPr>
                  <w:r>
                    <w:rPr>
                      <w:rFonts w:hint="eastAsia"/>
                    </w:rPr>
                    <w:t>1.54</w:t>
                  </w:r>
                </w:p>
              </w:tc>
              <w:tc>
                <w:tcPr>
                  <w:tcW w:w="555" w:type="pct"/>
                  <w:tcBorders>
                    <w:tl2br w:val="nil"/>
                    <w:tr2bl w:val="nil"/>
                  </w:tcBorders>
                  <w:vAlign w:val="center"/>
                </w:tcPr>
                <w:p w14:paraId="296E5DC1">
                  <w:pPr>
                    <w:pStyle w:val="73"/>
                  </w:pPr>
                  <w:r>
                    <w:rPr>
                      <w:rFonts w:hint="eastAsia"/>
                    </w:rPr>
                    <w:t>2.00</w:t>
                  </w:r>
                </w:p>
              </w:tc>
              <w:tc>
                <w:tcPr>
                  <w:tcW w:w="556" w:type="pct"/>
                  <w:tcBorders>
                    <w:tl2br w:val="nil"/>
                    <w:tr2bl w:val="nil"/>
                  </w:tcBorders>
                  <w:vAlign w:val="center"/>
                </w:tcPr>
                <w:p w14:paraId="3DCB63E1">
                  <w:pPr>
                    <w:pStyle w:val="73"/>
                  </w:pPr>
                  <w:r>
                    <w:rPr>
                      <w:rFonts w:hint="eastAsia"/>
                    </w:rPr>
                    <w:t>2.12</w:t>
                  </w:r>
                </w:p>
              </w:tc>
              <w:tc>
                <w:tcPr>
                  <w:tcW w:w="352" w:type="pct"/>
                  <w:tcBorders>
                    <w:tl2br w:val="nil"/>
                    <w:tr2bl w:val="nil"/>
                  </w:tcBorders>
                  <w:vAlign w:val="center"/>
                </w:tcPr>
                <w:p w14:paraId="07CFF8DE">
                  <w:pPr>
                    <w:pStyle w:val="73"/>
                  </w:pPr>
                </w:p>
              </w:tc>
              <w:tc>
                <w:tcPr>
                  <w:tcW w:w="319" w:type="pct"/>
                  <w:tcBorders>
                    <w:tl2br w:val="nil"/>
                    <w:tr2bl w:val="nil"/>
                  </w:tcBorders>
                  <w:vAlign w:val="center"/>
                </w:tcPr>
                <w:p w14:paraId="731BC42A">
                  <w:pPr>
                    <w:pStyle w:val="73"/>
                  </w:pPr>
                </w:p>
              </w:tc>
            </w:tr>
            <w:tr w14:paraId="4DB584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6AD8493D">
                  <w:pPr>
                    <w:pStyle w:val="73"/>
                  </w:pPr>
                </w:p>
              </w:tc>
              <w:tc>
                <w:tcPr>
                  <w:tcW w:w="946" w:type="pct"/>
                  <w:tcBorders>
                    <w:tl2br w:val="nil"/>
                    <w:tr2bl w:val="nil"/>
                  </w:tcBorders>
                  <w:vAlign w:val="center"/>
                </w:tcPr>
                <w:p w14:paraId="0970FAE9">
                  <w:pPr>
                    <w:pStyle w:val="73"/>
                  </w:pPr>
                  <w:r>
                    <w:t>氨实测浓度</w:t>
                  </w:r>
                </w:p>
              </w:tc>
              <w:tc>
                <w:tcPr>
                  <w:tcW w:w="489" w:type="pct"/>
                  <w:tcBorders>
                    <w:tl2br w:val="nil"/>
                    <w:tr2bl w:val="nil"/>
                  </w:tcBorders>
                  <w:vAlign w:val="center"/>
                </w:tcPr>
                <w:p w14:paraId="59E35D6C">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7C9A79BC">
                  <w:pPr>
                    <w:pStyle w:val="73"/>
                  </w:pPr>
                  <w:r>
                    <w:t>0.33</w:t>
                  </w:r>
                </w:p>
              </w:tc>
              <w:tc>
                <w:tcPr>
                  <w:tcW w:w="555" w:type="pct"/>
                  <w:tcBorders>
                    <w:tl2br w:val="nil"/>
                    <w:tr2bl w:val="nil"/>
                  </w:tcBorders>
                  <w:vAlign w:val="center"/>
                </w:tcPr>
                <w:p w14:paraId="6D8850A8">
                  <w:pPr>
                    <w:pStyle w:val="73"/>
                  </w:pPr>
                  <w:r>
                    <w:t>0.22</w:t>
                  </w:r>
                </w:p>
              </w:tc>
              <w:tc>
                <w:tcPr>
                  <w:tcW w:w="555" w:type="pct"/>
                  <w:tcBorders>
                    <w:tl2br w:val="nil"/>
                    <w:tr2bl w:val="nil"/>
                  </w:tcBorders>
                  <w:vAlign w:val="center"/>
                </w:tcPr>
                <w:p w14:paraId="4E1830E3">
                  <w:pPr>
                    <w:pStyle w:val="73"/>
                  </w:pPr>
                  <w:r>
                    <w:t>0.15</w:t>
                  </w:r>
                </w:p>
              </w:tc>
              <w:tc>
                <w:tcPr>
                  <w:tcW w:w="556" w:type="pct"/>
                  <w:tcBorders>
                    <w:tl2br w:val="nil"/>
                    <w:tr2bl w:val="nil"/>
                  </w:tcBorders>
                  <w:vAlign w:val="center"/>
                </w:tcPr>
                <w:p w14:paraId="6101CD13">
                  <w:pPr>
                    <w:pStyle w:val="73"/>
                  </w:pPr>
                  <w:r>
                    <w:t>0.33</w:t>
                  </w:r>
                </w:p>
              </w:tc>
              <w:tc>
                <w:tcPr>
                  <w:tcW w:w="352" w:type="pct"/>
                  <w:tcBorders>
                    <w:tl2br w:val="nil"/>
                    <w:tr2bl w:val="nil"/>
                  </w:tcBorders>
                  <w:vAlign w:val="center"/>
                </w:tcPr>
                <w:p w14:paraId="5A9105F1">
                  <w:pPr>
                    <w:pStyle w:val="73"/>
                  </w:pPr>
                </w:p>
              </w:tc>
              <w:tc>
                <w:tcPr>
                  <w:tcW w:w="319" w:type="pct"/>
                  <w:tcBorders>
                    <w:tl2br w:val="nil"/>
                    <w:tr2bl w:val="nil"/>
                  </w:tcBorders>
                  <w:vAlign w:val="center"/>
                </w:tcPr>
                <w:p w14:paraId="71419DBF">
                  <w:pPr>
                    <w:pStyle w:val="73"/>
                  </w:pPr>
                </w:p>
              </w:tc>
            </w:tr>
            <w:tr w14:paraId="7431DF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3808315E">
                  <w:pPr>
                    <w:pStyle w:val="73"/>
                  </w:pPr>
                </w:p>
              </w:tc>
              <w:tc>
                <w:tcPr>
                  <w:tcW w:w="946" w:type="pct"/>
                  <w:tcBorders>
                    <w:tl2br w:val="nil"/>
                    <w:tr2bl w:val="nil"/>
                  </w:tcBorders>
                  <w:vAlign w:val="center"/>
                </w:tcPr>
                <w:p w14:paraId="54EC659B">
                  <w:pPr>
                    <w:pStyle w:val="73"/>
                  </w:pPr>
                  <w:r>
                    <w:t>氨折算浓度</w:t>
                  </w:r>
                </w:p>
              </w:tc>
              <w:tc>
                <w:tcPr>
                  <w:tcW w:w="489" w:type="pct"/>
                  <w:tcBorders>
                    <w:tl2br w:val="nil"/>
                    <w:tr2bl w:val="nil"/>
                  </w:tcBorders>
                  <w:vAlign w:val="center"/>
                </w:tcPr>
                <w:p w14:paraId="27BD969B">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65FF156E">
                  <w:pPr>
                    <w:pStyle w:val="73"/>
                  </w:pPr>
                  <w:r>
                    <w:rPr>
                      <w:rFonts w:hint="eastAsia"/>
                    </w:rPr>
                    <w:t>0.30</w:t>
                  </w:r>
                </w:p>
              </w:tc>
              <w:tc>
                <w:tcPr>
                  <w:tcW w:w="555" w:type="pct"/>
                  <w:tcBorders>
                    <w:tl2br w:val="nil"/>
                    <w:tr2bl w:val="nil"/>
                  </w:tcBorders>
                  <w:vAlign w:val="center"/>
                </w:tcPr>
                <w:p w14:paraId="502D2677">
                  <w:pPr>
                    <w:pStyle w:val="73"/>
                  </w:pPr>
                  <w:r>
                    <w:rPr>
                      <w:rFonts w:hint="eastAsia"/>
                    </w:rPr>
                    <w:t>0.19</w:t>
                  </w:r>
                </w:p>
              </w:tc>
              <w:tc>
                <w:tcPr>
                  <w:tcW w:w="555" w:type="pct"/>
                  <w:tcBorders>
                    <w:tl2br w:val="nil"/>
                    <w:tr2bl w:val="nil"/>
                  </w:tcBorders>
                  <w:vAlign w:val="center"/>
                </w:tcPr>
                <w:p w14:paraId="20F9F848">
                  <w:pPr>
                    <w:pStyle w:val="73"/>
                  </w:pPr>
                  <w:r>
                    <w:rPr>
                      <w:rFonts w:hint="eastAsia"/>
                    </w:rPr>
                    <w:t>0.13</w:t>
                  </w:r>
                </w:p>
              </w:tc>
              <w:tc>
                <w:tcPr>
                  <w:tcW w:w="556" w:type="pct"/>
                  <w:tcBorders>
                    <w:tl2br w:val="nil"/>
                    <w:tr2bl w:val="nil"/>
                  </w:tcBorders>
                  <w:vAlign w:val="center"/>
                </w:tcPr>
                <w:p w14:paraId="589494CF">
                  <w:pPr>
                    <w:pStyle w:val="73"/>
                  </w:pPr>
                  <w:r>
                    <w:rPr>
                      <w:rFonts w:hint="eastAsia"/>
                    </w:rPr>
                    <w:t>0.30</w:t>
                  </w:r>
                </w:p>
              </w:tc>
              <w:tc>
                <w:tcPr>
                  <w:tcW w:w="352" w:type="pct"/>
                  <w:tcBorders>
                    <w:tl2br w:val="nil"/>
                    <w:tr2bl w:val="nil"/>
                  </w:tcBorders>
                  <w:vAlign w:val="center"/>
                </w:tcPr>
                <w:p w14:paraId="13B94D6E">
                  <w:pPr>
                    <w:pStyle w:val="73"/>
                  </w:pPr>
                  <w:r>
                    <w:rPr>
                      <w:rFonts w:hint="eastAsia"/>
                    </w:rPr>
                    <w:t>2.5</w:t>
                  </w:r>
                </w:p>
              </w:tc>
              <w:tc>
                <w:tcPr>
                  <w:tcW w:w="319" w:type="pct"/>
                  <w:tcBorders>
                    <w:tl2br w:val="nil"/>
                    <w:tr2bl w:val="nil"/>
                  </w:tcBorders>
                  <w:vAlign w:val="center"/>
                </w:tcPr>
                <w:p w14:paraId="5E97B097">
                  <w:pPr>
                    <w:pStyle w:val="73"/>
                  </w:pPr>
                  <w:r>
                    <w:rPr>
                      <w:rFonts w:hint="eastAsia"/>
                    </w:rPr>
                    <w:t>达标</w:t>
                  </w:r>
                </w:p>
              </w:tc>
            </w:tr>
            <w:tr w14:paraId="2E38CE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30DB3265">
                  <w:pPr>
                    <w:pStyle w:val="73"/>
                  </w:pPr>
                </w:p>
              </w:tc>
              <w:tc>
                <w:tcPr>
                  <w:tcW w:w="946" w:type="pct"/>
                  <w:tcBorders>
                    <w:tl2br w:val="nil"/>
                    <w:tr2bl w:val="nil"/>
                  </w:tcBorders>
                  <w:vAlign w:val="center"/>
                </w:tcPr>
                <w:p w14:paraId="61CFB2AF">
                  <w:pPr>
                    <w:pStyle w:val="73"/>
                  </w:pPr>
                  <w:r>
                    <w:t>氨排放速率</w:t>
                  </w:r>
                </w:p>
              </w:tc>
              <w:tc>
                <w:tcPr>
                  <w:tcW w:w="489" w:type="pct"/>
                  <w:tcBorders>
                    <w:tl2br w:val="nil"/>
                    <w:tr2bl w:val="nil"/>
                  </w:tcBorders>
                  <w:vAlign w:val="center"/>
                </w:tcPr>
                <w:p w14:paraId="55E613CB">
                  <w:pPr>
                    <w:pStyle w:val="73"/>
                  </w:pPr>
                  <w:r>
                    <w:t>kg/h</w:t>
                  </w:r>
                </w:p>
              </w:tc>
              <w:tc>
                <w:tcPr>
                  <w:tcW w:w="555" w:type="pct"/>
                  <w:tcBorders>
                    <w:tl2br w:val="nil"/>
                    <w:tr2bl w:val="nil"/>
                  </w:tcBorders>
                  <w:vAlign w:val="center"/>
                </w:tcPr>
                <w:p w14:paraId="0CF0C6C2">
                  <w:pPr>
                    <w:pStyle w:val="73"/>
                  </w:pPr>
                  <w:r>
                    <w:rPr>
                      <w:rFonts w:hint="eastAsia"/>
                    </w:rPr>
                    <w:t>7.00×10</w:t>
                  </w:r>
                  <w:r>
                    <w:rPr>
                      <w:rFonts w:hint="eastAsia"/>
                      <w:vertAlign w:val="superscript"/>
                    </w:rPr>
                    <w:t>-2</w:t>
                  </w:r>
                </w:p>
              </w:tc>
              <w:tc>
                <w:tcPr>
                  <w:tcW w:w="555" w:type="pct"/>
                  <w:tcBorders>
                    <w:tl2br w:val="nil"/>
                    <w:tr2bl w:val="nil"/>
                  </w:tcBorders>
                  <w:vAlign w:val="center"/>
                </w:tcPr>
                <w:p w14:paraId="7CAB1D01">
                  <w:pPr>
                    <w:pStyle w:val="73"/>
                  </w:pPr>
                  <w:r>
                    <w:rPr>
                      <w:rFonts w:hint="eastAsia"/>
                    </w:rPr>
                    <w:t>4.85×10</w:t>
                  </w:r>
                  <w:r>
                    <w:rPr>
                      <w:rFonts w:hint="eastAsia"/>
                      <w:vertAlign w:val="superscript"/>
                    </w:rPr>
                    <w:t>-2</w:t>
                  </w:r>
                </w:p>
              </w:tc>
              <w:tc>
                <w:tcPr>
                  <w:tcW w:w="555" w:type="pct"/>
                  <w:tcBorders>
                    <w:tl2br w:val="nil"/>
                    <w:tr2bl w:val="nil"/>
                  </w:tcBorders>
                  <w:vAlign w:val="center"/>
                </w:tcPr>
                <w:p w14:paraId="0CE7BAFF">
                  <w:pPr>
                    <w:pStyle w:val="73"/>
                  </w:pPr>
                  <w:r>
                    <w:rPr>
                      <w:rFonts w:hint="eastAsia"/>
                    </w:rPr>
                    <w:t>3.33×10</w:t>
                  </w:r>
                  <w:r>
                    <w:rPr>
                      <w:rFonts w:hint="eastAsia"/>
                      <w:vertAlign w:val="superscript"/>
                    </w:rPr>
                    <w:t>-2</w:t>
                  </w:r>
                </w:p>
              </w:tc>
              <w:tc>
                <w:tcPr>
                  <w:tcW w:w="556" w:type="pct"/>
                  <w:tcBorders>
                    <w:tl2br w:val="nil"/>
                    <w:tr2bl w:val="nil"/>
                  </w:tcBorders>
                  <w:vAlign w:val="center"/>
                </w:tcPr>
                <w:p w14:paraId="4EA54D61">
                  <w:pPr>
                    <w:pStyle w:val="73"/>
                  </w:pPr>
                  <w:r>
                    <w:rPr>
                      <w:rFonts w:hint="eastAsia"/>
                    </w:rPr>
                    <w:t>7.00×10</w:t>
                  </w:r>
                  <w:r>
                    <w:rPr>
                      <w:rFonts w:hint="eastAsia"/>
                      <w:vertAlign w:val="superscript"/>
                    </w:rPr>
                    <w:t>-2</w:t>
                  </w:r>
                </w:p>
              </w:tc>
              <w:tc>
                <w:tcPr>
                  <w:tcW w:w="352" w:type="pct"/>
                  <w:tcBorders>
                    <w:tl2br w:val="nil"/>
                    <w:tr2bl w:val="nil"/>
                  </w:tcBorders>
                  <w:vAlign w:val="center"/>
                </w:tcPr>
                <w:p w14:paraId="6D362756">
                  <w:pPr>
                    <w:pStyle w:val="73"/>
                  </w:pPr>
                </w:p>
              </w:tc>
              <w:tc>
                <w:tcPr>
                  <w:tcW w:w="319" w:type="pct"/>
                  <w:tcBorders>
                    <w:tl2br w:val="nil"/>
                    <w:tr2bl w:val="nil"/>
                  </w:tcBorders>
                  <w:vAlign w:val="center"/>
                </w:tcPr>
                <w:p w14:paraId="37E1A3A2">
                  <w:pPr>
                    <w:pStyle w:val="73"/>
                  </w:pPr>
                </w:p>
              </w:tc>
            </w:tr>
            <w:tr w14:paraId="73AE2B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restart"/>
                  <w:tcBorders>
                    <w:tl2br w:val="nil"/>
                    <w:tr2bl w:val="nil"/>
                  </w:tcBorders>
                  <w:vAlign w:val="center"/>
                </w:tcPr>
                <w:p w14:paraId="74058A16">
                  <w:pPr>
                    <w:pStyle w:val="73"/>
                  </w:pPr>
                  <w:r>
                    <w:t>DA047</w:t>
                  </w:r>
                </w:p>
                <w:p w14:paraId="2FD4AA77">
                  <w:pPr>
                    <w:pStyle w:val="73"/>
                  </w:pPr>
                  <w:r>
                    <w:t>4#焙烧烟气出口2024.03.04</w:t>
                  </w:r>
                </w:p>
              </w:tc>
              <w:tc>
                <w:tcPr>
                  <w:tcW w:w="946" w:type="pct"/>
                  <w:tcBorders>
                    <w:tl2br w:val="nil"/>
                    <w:tr2bl w:val="nil"/>
                  </w:tcBorders>
                  <w:vAlign w:val="center"/>
                </w:tcPr>
                <w:p w14:paraId="1636E360">
                  <w:pPr>
                    <w:pStyle w:val="73"/>
                  </w:pPr>
                  <w:r>
                    <w:t>标况排气量</w:t>
                  </w:r>
                </w:p>
              </w:tc>
              <w:tc>
                <w:tcPr>
                  <w:tcW w:w="489" w:type="pct"/>
                  <w:tcBorders>
                    <w:tl2br w:val="nil"/>
                    <w:tr2bl w:val="nil"/>
                  </w:tcBorders>
                  <w:vAlign w:val="center"/>
                </w:tcPr>
                <w:p w14:paraId="446C92C1">
                  <w:pPr>
                    <w:pStyle w:val="73"/>
                  </w:pPr>
                  <w:r>
                    <w:rPr>
                      <w:rFonts w:hint="eastAsia"/>
                    </w:rPr>
                    <w:t>Nm</w:t>
                  </w:r>
                  <w:r>
                    <w:rPr>
                      <w:rFonts w:hint="eastAsia"/>
                      <w:vertAlign w:val="superscript"/>
                    </w:rPr>
                    <w:t>3</w:t>
                  </w:r>
                  <w:r>
                    <w:t>/h</w:t>
                  </w:r>
                </w:p>
              </w:tc>
              <w:tc>
                <w:tcPr>
                  <w:tcW w:w="555" w:type="pct"/>
                  <w:tcBorders>
                    <w:tl2br w:val="nil"/>
                    <w:tr2bl w:val="nil"/>
                  </w:tcBorders>
                  <w:vAlign w:val="center"/>
                </w:tcPr>
                <w:p w14:paraId="1217A9CC">
                  <w:pPr>
                    <w:pStyle w:val="73"/>
                  </w:pPr>
                  <w:r>
                    <w:t>211268</w:t>
                  </w:r>
                </w:p>
              </w:tc>
              <w:tc>
                <w:tcPr>
                  <w:tcW w:w="555" w:type="pct"/>
                  <w:tcBorders>
                    <w:tl2br w:val="nil"/>
                    <w:tr2bl w:val="nil"/>
                  </w:tcBorders>
                  <w:vAlign w:val="center"/>
                </w:tcPr>
                <w:p w14:paraId="64F0E7C1">
                  <w:pPr>
                    <w:pStyle w:val="73"/>
                  </w:pPr>
                  <w:r>
                    <w:t>214654</w:t>
                  </w:r>
                </w:p>
              </w:tc>
              <w:tc>
                <w:tcPr>
                  <w:tcW w:w="555" w:type="pct"/>
                  <w:tcBorders>
                    <w:tl2br w:val="nil"/>
                    <w:tr2bl w:val="nil"/>
                  </w:tcBorders>
                  <w:vAlign w:val="center"/>
                </w:tcPr>
                <w:p w14:paraId="51311135">
                  <w:pPr>
                    <w:pStyle w:val="73"/>
                  </w:pPr>
                  <w:r>
                    <w:t>230605</w:t>
                  </w:r>
                </w:p>
              </w:tc>
              <w:tc>
                <w:tcPr>
                  <w:tcW w:w="556" w:type="pct"/>
                  <w:tcBorders>
                    <w:tl2br w:val="nil"/>
                    <w:tr2bl w:val="nil"/>
                  </w:tcBorders>
                  <w:vAlign w:val="center"/>
                </w:tcPr>
                <w:p w14:paraId="7B5B366B">
                  <w:pPr>
                    <w:pStyle w:val="73"/>
                  </w:pPr>
                  <w:r>
                    <w:t>/</w:t>
                  </w:r>
                </w:p>
              </w:tc>
              <w:tc>
                <w:tcPr>
                  <w:tcW w:w="352" w:type="pct"/>
                  <w:tcBorders>
                    <w:tl2br w:val="nil"/>
                    <w:tr2bl w:val="nil"/>
                  </w:tcBorders>
                  <w:vAlign w:val="center"/>
                </w:tcPr>
                <w:p w14:paraId="51DB34B5">
                  <w:pPr>
                    <w:pStyle w:val="73"/>
                  </w:pPr>
                </w:p>
              </w:tc>
              <w:tc>
                <w:tcPr>
                  <w:tcW w:w="319" w:type="pct"/>
                  <w:tcBorders>
                    <w:tl2br w:val="nil"/>
                    <w:tr2bl w:val="nil"/>
                  </w:tcBorders>
                  <w:vAlign w:val="center"/>
                </w:tcPr>
                <w:p w14:paraId="27261174">
                  <w:pPr>
                    <w:pStyle w:val="73"/>
                  </w:pPr>
                </w:p>
              </w:tc>
            </w:tr>
            <w:tr w14:paraId="54CCB3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7036DF07">
                  <w:pPr>
                    <w:pStyle w:val="73"/>
                  </w:pPr>
                </w:p>
              </w:tc>
              <w:tc>
                <w:tcPr>
                  <w:tcW w:w="946" w:type="pct"/>
                  <w:tcBorders>
                    <w:tl2br w:val="nil"/>
                    <w:tr2bl w:val="nil"/>
                  </w:tcBorders>
                  <w:vAlign w:val="center"/>
                </w:tcPr>
                <w:p w14:paraId="1CBF1EE6">
                  <w:pPr>
                    <w:pStyle w:val="73"/>
                  </w:pPr>
                  <w:r>
                    <w:t>氧含量</w:t>
                  </w:r>
                </w:p>
              </w:tc>
              <w:tc>
                <w:tcPr>
                  <w:tcW w:w="489" w:type="pct"/>
                  <w:tcBorders>
                    <w:tl2br w:val="nil"/>
                    <w:tr2bl w:val="nil"/>
                  </w:tcBorders>
                  <w:vAlign w:val="center"/>
                </w:tcPr>
                <w:p w14:paraId="39605BDB">
                  <w:pPr>
                    <w:pStyle w:val="73"/>
                  </w:pPr>
                  <w:r>
                    <w:t>%</w:t>
                  </w:r>
                </w:p>
              </w:tc>
              <w:tc>
                <w:tcPr>
                  <w:tcW w:w="555" w:type="pct"/>
                  <w:tcBorders>
                    <w:tl2br w:val="nil"/>
                    <w:tr2bl w:val="nil"/>
                  </w:tcBorders>
                  <w:vAlign w:val="center"/>
                </w:tcPr>
                <w:p w14:paraId="0D6C701C">
                  <w:pPr>
                    <w:pStyle w:val="73"/>
                  </w:pPr>
                  <w:r>
                    <w:t>6.2</w:t>
                  </w:r>
                </w:p>
              </w:tc>
              <w:tc>
                <w:tcPr>
                  <w:tcW w:w="555" w:type="pct"/>
                  <w:tcBorders>
                    <w:tl2br w:val="nil"/>
                    <w:tr2bl w:val="nil"/>
                  </w:tcBorders>
                  <w:vAlign w:val="center"/>
                </w:tcPr>
                <w:p w14:paraId="288F048D">
                  <w:pPr>
                    <w:pStyle w:val="73"/>
                  </w:pPr>
                  <w:r>
                    <w:t>6.0</w:t>
                  </w:r>
                </w:p>
              </w:tc>
              <w:tc>
                <w:tcPr>
                  <w:tcW w:w="555" w:type="pct"/>
                  <w:tcBorders>
                    <w:tl2br w:val="nil"/>
                    <w:tr2bl w:val="nil"/>
                  </w:tcBorders>
                  <w:vAlign w:val="center"/>
                </w:tcPr>
                <w:p w14:paraId="50DE4C3C">
                  <w:pPr>
                    <w:pStyle w:val="73"/>
                  </w:pPr>
                  <w:r>
                    <w:t>6.0</w:t>
                  </w:r>
                </w:p>
              </w:tc>
              <w:tc>
                <w:tcPr>
                  <w:tcW w:w="556" w:type="pct"/>
                  <w:tcBorders>
                    <w:tl2br w:val="nil"/>
                    <w:tr2bl w:val="nil"/>
                  </w:tcBorders>
                  <w:vAlign w:val="center"/>
                </w:tcPr>
                <w:p w14:paraId="556D0A1F">
                  <w:pPr>
                    <w:pStyle w:val="73"/>
                  </w:pPr>
                  <w:r>
                    <w:t>6.2</w:t>
                  </w:r>
                </w:p>
              </w:tc>
              <w:tc>
                <w:tcPr>
                  <w:tcW w:w="352" w:type="pct"/>
                  <w:tcBorders>
                    <w:tl2br w:val="nil"/>
                    <w:tr2bl w:val="nil"/>
                  </w:tcBorders>
                  <w:vAlign w:val="center"/>
                </w:tcPr>
                <w:p w14:paraId="1729BBEB">
                  <w:pPr>
                    <w:pStyle w:val="73"/>
                  </w:pPr>
                </w:p>
              </w:tc>
              <w:tc>
                <w:tcPr>
                  <w:tcW w:w="319" w:type="pct"/>
                  <w:tcBorders>
                    <w:tl2br w:val="nil"/>
                    <w:tr2bl w:val="nil"/>
                  </w:tcBorders>
                  <w:vAlign w:val="center"/>
                </w:tcPr>
                <w:p w14:paraId="33AAEA54">
                  <w:pPr>
                    <w:pStyle w:val="73"/>
                  </w:pPr>
                </w:p>
              </w:tc>
            </w:tr>
            <w:tr w14:paraId="5F194E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5D214D44">
                  <w:pPr>
                    <w:pStyle w:val="73"/>
                  </w:pPr>
                </w:p>
              </w:tc>
              <w:tc>
                <w:tcPr>
                  <w:tcW w:w="946" w:type="pct"/>
                  <w:tcBorders>
                    <w:tl2br w:val="nil"/>
                    <w:tr2bl w:val="nil"/>
                  </w:tcBorders>
                  <w:vAlign w:val="center"/>
                </w:tcPr>
                <w:p w14:paraId="0BBECD31">
                  <w:pPr>
                    <w:pStyle w:val="73"/>
                  </w:pPr>
                  <w:r>
                    <w:t>颗粒物实测浓度</w:t>
                  </w:r>
                </w:p>
              </w:tc>
              <w:tc>
                <w:tcPr>
                  <w:tcW w:w="489" w:type="pct"/>
                  <w:tcBorders>
                    <w:tl2br w:val="nil"/>
                    <w:tr2bl w:val="nil"/>
                  </w:tcBorders>
                  <w:vAlign w:val="center"/>
                </w:tcPr>
                <w:p w14:paraId="3781017C">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4472DE75">
                  <w:pPr>
                    <w:pStyle w:val="73"/>
                  </w:pPr>
                  <w:r>
                    <w:rPr>
                      <w:rFonts w:hint="eastAsia"/>
                    </w:rPr>
                    <w:t>2.3</w:t>
                  </w:r>
                </w:p>
              </w:tc>
              <w:tc>
                <w:tcPr>
                  <w:tcW w:w="555" w:type="pct"/>
                  <w:tcBorders>
                    <w:tl2br w:val="nil"/>
                    <w:tr2bl w:val="nil"/>
                  </w:tcBorders>
                  <w:vAlign w:val="center"/>
                </w:tcPr>
                <w:p w14:paraId="510E9171">
                  <w:pPr>
                    <w:pStyle w:val="73"/>
                  </w:pPr>
                  <w:r>
                    <w:rPr>
                      <w:rFonts w:hint="eastAsia"/>
                    </w:rPr>
                    <w:t>1.7</w:t>
                  </w:r>
                </w:p>
              </w:tc>
              <w:tc>
                <w:tcPr>
                  <w:tcW w:w="555" w:type="pct"/>
                  <w:tcBorders>
                    <w:tl2br w:val="nil"/>
                    <w:tr2bl w:val="nil"/>
                  </w:tcBorders>
                  <w:vAlign w:val="center"/>
                </w:tcPr>
                <w:p w14:paraId="654E0F6F">
                  <w:pPr>
                    <w:pStyle w:val="73"/>
                  </w:pPr>
                  <w:r>
                    <w:rPr>
                      <w:rFonts w:hint="eastAsia"/>
                    </w:rPr>
                    <w:t>2.1</w:t>
                  </w:r>
                </w:p>
              </w:tc>
              <w:tc>
                <w:tcPr>
                  <w:tcW w:w="556" w:type="pct"/>
                  <w:tcBorders>
                    <w:tl2br w:val="nil"/>
                    <w:tr2bl w:val="nil"/>
                  </w:tcBorders>
                  <w:vAlign w:val="center"/>
                </w:tcPr>
                <w:p w14:paraId="20AADAA5">
                  <w:pPr>
                    <w:pStyle w:val="73"/>
                  </w:pPr>
                  <w:r>
                    <w:rPr>
                      <w:rFonts w:hint="eastAsia"/>
                    </w:rPr>
                    <w:t>2.3</w:t>
                  </w:r>
                </w:p>
              </w:tc>
              <w:tc>
                <w:tcPr>
                  <w:tcW w:w="352" w:type="pct"/>
                  <w:tcBorders>
                    <w:tl2br w:val="nil"/>
                    <w:tr2bl w:val="nil"/>
                  </w:tcBorders>
                  <w:vAlign w:val="center"/>
                </w:tcPr>
                <w:p w14:paraId="3D1A658A">
                  <w:pPr>
                    <w:pStyle w:val="73"/>
                  </w:pPr>
                </w:p>
              </w:tc>
              <w:tc>
                <w:tcPr>
                  <w:tcW w:w="319" w:type="pct"/>
                  <w:tcBorders>
                    <w:tl2br w:val="nil"/>
                    <w:tr2bl w:val="nil"/>
                  </w:tcBorders>
                  <w:vAlign w:val="center"/>
                </w:tcPr>
                <w:p w14:paraId="28ACE3A5">
                  <w:pPr>
                    <w:pStyle w:val="73"/>
                  </w:pPr>
                </w:p>
              </w:tc>
            </w:tr>
            <w:tr w14:paraId="11517D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3B0327F1">
                  <w:pPr>
                    <w:pStyle w:val="73"/>
                  </w:pPr>
                </w:p>
              </w:tc>
              <w:tc>
                <w:tcPr>
                  <w:tcW w:w="946" w:type="pct"/>
                  <w:tcBorders>
                    <w:tl2br w:val="nil"/>
                    <w:tr2bl w:val="nil"/>
                  </w:tcBorders>
                  <w:vAlign w:val="center"/>
                </w:tcPr>
                <w:p w14:paraId="339603B3">
                  <w:pPr>
                    <w:pStyle w:val="73"/>
                  </w:pPr>
                  <w:r>
                    <w:t>颗粒物折算浓度</w:t>
                  </w:r>
                </w:p>
              </w:tc>
              <w:tc>
                <w:tcPr>
                  <w:tcW w:w="489" w:type="pct"/>
                  <w:tcBorders>
                    <w:tl2br w:val="nil"/>
                    <w:tr2bl w:val="nil"/>
                  </w:tcBorders>
                  <w:vAlign w:val="center"/>
                </w:tcPr>
                <w:p w14:paraId="0B499D09">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0D175F5E">
                  <w:pPr>
                    <w:pStyle w:val="73"/>
                  </w:pPr>
                  <w:r>
                    <w:rPr>
                      <w:rFonts w:hint="eastAsia"/>
                    </w:rPr>
                    <w:t>2.0</w:t>
                  </w:r>
                </w:p>
              </w:tc>
              <w:tc>
                <w:tcPr>
                  <w:tcW w:w="555" w:type="pct"/>
                  <w:tcBorders>
                    <w:tl2br w:val="nil"/>
                    <w:tr2bl w:val="nil"/>
                  </w:tcBorders>
                  <w:vAlign w:val="center"/>
                </w:tcPr>
                <w:p w14:paraId="305958F5">
                  <w:pPr>
                    <w:pStyle w:val="73"/>
                  </w:pPr>
                  <w:r>
                    <w:rPr>
                      <w:rFonts w:hint="eastAsia"/>
                    </w:rPr>
                    <w:t>1.5</w:t>
                  </w:r>
                </w:p>
              </w:tc>
              <w:tc>
                <w:tcPr>
                  <w:tcW w:w="555" w:type="pct"/>
                  <w:tcBorders>
                    <w:tl2br w:val="nil"/>
                    <w:tr2bl w:val="nil"/>
                  </w:tcBorders>
                  <w:vAlign w:val="center"/>
                </w:tcPr>
                <w:p w14:paraId="4F59D711">
                  <w:pPr>
                    <w:pStyle w:val="73"/>
                  </w:pPr>
                  <w:r>
                    <w:rPr>
                      <w:rFonts w:hint="eastAsia"/>
                    </w:rPr>
                    <w:t>1.8</w:t>
                  </w:r>
                </w:p>
              </w:tc>
              <w:tc>
                <w:tcPr>
                  <w:tcW w:w="556" w:type="pct"/>
                  <w:tcBorders>
                    <w:tl2br w:val="nil"/>
                    <w:tr2bl w:val="nil"/>
                  </w:tcBorders>
                  <w:vAlign w:val="center"/>
                </w:tcPr>
                <w:p w14:paraId="5C16DF4F">
                  <w:pPr>
                    <w:pStyle w:val="73"/>
                  </w:pPr>
                  <w:r>
                    <w:rPr>
                      <w:rFonts w:hint="eastAsia"/>
                    </w:rPr>
                    <w:t>2.0</w:t>
                  </w:r>
                </w:p>
              </w:tc>
              <w:tc>
                <w:tcPr>
                  <w:tcW w:w="352" w:type="pct"/>
                  <w:tcBorders>
                    <w:tl2br w:val="nil"/>
                    <w:tr2bl w:val="nil"/>
                  </w:tcBorders>
                  <w:vAlign w:val="center"/>
                </w:tcPr>
                <w:p w14:paraId="6368377E">
                  <w:pPr>
                    <w:pStyle w:val="73"/>
                  </w:pPr>
                  <w:r>
                    <w:rPr>
                      <w:rFonts w:hint="eastAsia"/>
                    </w:rPr>
                    <w:t>10</w:t>
                  </w:r>
                </w:p>
              </w:tc>
              <w:tc>
                <w:tcPr>
                  <w:tcW w:w="319" w:type="pct"/>
                  <w:tcBorders>
                    <w:tl2br w:val="nil"/>
                    <w:tr2bl w:val="nil"/>
                  </w:tcBorders>
                  <w:vAlign w:val="center"/>
                </w:tcPr>
                <w:p w14:paraId="78051CD6">
                  <w:pPr>
                    <w:pStyle w:val="73"/>
                  </w:pPr>
                  <w:r>
                    <w:rPr>
                      <w:rFonts w:hint="eastAsia"/>
                    </w:rPr>
                    <w:t>达标</w:t>
                  </w:r>
                </w:p>
              </w:tc>
            </w:tr>
            <w:tr w14:paraId="3C91BA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658544F1">
                  <w:pPr>
                    <w:pStyle w:val="73"/>
                  </w:pPr>
                </w:p>
              </w:tc>
              <w:tc>
                <w:tcPr>
                  <w:tcW w:w="946" w:type="pct"/>
                  <w:tcBorders>
                    <w:tl2br w:val="nil"/>
                    <w:tr2bl w:val="nil"/>
                  </w:tcBorders>
                  <w:vAlign w:val="center"/>
                </w:tcPr>
                <w:p w14:paraId="4825D888">
                  <w:pPr>
                    <w:pStyle w:val="73"/>
                  </w:pPr>
                  <w:r>
                    <w:t>二氧化硫实测浓度</w:t>
                  </w:r>
                </w:p>
              </w:tc>
              <w:tc>
                <w:tcPr>
                  <w:tcW w:w="489" w:type="pct"/>
                  <w:tcBorders>
                    <w:tl2br w:val="nil"/>
                    <w:tr2bl w:val="nil"/>
                  </w:tcBorders>
                  <w:vAlign w:val="center"/>
                </w:tcPr>
                <w:p w14:paraId="742A2B2B">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4A226932">
                  <w:pPr>
                    <w:pStyle w:val="73"/>
                  </w:pPr>
                  <w:r>
                    <w:t>2</w:t>
                  </w:r>
                </w:p>
              </w:tc>
              <w:tc>
                <w:tcPr>
                  <w:tcW w:w="555" w:type="pct"/>
                  <w:tcBorders>
                    <w:tl2br w:val="nil"/>
                    <w:tr2bl w:val="nil"/>
                  </w:tcBorders>
                  <w:vAlign w:val="center"/>
                </w:tcPr>
                <w:p w14:paraId="543DABE7">
                  <w:pPr>
                    <w:pStyle w:val="73"/>
                  </w:pPr>
                  <w:r>
                    <w:t>4</w:t>
                  </w:r>
                </w:p>
              </w:tc>
              <w:tc>
                <w:tcPr>
                  <w:tcW w:w="555" w:type="pct"/>
                  <w:tcBorders>
                    <w:tl2br w:val="nil"/>
                    <w:tr2bl w:val="nil"/>
                  </w:tcBorders>
                  <w:vAlign w:val="center"/>
                </w:tcPr>
                <w:p w14:paraId="26EB4469">
                  <w:pPr>
                    <w:pStyle w:val="73"/>
                  </w:pPr>
                  <w:r>
                    <w:t>4</w:t>
                  </w:r>
                </w:p>
              </w:tc>
              <w:tc>
                <w:tcPr>
                  <w:tcW w:w="556" w:type="pct"/>
                  <w:tcBorders>
                    <w:tl2br w:val="nil"/>
                    <w:tr2bl w:val="nil"/>
                  </w:tcBorders>
                  <w:vAlign w:val="center"/>
                </w:tcPr>
                <w:p w14:paraId="1929D270">
                  <w:pPr>
                    <w:pStyle w:val="73"/>
                  </w:pPr>
                  <w:r>
                    <w:t>4</w:t>
                  </w:r>
                </w:p>
              </w:tc>
              <w:tc>
                <w:tcPr>
                  <w:tcW w:w="352" w:type="pct"/>
                  <w:tcBorders>
                    <w:tl2br w:val="nil"/>
                    <w:tr2bl w:val="nil"/>
                  </w:tcBorders>
                  <w:vAlign w:val="center"/>
                </w:tcPr>
                <w:p w14:paraId="2B77D145">
                  <w:pPr>
                    <w:pStyle w:val="73"/>
                  </w:pPr>
                </w:p>
              </w:tc>
              <w:tc>
                <w:tcPr>
                  <w:tcW w:w="319" w:type="pct"/>
                  <w:tcBorders>
                    <w:tl2br w:val="nil"/>
                    <w:tr2bl w:val="nil"/>
                  </w:tcBorders>
                  <w:vAlign w:val="center"/>
                </w:tcPr>
                <w:p w14:paraId="066D1D02">
                  <w:pPr>
                    <w:pStyle w:val="73"/>
                  </w:pPr>
                </w:p>
              </w:tc>
            </w:tr>
            <w:tr w14:paraId="43EEC8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2CC24FCC">
                  <w:pPr>
                    <w:pStyle w:val="73"/>
                  </w:pPr>
                </w:p>
              </w:tc>
              <w:tc>
                <w:tcPr>
                  <w:tcW w:w="946" w:type="pct"/>
                  <w:tcBorders>
                    <w:tl2br w:val="nil"/>
                    <w:tr2bl w:val="nil"/>
                  </w:tcBorders>
                  <w:vAlign w:val="center"/>
                </w:tcPr>
                <w:p w14:paraId="06D00973">
                  <w:pPr>
                    <w:pStyle w:val="73"/>
                  </w:pPr>
                  <w:r>
                    <w:t>二氧化硫折算浓度</w:t>
                  </w:r>
                </w:p>
              </w:tc>
              <w:tc>
                <w:tcPr>
                  <w:tcW w:w="489" w:type="pct"/>
                  <w:tcBorders>
                    <w:tl2br w:val="nil"/>
                    <w:tr2bl w:val="nil"/>
                  </w:tcBorders>
                  <w:vAlign w:val="center"/>
                </w:tcPr>
                <w:p w14:paraId="5EE4AF6D">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0CBD0676">
                  <w:pPr>
                    <w:pStyle w:val="73"/>
                  </w:pPr>
                  <w:r>
                    <w:t>ND</w:t>
                  </w:r>
                </w:p>
              </w:tc>
              <w:tc>
                <w:tcPr>
                  <w:tcW w:w="555" w:type="pct"/>
                  <w:tcBorders>
                    <w:tl2br w:val="nil"/>
                    <w:tr2bl w:val="nil"/>
                  </w:tcBorders>
                  <w:vAlign w:val="center"/>
                </w:tcPr>
                <w:p w14:paraId="16FBD905">
                  <w:pPr>
                    <w:pStyle w:val="73"/>
                  </w:pPr>
                  <w:r>
                    <w:t>3</w:t>
                  </w:r>
                </w:p>
              </w:tc>
              <w:tc>
                <w:tcPr>
                  <w:tcW w:w="555" w:type="pct"/>
                  <w:tcBorders>
                    <w:tl2br w:val="nil"/>
                    <w:tr2bl w:val="nil"/>
                  </w:tcBorders>
                  <w:vAlign w:val="center"/>
                </w:tcPr>
                <w:p w14:paraId="2EDA9C55">
                  <w:pPr>
                    <w:pStyle w:val="73"/>
                  </w:pPr>
                  <w:r>
                    <w:t>3</w:t>
                  </w:r>
                </w:p>
              </w:tc>
              <w:tc>
                <w:tcPr>
                  <w:tcW w:w="556" w:type="pct"/>
                  <w:tcBorders>
                    <w:tl2br w:val="nil"/>
                    <w:tr2bl w:val="nil"/>
                  </w:tcBorders>
                  <w:vAlign w:val="center"/>
                </w:tcPr>
                <w:p w14:paraId="1A9BC239">
                  <w:pPr>
                    <w:pStyle w:val="73"/>
                  </w:pPr>
                  <w:r>
                    <w:t>3</w:t>
                  </w:r>
                </w:p>
              </w:tc>
              <w:tc>
                <w:tcPr>
                  <w:tcW w:w="352" w:type="pct"/>
                  <w:tcBorders>
                    <w:tl2br w:val="nil"/>
                    <w:tr2bl w:val="nil"/>
                  </w:tcBorders>
                  <w:vAlign w:val="center"/>
                </w:tcPr>
                <w:p w14:paraId="153AFE33">
                  <w:pPr>
                    <w:pStyle w:val="73"/>
                  </w:pPr>
                  <w:r>
                    <w:rPr>
                      <w:rFonts w:hint="eastAsia"/>
                    </w:rPr>
                    <w:t>50</w:t>
                  </w:r>
                </w:p>
              </w:tc>
              <w:tc>
                <w:tcPr>
                  <w:tcW w:w="319" w:type="pct"/>
                  <w:tcBorders>
                    <w:tl2br w:val="nil"/>
                    <w:tr2bl w:val="nil"/>
                  </w:tcBorders>
                  <w:vAlign w:val="center"/>
                </w:tcPr>
                <w:p w14:paraId="5BF68B1E">
                  <w:pPr>
                    <w:pStyle w:val="73"/>
                  </w:pPr>
                  <w:r>
                    <w:rPr>
                      <w:rFonts w:hint="eastAsia"/>
                    </w:rPr>
                    <w:t>达标</w:t>
                  </w:r>
                </w:p>
              </w:tc>
            </w:tr>
            <w:tr w14:paraId="2D2D5F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6A927CB9">
                  <w:pPr>
                    <w:pStyle w:val="73"/>
                  </w:pPr>
                </w:p>
              </w:tc>
              <w:tc>
                <w:tcPr>
                  <w:tcW w:w="946" w:type="pct"/>
                  <w:tcBorders>
                    <w:tl2br w:val="nil"/>
                    <w:tr2bl w:val="nil"/>
                  </w:tcBorders>
                  <w:vAlign w:val="center"/>
                </w:tcPr>
                <w:p w14:paraId="7970DB2B">
                  <w:pPr>
                    <w:pStyle w:val="73"/>
                  </w:pPr>
                  <w:r>
                    <w:t>氮氧化物实测浓度</w:t>
                  </w:r>
                </w:p>
              </w:tc>
              <w:tc>
                <w:tcPr>
                  <w:tcW w:w="489" w:type="pct"/>
                  <w:tcBorders>
                    <w:tl2br w:val="nil"/>
                    <w:tr2bl w:val="nil"/>
                  </w:tcBorders>
                  <w:vAlign w:val="center"/>
                </w:tcPr>
                <w:p w14:paraId="560C29E9">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7DDB44AE">
                  <w:pPr>
                    <w:pStyle w:val="73"/>
                  </w:pPr>
                  <w:r>
                    <w:t>4</w:t>
                  </w:r>
                </w:p>
              </w:tc>
              <w:tc>
                <w:tcPr>
                  <w:tcW w:w="555" w:type="pct"/>
                  <w:tcBorders>
                    <w:tl2br w:val="nil"/>
                    <w:tr2bl w:val="nil"/>
                  </w:tcBorders>
                  <w:vAlign w:val="center"/>
                </w:tcPr>
                <w:p w14:paraId="6BBF5BA1">
                  <w:pPr>
                    <w:pStyle w:val="73"/>
                  </w:pPr>
                  <w:r>
                    <w:t>6</w:t>
                  </w:r>
                </w:p>
              </w:tc>
              <w:tc>
                <w:tcPr>
                  <w:tcW w:w="555" w:type="pct"/>
                  <w:tcBorders>
                    <w:tl2br w:val="nil"/>
                    <w:tr2bl w:val="nil"/>
                  </w:tcBorders>
                  <w:vAlign w:val="center"/>
                </w:tcPr>
                <w:p w14:paraId="69638785">
                  <w:pPr>
                    <w:pStyle w:val="73"/>
                  </w:pPr>
                  <w:r>
                    <w:t>4</w:t>
                  </w:r>
                </w:p>
              </w:tc>
              <w:tc>
                <w:tcPr>
                  <w:tcW w:w="556" w:type="pct"/>
                  <w:tcBorders>
                    <w:tl2br w:val="nil"/>
                    <w:tr2bl w:val="nil"/>
                  </w:tcBorders>
                  <w:vAlign w:val="center"/>
                </w:tcPr>
                <w:p w14:paraId="2B046CFF">
                  <w:pPr>
                    <w:pStyle w:val="73"/>
                  </w:pPr>
                  <w:r>
                    <w:t>6</w:t>
                  </w:r>
                </w:p>
              </w:tc>
              <w:tc>
                <w:tcPr>
                  <w:tcW w:w="352" w:type="pct"/>
                  <w:tcBorders>
                    <w:tl2br w:val="nil"/>
                    <w:tr2bl w:val="nil"/>
                  </w:tcBorders>
                  <w:vAlign w:val="center"/>
                </w:tcPr>
                <w:p w14:paraId="6ACFCCC4">
                  <w:pPr>
                    <w:pStyle w:val="73"/>
                  </w:pPr>
                </w:p>
              </w:tc>
              <w:tc>
                <w:tcPr>
                  <w:tcW w:w="319" w:type="pct"/>
                  <w:tcBorders>
                    <w:tl2br w:val="nil"/>
                    <w:tr2bl w:val="nil"/>
                  </w:tcBorders>
                  <w:vAlign w:val="center"/>
                </w:tcPr>
                <w:p w14:paraId="7643B90E">
                  <w:pPr>
                    <w:pStyle w:val="73"/>
                  </w:pPr>
                </w:p>
              </w:tc>
            </w:tr>
            <w:tr w14:paraId="696114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29C52ED0">
                  <w:pPr>
                    <w:pStyle w:val="73"/>
                  </w:pPr>
                </w:p>
              </w:tc>
              <w:tc>
                <w:tcPr>
                  <w:tcW w:w="946" w:type="pct"/>
                  <w:tcBorders>
                    <w:tl2br w:val="nil"/>
                    <w:tr2bl w:val="nil"/>
                  </w:tcBorders>
                  <w:vAlign w:val="center"/>
                </w:tcPr>
                <w:p w14:paraId="63E0404B">
                  <w:pPr>
                    <w:pStyle w:val="73"/>
                  </w:pPr>
                  <w:r>
                    <w:t>氮氧化物折算浓度</w:t>
                  </w:r>
                </w:p>
              </w:tc>
              <w:tc>
                <w:tcPr>
                  <w:tcW w:w="489" w:type="pct"/>
                  <w:tcBorders>
                    <w:tl2br w:val="nil"/>
                    <w:tr2bl w:val="nil"/>
                  </w:tcBorders>
                  <w:vAlign w:val="center"/>
                </w:tcPr>
                <w:p w14:paraId="1613964B">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6E5179FF">
                  <w:pPr>
                    <w:pStyle w:val="73"/>
                  </w:pPr>
                  <w:r>
                    <w:t>4</w:t>
                  </w:r>
                </w:p>
              </w:tc>
              <w:tc>
                <w:tcPr>
                  <w:tcW w:w="555" w:type="pct"/>
                  <w:tcBorders>
                    <w:tl2br w:val="nil"/>
                    <w:tr2bl w:val="nil"/>
                  </w:tcBorders>
                  <w:vAlign w:val="center"/>
                </w:tcPr>
                <w:p w14:paraId="033EE957">
                  <w:pPr>
                    <w:pStyle w:val="73"/>
                  </w:pPr>
                  <w:r>
                    <w:t>5</w:t>
                  </w:r>
                </w:p>
              </w:tc>
              <w:tc>
                <w:tcPr>
                  <w:tcW w:w="555" w:type="pct"/>
                  <w:tcBorders>
                    <w:tl2br w:val="nil"/>
                    <w:tr2bl w:val="nil"/>
                  </w:tcBorders>
                  <w:vAlign w:val="center"/>
                </w:tcPr>
                <w:p w14:paraId="4F57430D">
                  <w:pPr>
                    <w:pStyle w:val="73"/>
                  </w:pPr>
                  <w:r>
                    <w:t>3</w:t>
                  </w:r>
                </w:p>
              </w:tc>
              <w:tc>
                <w:tcPr>
                  <w:tcW w:w="556" w:type="pct"/>
                  <w:tcBorders>
                    <w:tl2br w:val="nil"/>
                    <w:tr2bl w:val="nil"/>
                  </w:tcBorders>
                  <w:vAlign w:val="center"/>
                </w:tcPr>
                <w:p w14:paraId="1E3160B4">
                  <w:pPr>
                    <w:pStyle w:val="73"/>
                  </w:pPr>
                  <w:r>
                    <w:t>5</w:t>
                  </w:r>
                </w:p>
              </w:tc>
              <w:tc>
                <w:tcPr>
                  <w:tcW w:w="352" w:type="pct"/>
                  <w:tcBorders>
                    <w:tl2br w:val="nil"/>
                    <w:tr2bl w:val="nil"/>
                  </w:tcBorders>
                  <w:vAlign w:val="center"/>
                </w:tcPr>
                <w:p w14:paraId="6E0CFA48">
                  <w:pPr>
                    <w:pStyle w:val="73"/>
                  </w:pPr>
                  <w:r>
                    <w:rPr>
                      <w:rFonts w:hint="eastAsia"/>
                    </w:rPr>
                    <w:t>50</w:t>
                  </w:r>
                </w:p>
              </w:tc>
              <w:tc>
                <w:tcPr>
                  <w:tcW w:w="319" w:type="pct"/>
                  <w:tcBorders>
                    <w:tl2br w:val="nil"/>
                    <w:tr2bl w:val="nil"/>
                  </w:tcBorders>
                  <w:vAlign w:val="center"/>
                </w:tcPr>
                <w:p w14:paraId="3A50AF5A">
                  <w:pPr>
                    <w:pStyle w:val="73"/>
                  </w:pPr>
                  <w:r>
                    <w:rPr>
                      <w:rFonts w:hint="eastAsia"/>
                    </w:rPr>
                    <w:t>达标</w:t>
                  </w:r>
                </w:p>
              </w:tc>
            </w:tr>
            <w:tr w14:paraId="0AE32F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29DB3956">
                  <w:pPr>
                    <w:pStyle w:val="73"/>
                  </w:pPr>
                </w:p>
              </w:tc>
              <w:tc>
                <w:tcPr>
                  <w:tcW w:w="946" w:type="pct"/>
                  <w:tcBorders>
                    <w:tl2br w:val="nil"/>
                    <w:tr2bl w:val="nil"/>
                  </w:tcBorders>
                  <w:vAlign w:val="center"/>
                </w:tcPr>
                <w:p w14:paraId="76A45E4D">
                  <w:pPr>
                    <w:pStyle w:val="73"/>
                  </w:pPr>
                  <w:r>
                    <w:t>氨实测浓度</w:t>
                  </w:r>
                </w:p>
              </w:tc>
              <w:tc>
                <w:tcPr>
                  <w:tcW w:w="489" w:type="pct"/>
                  <w:tcBorders>
                    <w:tl2br w:val="nil"/>
                    <w:tr2bl w:val="nil"/>
                  </w:tcBorders>
                  <w:vAlign w:val="center"/>
                </w:tcPr>
                <w:p w14:paraId="3501A3B2">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62896E49">
                  <w:pPr>
                    <w:pStyle w:val="73"/>
                  </w:pPr>
                  <w:r>
                    <w:t>0.40</w:t>
                  </w:r>
                </w:p>
              </w:tc>
              <w:tc>
                <w:tcPr>
                  <w:tcW w:w="555" w:type="pct"/>
                  <w:tcBorders>
                    <w:tl2br w:val="nil"/>
                    <w:tr2bl w:val="nil"/>
                  </w:tcBorders>
                  <w:vAlign w:val="center"/>
                </w:tcPr>
                <w:p w14:paraId="2E64B84F">
                  <w:pPr>
                    <w:pStyle w:val="73"/>
                  </w:pPr>
                  <w:r>
                    <w:t>0.46</w:t>
                  </w:r>
                </w:p>
              </w:tc>
              <w:tc>
                <w:tcPr>
                  <w:tcW w:w="555" w:type="pct"/>
                  <w:tcBorders>
                    <w:tl2br w:val="nil"/>
                    <w:tr2bl w:val="nil"/>
                  </w:tcBorders>
                  <w:vAlign w:val="center"/>
                </w:tcPr>
                <w:p w14:paraId="610BA26B">
                  <w:pPr>
                    <w:pStyle w:val="73"/>
                  </w:pPr>
                  <w:r>
                    <w:t>0.62</w:t>
                  </w:r>
                </w:p>
              </w:tc>
              <w:tc>
                <w:tcPr>
                  <w:tcW w:w="556" w:type="pct"/>
                  <w:tcBorders>
                    <w:tl2br w:val="nil"/>
                    <w:tr2bl w:val="nil"/>
                  </w:tcBorders>
                  <w:vAlign w:val="center"/>
                </w:tcPr>
                <w:p w14:paraId="1A82A3B5">
                  <w:pPr>
                    <w:pStyle w:val="73"/>
                  </w:pPr>
                  <w:r>
                    <w:t>0.62</w:t>
                  </w:r>
                </w:p>
              </w:tc>
              <w:tc>
                <w:tcPr>
                  <w:tcW w:w="352" w:type="pct"/>
                  <w:tcBorders>
                    <w:tl2br w:val="nil"/>
                    <w:tr2bl w:val="nil"/>
                  </w:tcBorders>
                  <w:vAlign w:val="center"/>
                </w:tcPr>
                <w:p w14:paraId="1D89B1BE">
                  <w:pPr>
                    <w:pStyle w:val="73"/>
                  </w:pPr>
                </w:p>
              </w:tc>
              <w:tc>
                <w:tcPr>
                  <w:tcW w:w="319" w:type="pct"/>
                  <w:tcBorders>
                    <w:tl2br w:val="nil"/>
                    <w:tr2bl w:val="nil"/>
                  </w:tcBorders>
                  <w:vAlign w:val="center"/>
                </w:tcPr>
                <w:p w14:paraId="242E98DB">
                  <w:pPr>
                    <w:pStyle w:val="73"/>
                  </w:pPr>
                </w:p>
              </w:tc>
            </w:tr>
            <w:tr w14:paraId="7D2457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0EB5E703">
                  <w:pPr>
                    <w:pStyle w:val="73"/>
                  </w:pPr>
                </w:p>
              </w:tc>
              <w:tc>
                <w:tcPr>
                  <w:tcW w:w="946" w:type="pct"/>
                  <w:tcBorders>
                    <w:tl2br w:val="nil"/>
                    <w:tr2bl w:val="nil"/>
                  </w:tcBorders>
                  <w:vAlign w:val="center"/>
                </w:tcPr>
                <w:p w14:paraId="088C0C0B">
                  <w:pPr>
                    <w:pStyle w:val="73"/>
                  </w:pPr>
                  <w:r>
                    <w:t>氨折算浓度</w:t>
                  </w:r>
                </w:p>
              </w:tc>
              <w:tc>
                <w:tcPr>
                  <w:tcW w:w="489" w:type="pct"/>
                  <w:tcBorders>
                    <w:tl2br w:val="nil"/>
                    <w:tr2bl w:val="nil"/>
                  </w:tcBorders>
                  <w:vAlign w:val="center"/>
                </w:tcPr>
                <w:p w14:paraId="29F864A7">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32B0F983">
                  <w:pPr>
                    <w:pStyle w:val="73"/>
                  </w:pPr>
                  <w:r>
                    <w:rPr>
                      <w:rFonts w:hint="eastAsia"/>
                    </w:rPr>
                    <w:t>0.35</w:t>
                  </w:r>
                </w:p>
              </w:tc>
              <w:tc>
                <w:tcPr>
                  <w:tcW w:w="555" w:type="pct"/>
                  <w:tcBorders>
                    <w:tl2br w:val="nil"/>
                    <w:tr2bl w:val="nil"/>
                  </w:tcBorders>
                  <w:vAlign w:val="center"/>
                </w:tcPr>
                <w:p w14:paraId="58CD90CD">
                  <w:pPr>
                    <w:pStyle w:val="73"/>
                  </w:pPr>
                  <w:r>
                    <w:rPr>
                      <w:rFonts w:hint="eastAsia"/>
                    </w:rPr>
                    <w:t>0.40</w:t>
                  </w:r>
                </w:p>
              </w:tc>
              <w:tc>
                <w:tcPr>
                  <w:tcW w:w="555" w:type="pct"/>
                  <w:tcBorders>
                    <w:tl2br w:val="nil"/>
                    <w:tr2bl w:val="nil"/>
                  </w:tcBorders>
                  <w:vAlign w:val="center"/>
                </w:tcPr>
                <w:p w14:paraId="6967A24D">
                  <w:pPr>
                    <w:pStyle w:val="73"/>
                  </w:pPr>
                  <w:r>
                    <w:rPr>
                      <w:rFonts w:hint="eastAsia"/>
                    </w:rPr>
                    <w:t>0.54</w:t>
                  </w:r>
                </w:p>
              </w:tc>
              <w:tc>
                <w:tcPr>
                  <w:tcW w:w="556" w:type="pct"/>
                  <w:tcBorders>
                    <w:tl2br w:val="nil"/>
                    <w:tr2bl w:val="nil"/>
                  </w:tcBorders>
                  <w:vAlign w:val="center"/>
                </w:tcPr>
                <w:p w14:paraId="60802031">
                  <w:pPr>
                    <w:pStyle w:val="73"/>
                  </w:pPr>
                  <w:r>
                    <w:rPr>
                      <w:rFonts w:hint="eastAsia"/>
                    </w:rPr>
                    <w:t>0.54</w:t>
                  </w:r>
                </w:p>
              </w:tc>
              <w:tc>
                <w:tcPr>
                  <w:tcW w:w="352" w:type="pct"/>
                  <w:tcBorders>
                    <w:tl2br w:val="nil"/>
                    <w:tr2bl w:val="nil"/>
                  </w:tcBorders>
                  <w:vAlign w:val="center"/>
                </w:tcPr>
                <w:p w14:paraId="7232508E">
                  <w:pPr>
                    <w:pStyle w:val="73"/>
                  </w:pPr>
                  <w:r>
                    <w:rPr>
                      <w:rFonts w:hint="eastAsia"/>
                    </w:rPr>
                    <w:t>2.5</w:t>
                  </w:r>
                </w:p>
              </w:tc>
              <w:tc>
                <w:tcPr>
                  <w:tcW w:w="319" w:type="pct"/>
                  <w:tcBorders>
                    <w:tl2br w:val="nil"/>
                    <w:tr2bl w:val="nil"/>
                  </w:tcBorders>
                  <w:vAlign w:val="center"/>
                </w:tcPr>
                <w:p w14:paraId="3C51B666">
                  <w:pPr>
                    <w:pStyle w:val="73"/>
                  </w:pPr>
                  <w:r>
                    <w:rPr>
                      <w:rFonts w:hint="eastAsia"/>
                    </w:rPr>
                    <w:t>达标</w:t>
                  </w:r>
                </w:p>
              </w:tc>
            </w:tr>
            <w:tr w14:paraId="50890B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restart"/>
                  <w:tcBorders>
                    <w:tl2br w:val="nil"/>
                    <w:tr2bl w:val="nil"/>
                  </w:tcBorders>
                  <w:vAlign w:val="center"/>
                </w:tcPr>
                <w:p w14:paraId="7E4A75C3">
                  <w:pPr>
                    <w:pStyle w:val="73"/>
                  </w:pPr>
                  <w:r>
                    <w:t>DA0</w:t>
                  </w:r>
                  <w:r>
                    <w:rPr>
                      <w:rFonts w:hint="eastAsia"/>
                    </w:rPr>
                    <w:t>40</w:t>
                  </w:r>
                </w:p>
                <w:p w14:paraId="0C996BD4">
                  <w:pPr>
                    <w:pStyle w:val="73"/>
                  </w:pPr>
                  <w:r>
                    <w:t>1#转运站废气出口202</w:t>
                  </w:r>
                  <w:r>
                    <w:rPr>
                      <w:rFonts w:hint="eastAsia"/>
                    </w:rPr>
                    <w:t>4.</w:t>
                  </w:r>
                  <w:r>
                    <w:t>0</w:t>
                  </w:r>
                  <w:r>
                    <w:rPr>
                      <w:rFonts w:hint="eastAsia"/>
                    </w:rPr>
                    <w:t>3</w:t>
                  </w:r>
                  <w:r>
                    <w:t>.</w:t>
                  </w:r>
                  <w:r>
                    <w:rPr>
                      <w:rFonts w:hint="eastAsia"/>
                    </w:rPr>
                    <w:t>03</w:t>
                  </w:r>
                </w:p>
              </w:tc>
              <w:tc>
                <w:tcPr>
                  <w:tcW w:w="946" w:type="pct"/>
                  <w:tcBorders>
                    <w:tl2br w:val="nil"/>
                    <w:tr2bl w:val="nil"/>
                  </w:tcBorders>
                  <w:vAlign w:val="center"/>
                </w:tcPr>
                <w:p w14:paraId="2DA33B70">
                  <w:pPr>
                    <w:pStyle w:val="73"/>
                  </w:pPr>
                  <w:r>
                    <w:t>标况排气量</w:t>
                  </w:r>
                </w:p>
              </w:tc>
              <w:tc>
                <w:tcPr>
                  <w:tcW w:w="489" w:type="pct"/>
                  <w:tcBorders>
                    <w:tl2br w:val="nil"/>
                    <w:tr2bl w:val="nil"/>
                  </w:tcBorders>
                  <w:vAlign w:val="center"/>
                </w:tcPr>
                <w:p w14:paraId="23CB0924">
                  <w:pPr>
                    <w:pStyle w:val="73"/>
                  </w:pPr>
                  <w:r>
                    <w:rPr>
                      <w:rFonts w:hint="eastAsia"/>
                    </w:rPr>
                    <w:t>Nm</w:t>
                  </w:r>
                  <w:r>
                    <w:rPr>
                      <w:rFonts w:hint="eastAsia"/>
                      <w:vertAlign w:val="superscript"/>
                    </w:rPr>
                    <w:t>3</w:t>
                  </w:r>
                  <w:r>
                    <w:t>/h</w:t>
                  </w:r>
                </w:p>
              </w:tc>
              <w:tc>
                <w:tcPr>
                  <w:tcW w:w="555" w:type="pct"/>
                  <w:tcBorders>
                    <w:tl2br w:val="nil"/>
                    <w:tr2bl w:val="nil"/>
                  </w:tcBorders>
                  <w:vAlign w:val="center"/>
                </w:tcPr>
                <w:p w14:paraId="4471B845">
                  <w:pPr>
                    <w:pStyle w:val="73"/>
                  </w:pPr>
                  <w:r>
                    <w:t>16494</w:t>
                  </w:r>
                </w:p>
              </w:tc>
              <w:tc>
                <w:tcPr>
                  <w:tcW w:w="555" w:type="pct"/>
                  <w:tcBorders>
                    <w:tl2br w:val="nil"/>
                    <w:tr2bl w:val="nil"/>
                  </w:tcBorders>
                  <w:vAlign w:val="center"/>
                </w:tcPr>
                <w:p w14:paraId="1AFD3FD0">
                  <w:pPr>
                    <w:pStyle w:val="73"/>
                  </w:pPr>
                  <w:r>
                    <w:t>16819</w:t>
                  </w:r>
                </w:p>
              </w:tc>
              <w:tc>
                <w:tcPr>
                  <w:tcW w:w="555" w:type="pct"/>
                  <w:tcBorders>
                    <w:tl2br w:val="nil"/>
                    <w:tr2bl w:val="nil"/>
                  </w:tcBorders>
                  <w:vAlign w:val="center"/>
                </w:tcPr>
                <w:p w14:paraId="0B6C1FBD">
                  <w:pPr>
                    <w:pStyle w:val="73"/>
                  </w:pPr>
                  <w:r>
                    <w:t>16858</w:t>
                  </w:r>
                </w:p>
              </w:tc>
              <w:tc>
                <w:tcPr>
                  <w:tcW w:w="556" w:type="pct"/>
                  <w:tcBorders>
                    <w:tl2br w:val="nil"/>
                    <w:tr2bl w:val="nil"/>
                  </w:tcBorders>
                  <w:vAlign w:val="center"/>
                </w:tcPr>
                <w:p w14:paraId="5B4B8101">
                  <w:pPr>
                    <w:pStyle w:val="73"/>
                  </w:pPr>
                  <w:r>
                    <w:t>/</w:t>
                  </w:r>
                </w:p>
              </w:tc>
              <w:tc>
                <w:tcPr>
                  <w:tcW w:w="352" w:type="pct"/>
                  <w:tcBorders>
                    <w:tl2br w:val="nil"/>
                    <w:tr2bl w:val="nil"/>
                  </w:tcBorders>
                  <w:vAlign w:val="center"/>
                </w:tcPr>
                <w:p w14:paraId="4D2A4AD2">
                  <w:pPr>
                    <w:pStyle w:val="73"/>
                  </w:pPr>
                </w:p>
              </w:tc>
              <w:tc>
                <w:tcPr>
                  <w:tcW w:w="319" w:type="pct"/>
                  <w:tcBorders>
                    <w:tl2br w:val="nil"/>
                    <w:tr2bl w:val="nil"/>
                  </w:tcBorders>
                  <w:vAlign w:val="center"/>
                </w:tcPr>
                <w:p w14:paraId="34DA825F">
                  <w:pPr>
                    <w:pStyle w:val="73"/>
                  </w:pPr>
                </w:p>
              </w:tc>
            </w:tr>
            <w:tr w14:paraId="485BA7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249C067B">
                  <w:pPr>
                    <w:pStyle w:val="73"/>
                  </w:pPr>
                </w:p>
              </w:tc>
              <w:tc>
                <w:tcPr>
                  <w:tcW w:w="946" w:type="pct"/>
                  <w:tcBorders>
                    <w:tl2br w:val="nil"/>
                    <w:tr2bl w:val="nil"/>
                  </w:tcBorders>
                  <w:vAlign w:val="center"/>
                </w:tcPr>
                <w:p w14:paraId="2EAEB5CE">
                  <w:pPr>
                    <w:pStyle w:val="73"/>
                  </w:pPr>
                  <w:r>
                    <w:t>颗粒物浓度</w:t>
                  </w:r>
                </w:p>
              </w:tc>
              <w:tc>
                <w:tcPr>
                  <w:tcW w:w="489" w:type="pct"/>
                  <w:tcBorders>
                    <w:tl2br w:val="nil"/>
                    <w:tr2bl w:val="nil"/>
                  </w:tcBorders>
                  <w:vAlign w:val="center"/>
                </w:tcPr>
                <w:p w14:paraId="3F17932A">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2373C125">
                  <w:pPr>
                    <w:pStyle w:val="73"/>
                  </w:pPr>
                  <w:r>
                    <w:t>1.6</w:t>
                  </w:r>
                </w:p>
              </w:tc>
              <w:tc>
                <w:tcPr>
                  <w:tcW w:w="555" w:type="pct"/>
                  <w:tcBorders>
                    <w:tl2br w:val="nil"/>
                    <w:tr2bl w:val="nil"/>
                  </w:tcBorders>
                  <w:vAlign w:val="center"/>
                </w:tcPr>
                <w:p w14:paraId="727E997A">
                  <w:pPr>
                    <w:pStyle w:val="73"/>
                  </w:pPr>
                  <w:r>
                    <w:t>1.7</w:t>
                  </w:r>
                </w:p>
              </w:tc>
              <w:tc>
                <w:tcPr>
                  <w:tcW w:w="555" w:type="pct"/>
                  <w:tcBorders>
                    <w:tl2br w:val="nil"/>
                    <w:tr2bl w:val="nil"/>
                  </w:tcBorders>
                  <w:vAlign w:val="center"/>
                </w:tcPr>
                <w:p w14:paraId="7752B398">
                  <w:pPr>
                    <w:pStyle w:val="73"/>
                  </w:pPr>
                  <w:r>
                    <w:t>2.0</w:t>
                  </w:r>
                </w:p>
              </w:tc>
              <w:tc>
                <w:tcPr>
                  <w:tcW w:w="556" w:type="pct"/>
                  <w:tcBorders>
                    <w:tl2br w:val="nil"/>
                    <w:tr2bl w:val="nil"/>
                  </w:tcBorders>
                  <w:vAlign w:val="center"/>
                </w:tcPr>
                <w:p w14:paraId="7329FBB2">
                  <w:pPr>
                    <w:pStyle w:val="73"/>
                  </w:pPr>
                  <w:r>
                    <w:t>2.0</w:t>
                  </w:r>
                </w:p>
              </w:tc>
              <w:tc>
                <w:tcPr>
                  <w:tcW w:w="352" w:type="pct"/>
                  <w:tcBorders>
                    <w:tl2br w:val="nil"/>
                    <w:tr2bl w:val="nil"/>
                  </w:tcBorders>
                  <w:vAlign w:val="center"/>
                </w:tcPr>
                <w:p w14:paraId="7834AE1C">
                  <w:pPr>
                    <w:pStyle w:val="73"/>
                  </w:pPr>
                  <w:r>
                    <w:rPr>
                      <w:rFonts w:hint="eastAsia"/>
                    </w:rPr>
                    <w:t>10</w:t>
                  </w:r>
                </w:p>
              </w:tc>
              <w:tc>
                <w:tcPr>
                  <w:tcW w:w="319" w:type="pct"/>
                  <w:tcBorders>
                    <w:tl2br w:val="nil"/>
                    <w:tr2bl w:val="nil"/>
                  </w:tcBorders>
                  <w:vAlign w:val="center"/>
                </w:tcPr>
                <w:p w14:paraId="2BCA8714">
                  <w:pPr>
                    <w:pStyle w:val="73"/>
                  </w:pPr>
                  <w:r>
                    <w:rPr>
                      <w:rFonts w:hint="eastAsia"/>
                    </w:rPr>
                    <w:t>达标</w:t>
                  </w:r>
                </w:p>
              </w:tc>
            </w:tr>
            <w:tr w14:paraId="077F6C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restart"/>
                  <w:tcBorders>
                    <w:tl2br w:val="nil"/>
                    <w:tr2bl w:val="nil"/>
                  </w:tcBorders>
                  <w:vAlign w:val="center"/>
                </w:tcPr>
                <w:p w14:paraId="761B3E18">
                  <w:pPr>
                    <w:pStyle w:val="73"/>
                  </w:pPr>
                  <w:r>
                    <w:t>DA0</w:t>
                  </w:r>
                  <w:r>
                    <w:rPr>
                      <w:rFonts w:hint="eastAsia"/>
                    </w:rPr>
                    <w:t>41</w:t>
                  </w:r>
                </w:p>
                <w:p w14:paraId="1D9E695E">
                  <w:pPr>
                    <w:pStyle w:val="73"/>
                  </w:pPr>
                  <w:r>
                    <w:t>2#转运站废气出口202</w:t>
                  </w:r>
                  <w:r>
                    <w:rPr>
                      <w:rFonts w:hint="eastAsia"/>
                    </w:rPr>
                    <w:t>4.</w:t>
                  </w:r>
                  <w:r>
                    <w:t>0</w:t>
                  </w:r>
                  <w:r>
                    <w:rPr>
                      <w:rFonts w:hint="eastAsia"/>
                    </w:rPr>
                    <w:t>3</w:t>
                  </w:r>
                  <w:r>
                    <w:t>.</w:t>
                  </w:r>
                  <w:r>
                    <w:rPr>
                      <w:rFonts w:hint="eastAsia"/>
                    </w:rPr>
                    <w:t>03</w:t>
                  </w:r>
                </w:p>
              </w:tc>
              <w:tc>
                <w:tcPr>
                  <w:tcW w:w="946" w:type="pct"/>
                  <w:tcBorders>
                    <w:tl2br w:val="nil"/>
                    <w:tr2bl w:val="nil"/>
                  </w:tcBorders>
                  <w:vAlign w:val="center"/>
                </w:tcPr>
                <w:p w14:paraId="08C8942C">
                  <w:pPr>
                    <w:pStyle w:val="73"/>
                  </w:pPr>
                  <w:r>
                    <w:t>标况排气量</w:t>
                  </w:r>
                </w:p>
              </w:tc>
              <w:tc>
                <w:tcPr>
                  <w:tcW w:w="489" w:type="pct"/>
                  <w:tcBorders>
                    <w:tl2br w:val="nil"/>
                    <w:tr2bl w:val="nil"/>
                  </w:tcBorders>
                  <w:vAlign w:val="center"/>
                </w:tcPr>
                <w:p w14:paraId="5840FF0E">
                  <w:pPr>
                    <w:pStyle w:val="73"/>
                  </w:pPr>
                  <w:r>
                    <w:rPr>
                      <w:rFonts w:hint="eastAsia"/>
                    </w:rPr>
                    <w:t>Nm</w:t>
                  </w:r>
                  <w:r>
                    <w:rPr>
                      <w:rFonts w:hint="eastAsia"/>
                      <w:vertAlign w:val="superscript"/>
                    </w:rPr>
                    <w:t>3</w:t>
                  </w:r>
                  <w:r>
                    <w:t>/h</w:t>
                  </w:r>
                </w:p>
              </w:tc>
              <w:tc>
                <w:tcPr>
                  <w:tcW w:w="555" w:type="pct"/>
                  <w:tcBorders>
                    <w:tl2br w:val="nil"/>
                    <w:tr2bl w:val="nil"/>
                  </w:tcBorders>
                  <w:vAlign w:val="center"/>
                </w:tcPr>
                <w:p w14:paraId="2E1160C2">
                  <w:pPr>
                    <w:pStyle w:val="73"/>
                  </w:pPr>
                  <w:r>
                    <w:t>16918</w:t>
                  </w:r>
                </w:p>
              </w:tc>
              <w:tc>
                <w:tcPr>
                  <w:tcW w:w="555" w:type="pct"/>
                  <w:tcBorders>
                    <w:tl2br w:val="nil"/>
                    <w:tr2bl w:val="nil"/>
                  </w:tcBorders>
                  <w:vAlign w:val="center"/>
                </w:tcPr>
                <w:p w14:paraId="24397E4D">
                  <w:pPr>
                    <w:pStyle w:val="73"/>
                  </w:pPr>
                  <w:r>
                    <w:t>16477</w:t>
                  </w:r>
                </w:p>
              </w:tc>
              <w:tc>
                <w:tcPr>
                  <w:tcW w:w="555" w:type="pct"/>
                  <w:tcBorders>
                    <w:tl2br w:val="nil"/>
                    <w:tr2bl w:val="nil"/>
                  </w:tcBorders>
                  <w:vAlign w:val="center"/>
                </w:tcPr>
                <w:p w14:paraId="1A6CAA63">
                  <w:pPr>
                    <w:pStyle w:val="73"/>
                  </w:pPr>
                  <w:r>
                    <w:t>16148</w:t>
                  </w:r>
                </w:p>
              </w:tc>
              <w:tc>
                <w:tcPr>
                  <w:tcW w:w="556" w:type="pct"/>
                  <w:tcBorders>
                    <w:tl2br w:val="nil"/>
                    <w:tr2bl w:val="nil"/>
                  </w:tcBorders>
                  <w:vAlign w:val="center"/>
                </w:tcPr>
                <w:p w14:paraId="244980D7">
                  <w:pPr>
                    <w:pStyle w:val="73"/>
                  </w:pPr>
                  <w:r>
                    <w:t>/</w:t>
                  </w:r>
                </w:p>
              </w:tc>
              <w:tc>
                <w:tcPr>
                  <w:tcW w:w="352" w:type="pct"/>
                  <w:tcBorders>
                    <w:tl2br w:val="nil"/>
                    <w:tr2bl w:val="nil"/>
                  </w:tcBorders>
                  <w:vAlign w:val="center"/>
                </w:tcPr>
                <w:p w14:paraId="4E75664A">
                  <w:pPr>
                    <w:pStyle w:val="73"/>
                  </w:pPr>
                </w:p>
              </w:tc>
              <w:tc>
                <w:tcPr>
                  <w:tcW w:w="319" w:type="pct"/>
                  <w:tcBorders>
                    <w:tl2br w:val="nil"/>
                    <w:tr2bl w:val="nil"/>
                  </w:tcBorders>
                  <w:vAlign w:val="center"/>
                </w:tcPr>
                <w:p w14:paraId="68423085">
                  <w:pPr>
                    <w:pStyle w:val="73"/>
                  </w:pPr>
                </w:p>
              </w:tc>
            </w:tr>
            <w:tr w14:paraId="62ABE8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23055C09">
                  <w:pPr>
                    <w:pStyle w:val="73"/>
                  </w:pPr>
                </w:p>
              </w:tc>
              <w:tc>
                <w:tcPr>
                  <w:tcW w:w="946" w:type="pct"/>
                  <w:tcBorders>
                    <w:tl2br w:val="nil"/>
                    <w:tr2bl w:val="nil"/>
                  </w:tcBorders>
                  <w:vAlign w:val="center"/>
                </w:tcPr>
                <w:p w14:paraId="3638B3C8">
                  <w:pPr>
                    <w:pStyle w:val="73"/>
                  </w:pPr>
                  <w:r>
                    <w:t>颗粒物浓度</w:t>
                  </w:r>
                </w:p>
              </w:tc>
              <w:tc>
                <w:tcPr>
                  <w:tcW w:w="489" w:type="pct"/>
                  <w:tcBorders>
                    <w:tl2br w:val="nil"/>
                    <w:tr2bl w:val="nil"/>
                  </w:tcBorders>
                  <w:vAlign w:val="center"/>
                </w:tcPr>
                <w:p w14:paraId="77C3A22E">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24649D4E">
                  <w:pPr>
                    <w:pStyle w:val="73"/>
                  </w:pPr>
                  <w:r>
                    <w:t>2.3</w:t>
                  </w:r>
                </w:p>
              </w:tc>
              <w:tc>
                <w:tcPr>
                  <w:tcW w:w="555" w:type="pct"/>
                  <w:tcBorders>
                    <w:tl2br w:val="nil"/>
                    <w:tr2bl w:val="nil"/>
                  </w:tcBorders>
                  <w:vAlign w:val="center"/>
                </w:tcPr>
                <w:p w14:paraId="70355A87">
                  <w:pPr>
                    <w:pStyle w:val="73"/>
                  </w:pPr>
                  <w:r>
                    <w:t>2.1</w:t>
                  </w:r>
                </w:p>
              </w:tc>
              <w:tc>
                <w:tcPr>
                  <w:tcW w:w="555" w:type="pct"/>
                  <w:tcBorders>
                    <w:tl2br w:val="nil"/>
                    <w:tr2bl w:val="nil"/>
                  </w:tcBorders>
                  <w:vAlign w:val="center"/>
                </w:tcPr>
                <w:p w14:paraId="1C73EA59">
                  <w:pPr>
                    <w:pStyle w:val="73"/>
                  </w:pPr>
                  <w:r>
                    <w:t>2.0</w:t>
                  </w:r>
                </w:p>
              </w:tc>
              <w:tc>
                <w:tcPr>
                  <w:tcW w:w="556" w:type="pct"/>
                  <w:tcBorders>
                    <w:tl2br w:val="nil"/>
                    <w:tr2bl w:val="nil"/>
                  </w:tcBorders>
                  <w:vAlign w:val="center"/>
                </w:tcPr>
                <w:p w14:paraId="544D57B3">
                  <w:pPr>
                    <w:pStyle w:val="73"/>
                  </w:pPr>
                  <w:r>
                    <w:t>2.3</w:t>
                  </w:r>
                </w:p>
              </w:tc>
              <w:tc>
                <w:tcPr>
                  <w:tcW w:w="352" w:type="pct"/>
                  <w:tcBorders>
                    <w:tl2br w:val="nil"/>
                    <w:tr2bl w:val="nil"/>
                  </w:tcBorders>
                  <w:vAlign w:val="center"/>
                </w:tcPr>
                <w:p w14:paraId="6EDD2648">
                  <w:pPr>
                    <w:pStyle w:val="73"/>
                    <w:rPr>
                      <w:rFonts w:cstheme="minorBidi"/>
                    </w:rPr>
                  </w:pPr>
                  <w:r>
                    <w:rPr>
                      <w:rFonts w:hint="eastAsia"/>
                    </w:rPr>
                    <w:t>10</w:t>
                  </w:r>
                </w:p>
              </w:tc>
              <w:tc>
                <w:tcPr>
                  <w:tcW w:w="319" w:type="pct"/>
                  <w:tcBorders>
                    <w:tl2br w:val="nil"/>
                    <w:tr2bl w:val="nil"/>
                  </w:tcBorders>
                  <w:vAlign w:val="center"/>
                </w:tcPr>
                <w:p w14:paraId="5DD0F069">
                  <w:pPr>
                    <w:pStyle w:val="73"/>
                    <w:rPr>
                      <w:rFonts w:cstheme="minorBidi"/>
                    </w:rPr>
                  </w:pPr>
                  <w:r>
                    <w:rPr>
                      <w:rFonts w:hint="eastAsia"/>
                    </w:rPr>
                    <w:t>达标</w:t>
                  </w:r>
                </w:p>
              </w:tc>
            </w:tr>
            <w:tr w14:paraId="63A5F6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restart"/>
                  <w:tcBorders>
                    <w:tl2br w:val="nil"/>
                    <w:tr2bl w:val="nil"/>
                  </w:tcBorders>
                  <w:vAlign w:val="center"/>
                </w:tcPr>
                <w:p w14:paraId="7F86A12C">
                  <w:pPr>
                    <w:pStyle w:val="73"/>
                  </w:pPr>
                  <w:r>
                    <w:t>DA0</w:t>
                  </w:r>
                  <w:r>
                    <w:rPr>
                      <w:rFonts w:hint="eastAsia"/>
                    </w:rPr>
                    <w:t>52</w:t>
                  </w:r>
                </w:p>
                <w:p w14:paraId="49A1D35C">
                  <w:pPr>
                    <w:pStyle w:val="73"/>
                  </w:pPr>
                  <w:r>
                    <w:t>筛分破碎废气1出口202</w:t>
                  </w:r>
                  <w:r>
                    <w:rPr>
                      <w:rFonts w:hint="eastAsia"/>
                    </w:rPr>
                    <w:t>4.</w:t>
                  </w:r>
                  <w:r>
                    <w:t>0</w:t>
                  </w:r>
                  <w:r>
                    <w:rPr>
                      <w:rFonts w:hint="eastAsia"/>
                    </w:rPr>
                    <w:t>3</w:t>
                  </w:r>
                  <w:r>
                    <w:t>.</w:t>
                  </w:r>
                  <w:r>
                    <w:rPr>
                      <w:rFonts w:hint="eastAsia"/>
                    </w:rPr>
                    <w:t>03</w:t>
                  </w:r>
                </w:p>
              </w:tc>
              <w:tc>
                <w:tcPr>
                  <w:tcW w:w="946" w:type="pct"/>
                  <w:tcBorders>
                    <w:tl2br w:val="nil"/>
                    <w:tr2bl w:val="nil"/>
                  </w:tcBorders>
                  <w:vAlign w:val="center"/>
                </w:tcPr>
                <w:p w14:paraId="553DE764">
                  <w:pPr>
                    <w:pStyle w:val="73"/>
                  </w:pPr>
                  <w:r>
                    <w:t>标况排气量</w:t>
                  </w:r>
                </w:p>
              </w:tc>
              <w:tc>
                <w:tcPr>
                  <w:tcW w:w="489" w:type="pct"/>
                  <w:tcBorders>
                    <w:tl2br w:val="nil"/>
                    <w:tr2bl w:val="nil"/>
                  </w:tcBorders>
                  <w:vAlign w:val="center"/>
                </w:tcPr>
                <w:p w14:paraId="1E19963F">
                  <w:pPr>
                    <w:pStyle w:val="73"/>
                  </w:pPr>
                  <w:r>
                    <w:rPr>
                      <w:rFonts w:hint="eastAsia"/>
                    </w:rPr>
                    <w:t>Nm</w:t>
                  </w:r>
                  <w:r>
                    <w:rPr>
                      <w:rFonts w:hint="eastAsia"/>
                      <w:vertAlign w:val="superscript"/>
                    </w:rPr>
                    <w:t>3</w:t>
                  </w:r>
                  <w:r>
                    <w:t>/h</w:t>
                  </w:r>
                </w:p>
              </w:tc>
              <w:tc>
                <w:tcPr>
                  <w:tcW w:w="555" w:type="pct"/>
                  <w:tcBorders>
                    <w:tl2br w:val="nil"/>
                    <w:tr2bl w:val="nil"/>
                  </w:tcBorders>
                  <w:vAlign w:val="center"/>
                </w:tcPr>
                <w:p w14:paraId="4FC379E2">
                  <w:pPr>
                    <w:pStyle w:val="73"/>
                  </w:pPr>
                  <w:r>
                    <w:t>47873</w:t>
                  </w:r>
                </w:p>
              </w:tc>
              <w:tc>
                <w:tcPr>
                  <w:tcW w:w="555" w:type="pct"/>
                  <w:tcBorders>
                    <w:tl2br w:val="nil"/>
                    <w:tr2bl w:val="nil"/>
                  </w:tcBorders>
                  <w:vAlign w:val="center"/>
                </w:tcPr>
                <w:p w14:paraId="7564B1FB">
                  <w:pPr>
                    <w:pStyle w:val="73"/>
                  </w:pPr>
                  <w:r>
                    <w:t>49202</w:t>
                  </w:r>
                </w:p>
              </w:tc>
              <w:tc>
                <w:tcPr>
                  <w:tcW w:w="555" w:type="pct"/>
                  <w:tcBorders>
                    <w:tl2br w:val="nil"/>
                    <w:tr2bl w:val="nil"/>
                  </w:tcBorders>
                  <w:vAlign w:val="center"/>
                </w:tcPr>
                <w:p w14:paraId="1419BA9B">
                  <w:pPr>
                    <w:pStyle w:val="73"/>
                  </w:pPr>
                  <w:r>
                    <w:t>49923</w:t>
                  </w:r>
                </w:p>
              </w:tc>
              <w:tc>
                <w:tcPr>
                  <w:tcW w:w="556" w:type="pct"/>
                  <w:tcBorders>
                    <w:tl2br w:val="nil"/>
                    <w:tr2bl w:val="nil"/>
                  </w:tcBorders>
                  <w:vAlign w:val="center"/>
                </w:tcPr>
                <w:p w14:paraId="5F6D9EEC">
                  <w:pPr>
                    <w:pStyle w:val="73"/>
                  </w:pPr>
                  <w:r>
                    <w:t>/</w:t>
                  </w:r>
                </w:p>
              </w:tc>
              <w:tc>
                <w:tcPr>
                  <w:tcW w:w="352" w:type="pct"/>
                  <w:tcBorders>
                    <w:tl2br w:val="nil"/>
                    <w:tr2bl w:val="nil"/>
                  </w:tcBorders>
                  <w:vAlign w:val="center"/>
                </w:tcPr>
                <w:p w14:paraId="1954D630">
                  <w:pPr>
                    <w:pStyle w:val="73"/>
                  </w:pPr>
                </w:p>
              </w:tc>
              <w:tc>
                <w:tcPr>
                  <w:tcW w:w="319" w:type="pct"/>
                  <w:tcBorders>
                    <w:tl2br w:val="nil"/>
                    <w:tr2bl w:val="nil"/>
                  </w:tcBorders>
                  <w:vAlign w:val="center"/>
                </w:tcPr>
                <w:p w14:paraId="0C15F854">
                  <w:pPr>
                    <w:pStyle w:val="73"/>
                  </w:pPr>
                </w:p>
              </w:tc>
            </w:tr>
            <w:tr w14:paraId="4E7BF9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4B28CAB8">
                  <w:pPr>
                    <w:pStyle w:val="73"/>
                  </w:pPr>
                </w:p>
              </w:tc>
              <w:tc>
                <w:tcPr>
                  <w:tcW w:w="946" w:type="pct"/>
                  <w:tcBorders>
                    <w:tl2br w:val="nil"/>
                    <w:tr2bl w:val="nil"/>
                  </w:tcBorders>
                  <w:vAlign w:val="center"/>
                </w:tcPr>
                <w:p w14:paraId="66083B9D">
                  <w:pPr>
                    <w:pStyle w:val="73"/>
                  </w:pPr>
                  <w:r>
                    <w:t>颗粒物浓度</w:t>
                  </w:r>
                </w:p>
              </w:tc>
              <w:tc>
                <w:tcPr>
                  <w:tcW w:w="489" w:type="pct"/>
                  <w:tcBorders>
                    <w:tl2br w:val="nil"/>
                    <w:tr2bl w:val="nil"/>
                  </w:tcBorders>
                  <w:vAlign w:val="center"/>
                </w:tcPr>
                <w:p w14:paraId="6EC174C8">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04F2F5E7">
                  <w:pPr>
                    <w:pStyle w:val="73"/>
                  </w:pPr>
                  <w:r>
                    <w:t>1.9</w:t>
                  </w:r>
                </w:p>
              </w:tc>
              <w:tc>
                <w:tcPr>
                  <w:tcW w:w="555" w:type="pct"/>
                  <w:tcBorders>
                    <w:tl2br w:val="nil"/>
                    <w:tr2bl w:val="nil"/>
                  </w:tcBorders>
                  <w:vAlign w:val="center"/>
                </w:tcPr>
                <w:p w14:paraId="4478AA1E">
                  <w:pPr>
                    <w:pStyle w:val="73"/>
                  </w:pPr>
                  <w:r>
                    <w:t>1.7</w:t>
                  </w:r>
                </w:p>
              </w:tc>
              <w:tc>
                <w:tcPr>
                  <w:tcW w:w="555" w:type="pct"/>
                  <w:tcBorders>
                    <w:tl2br w:val="nil"/>
                    <w:tr2bl w:val="nil"/>
                  </w:tcBorders>
                  <w:vAlign w:val="center"/>
                </w:tcPr>
                <w:p w14:paraId="077E78E7">
                  <w:pPr>
                    <w:pStyle w:val="73"/>
                  </w:pPr>
                  <w:r>
                    <w:t>2.2</w:t>
                  </w:r>
                </w:p>
              </w:tc>
              <w:tc>
                <w:tcPr>
                  <w:tcW w:w="556" w:type="pct"/>
                  <w:tcBorders>
                    <w:tl2br w:val="nil"/>
                    <w:tr2bl w:val="nil"/>
                  </w:tcBorders>
                  <w:vAlign w:val="center"/>
                </w:tcPr>
                <w:p w14:paraId="6D5780F2">
                  <w:pPr>
                    <w:pStyle w:val="73"/>
                  </w:pPr>
                  <w:r>
                    <w:t>2.2</w:t>
                  </w:r>
                </w:p>
              </w:tc>
              <w:tc>
                <w:tcPr>
                  <w:tcW w:w="352" w:type="pct"/>
                  <w:tcBorders>
                    <w:tl2br w:val="nil"/>
                    <w:tr2bl w:val="nil"/>
                  </w:tcBorders>
                  <w:vAlign w:val="center"/>
                </w:tcPr>
                <w:p w14:paraId="4E9D2514">
                  <w:pPr>
                    <w:pStyle w:val="73"/>
                    <w:rPr>
                      <w:rFonts w:cstheme="minorBidi"/>
                    </w:rPr>
                  </w:pPr>
                  <w:r>
                    <w:rPr>
                      <w:rFonts w:hint="eastAsia"/>
                    </w:rPr>
                    <w:t>10</w:t>
                  </w:r>
                </w:p>
              </w:tc>
              <w:tc>
                <w:tcPr>
                  <w:tcW w:w="319" w:type="pct"/>
                  <w:tcBorders>
                    <w:tl2br w:val="nil"/>
                    <w:tr2bl w:val="nil"/>
                  </w:tcBorders>
                  <w:vAlign w:val="center"/>
                </w:tcPr>
                <w:p w14:paraId="3D09A5C1">
                  <w:pPr>
                    <w:pStyle w:val="73"/>
                    <w:rPr>
                      <w:rFonts w:cstheme="minorBidi"/>
                    </w:rPr>
                  </w:pPr>
                  <w:r>
                    <w:rPr>
                      <w:rFonts w:hint="eastAsia"/>
                    </w:rPr>
                    <w:t>达标</w:t>
                  </w:r>
                </w:p>
              </w:tc>
            </w:tr>
            <w:tr w14:paraId="3F78DB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restart"/>
                  <w:tcBorders>
                    <w:tl2br w:val="nil"/>
                    <w:tr2bl w:val="nil"/>
                  </w:tcBorders>
                  <w:vAlign w:val="center"/>
                </w:tcPr>
                <w:p w14:paraId="0B0C974B">
                  <w:pPr>
                    <w:pStyle w:val="73"/>
                  </w:pPr>
                  <w:r>
                    <w:t>DA053筛分破碎废气2出口2024.03.04</w:t>
                  </w:r>
                </w:p>
              </w:tc>
              <w:tc>
                <w:tcPr>
                  <w:tcW w:w="946" w:type="pct"/>
                  <w:tcBorders>
                    <w:tl2br w:val="nil"/>
                    <w:tr2bl w:val="nil"/>
                  </w:tcBorders>
                  <w:vAlign w:val="center"/>
                </w:tcPr>
                <w:p w14:paraId="00ADC847">
                  <w:pPr>
                    <w:pStyle w:val="73"/>
                  </w:pPr>
                  <w:r>
                    <w:t>标况排气量</w:t>
                  </w:r>
                </w:p>
              </w:tc>
              <w:tc>
                <w:tcPr>
                  <w:tcW w:w="489" w:type="pct"/>
                  <w:tcBorders>
                    <w:tl2br w:val="nil"/>
                    <w:tr2bl w:val="nil"/>
                  </w:tcBorders>
                  <w:vAlign w:val="center"/>
                </w:tcPr>
                <w:p w14:paraId="52BF72DA">
                  <w:pPr>
                    <w:pStyle w:val="73"/>
                  </w:pPr>
                  <w:r>
                    <w:rPr>
                      <w:rFonts w:hint="eastAsia"/>
                    </w:rPr>
                    <w:t>Nm</w:t>
                  </w:r>
                  <w:r>
                    <w:rPr>
                      <w:rFonts w:hint="eastAsia"/>
                      <w:vertAlign w:val="superscript"/>
                    </w:rPr>
                    <w:t>3</w:t>
                  </w:r>
                  <w:r>
                    <w:t>/h</w:t>
                  </w:r>
                </w:p>
              </w:tc>
              <w:tc>
                <w:tcPr>
                  <w:tcW w:w="555" w:type="pct"/>
                  <w:tcBorders>
                    <w:tl2br w:val="nil"/>
                    <w:tr2bl w:val="nil"/>
                  </w:tcBorders>
                  <w:vAlign w:val="center"/>
                </w:tcPr>
                <w:p w14:paraId="6AA5F692">
                  <w:pPr>
                    <w:pStyle w:val="73"/>
                  </w:pPr>
                  <w:r>
                    <w:t>50551</w:t>
                  </w:r>
                </w:p>
              </w:tc>
              <w:tc>
                <w:tcPr>
                  <w:tcW w:w="555" w:type="pct"/>
                  <w:tcBorders>
                    <w:tl2br w:val="nil"/>
                    <w:tr2bl w:val="nil"/>
                  </w:tcBorders>
                  <w:vAlign w:val="center"/>
                </w:tcPr>
                <w:p w14:paraId="797E002B">
                  <w:pPr>
                    <w:pStyle w:val="73"/>
                  </w:pPr>
                  <w:r>
                    <w:t>49160</w:t>
                  </w:r>
                </w:p>
              </w:tc>
              <w:tc>
                <w:tcPr>
                  <w:tcW w:w="555" w:type="pct"/>
                  <w:tcBorders>
                    <w:tl2br w:val="nil"/>
                    <w:tr2bl w:val="nil"/>
                  </w:tcBorders>
                  <w:vAlign w:val="center"/>
                </w:tcPr>
                <w:p w14:paraId="31208CC0">
                  <w:pPr>
                    <w:pStyle w:val="73"/>
                  </w:pPr>
                  <w:r>
                    <w:t>50430</w:t>
                  </w:r>
                </w:p>
              </w:tc>
              <w:tc>
                <w:tcPr>
                  <w:tcW w:w="556" w:type="pct"/>
                  <w:tcBorders>
                    <w:tl2br w:val="nil"/>
                    <w:tr2bl w:val="nil"/>
                  </w:tcBorders>
                  <w:vAlign w:val="center"/>
                </w:tcPr>
                <w:p w14:paraId="725CA73E">
                  <w:pPr>
                    <w:pStyle w:val="73"/>
                  </w:pPr>
                  <w:r>
                    <w:t>/</w:t>
                  </w:r>
                </w:p>
              </w:tc>
              <w:tc>
                <w:tcPr>
                  <w:tcW w:w="352" w:type="pct"/>
                  <w:tcBorders>
                    <w:tl2br w:val="nil"/>
                    <w:tr2bl w:val="nil"/>
                  </w:tcBorders>
                  <w:vAlign w:val="center"/>
                </w:tcPr>
                <w:p w14:paraId="6FEE3A52">
                  <w:pPr>
                    <w:pStyle w:val="73"/>
                  </w:pPr>
                </w:p>
              </w:tc>
              <w:tc>
                <w:tcPr>
                  <w:tcW w:w="319" w:type="pct"/>
                  <w:tcBorders>
                    <w:tl2br w:val="nil"/>
                    <w:tr2bl w:val="nil"/>
                  </w:tcBorders>
                  <w:vAlign w:val="center"/>
                </w:tcPr>
                <w:p w14:paraId="0D5F549C">
                  <w:pPr>
                    <w:pStyle w:val="73"/>
                  </w:pPr>
                </w:p>
              </w:tc>
            </w:tr>
            <w:tr w14:paraId="18C8AE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6AC0F8F7">
                  <w:pPr>
                    <w:pStyle w:val="73"/>
                  </w:pPr>
                </w:p>
              </w:tc>
              <w:tc>
                <w:tcPr>
                  <w:tcW w:w="946" w:type="pct"/>
                  <w:tcBorders>
                    <w:tl2br w:val="nil"/>
                    <w:tr2bl w:val="nil"/>
                  </w:tcBorders>
                  <w:vAlign w:val="center"/>
                </w:tcPr>
                <w:p w14:paraId="235E1394">
                  <w:pPr>
                    <w:pStyle w:val="73"/>
                  </w:pPr>
                  <w:r>
                    <w:t>颗粒物浓度</w:t>
                  </w:r>
                </w:p>
              </w:tc>
              <w:tc>
                <w:tcPr>
                  <w:tcW w:w="489" w:type="pct"/>
                  <w:tcBorders>
                    <w:tl2br w:val="nil"/>
                    <w:tr2bl w:val="nil"/>
                  </w:tcBorders>
                  <w:vAlign w:val="center"/>
                </w:tcPr>
                <w:p w14:paraId="6F85374A">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3F352F50">
                  <w:pPr>
                    <w:pStyle w:val="73"/>
                  </w:pPr>
                  <w:r>
                    <w:t>2.1</w:t>
                  </w:r>
                </w:p>
              </w:tc>
              <w:tc>
                <w:tcPr>
                  <w:tcW w:w="555" w:type="pct"/>
                  <w:tcBorders>
                    <w:tl2br w:val="nil"/>
                    <w:tr2bl w:val="nil"/>
                  </w:tcBorders>
                  <w:vAlign w:val="center"/>
                </w:tcPr>
                <w:p w14:paraId="72688242">
                  <w:pPr>
                    <w:pStyle w:val="73"/>
                  </w:pPr>
                  <w:r>
                    <w:t>2.5</w:t>
                  </w:r>
                </w:p>
              </w:tc>
              <w:tc>
                <w:tcPr>
                  <w:tcW w:w="555" w:type="pct"/>
                  <w:tcBorders>
                    <w:tl2br w:val="nil"/>
                    <w:tr2bl w:val="nil"/>
                  </w:tcBorders>
                  <w:vAlign w:val="center"/>
                </w:tcPr>
                <w:p w14:paraId="485B6B7B">
                  <w:pPr>
                    <w:pStyle w:val="73"/>
                  </w:pPr>
                  <w:r>
                    <w:t>2.2</w:t>
                  </w:r>
                </w:p>
              </w:tc>
              <w:tc>
                <w:tcPr>
                  <w:tcW w:w="556" w:type="pct"/>
                  <w:tcBorders>
                    <w:tl2br w:val="nil"/>
                    <w:tr2bl w:val="nil"/>
                  </w:tcBorders>
                  <w:vAlign w:val="center"/>
                </w:tcPr>
                <w:p w14:paraId="61B83F38">
                  <w:pPr>
                    <w:pStyle w:val="73"/>
                  </w:pPr>
                  <w:r>
                    <w:t>2.5</w:t>
                  </w:r>
                </w:p>
              </w:tc>
              <w:tc>
                <w:tcPr>
                  <w:tcW w:w="352" w:type="pct"/>
                  <w:tcBorders>
                    <w:tl2br w:val="nil"/>
                    <w:tr2bl w:val="nil"/>
                  </w:tcBorders>
                  <w:vAlign w:val="center"/>
                </w:tcPr>
                <w:p w14:paraId="0A932F21">
                  <w:pPr>
                    <w:pStyle w:val="73"/>
                  </w:pPr>
                </w:p>
              </w:tc>
              <w:tc>
                <w:tcPr>
                  <w:tcW w:w="319" w:type="pct"/>
                  <w:tcBorders>
                    <w:tl2br w:val="nil"/>
                    <w:tr2bl w:val="nil"/>
                  </w:tcBorders>
                  <w:vAlign w:val="center"/>
                </w:tcPr>
                <w:p w14:paraId="41814B86">
                  <w:pPr>
                    <w:pStyle w:val="73"/>
                  </w:pPr>
                </w:p>
              </w:tc>
            </w:tr>
            <w:tr w14:paraId="25EDF7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restart"/>
                  <w:tcBorders>
                    <w:tl2br w:val="nil"/>
                    <w:tr2bl w:val="nil"/>
                  </w:tcBorders>
                  <w:vAlign w:val="center"/>
                </w:tcPr>
                <w:p w14:paraId="219E465E">
                  <w:pPr>
                    <w:pStyle w:val="73"/>
                  </w:pPr>
                  <w:r>
                    <w:t>DA0</w:t>
                  </w:r>
                  <w:r>
                    <w:rPr>
                      <w:rFonts w:hint="eastAsia"/>
                    </w:rPr>
                    <w:t>50</w:t>
                  </w:r>
                </w:p>
                <w:p w14:paraId="0370B401">
                  <w:pPr>
                    <w:pStyle w:val="73"/>
                  </w:pPr>
                  <w:r>
                    <w:t>5#转运站废气出口202</w:t>
                  </w:r>
                  <w:r>
                    <w:rPr>
                      <w:rFonts w:hint="eastAsia"/>
                    </w:rPr>
                    <w:t>4.</w:t>
                  </w:r>
                  <w:r>
                    <w:t>0</w:t>
                  </w:r>
                  <w:r>
                    <w:rPr>
                      <w:rFonts w:hint="eastAsia"/>
                    </w:rPr>
                    <w:t>3</w:t>
                  </w:r>
                  <w:r>
                    <w:t>.</w:t>
                  </w:r>
                  <w:r>
                    <w:rPr>
                      <w:rFonts w:hint="eastAsia"/>
                    </w:rPr>
                    <w:t>03</w:t>
                  </w:r>
                </w:p>
              </w:tc>
              <w:tc>
                <w:tcPr>
                  <w:tcW w:w="946" w:type="pct"/>
                  <w:tcBorders>
                    <w:tl2br w:val="nil"/>
                    <w:tr2bl w:val="nil"/>
                  </w:tcBorders>
                  <w:vAlign w:val="center"/>
                </w:tcPr>
                <w:p w14:paraId="03367E73">
                  <w:pPr>
                    <w:pStyle w:val="73"/>
                  </w:pPr>
                  <w:r>
                    <w:t>标况排气量</w:t>
                  </w:r>
                </w:p>
              </w:tc>
              <w:tc>
                <w:tcPr>
                  <w:tcW w:w="489" w:type="pct"/>
                  <w:tcBorders>
                    <w:tl2br w:val="nil"/>
                    <w:tr2bl w:val="nil"/>
                  </w:tcBorders>
                  <w:vAlign w:val="center"/>
                </w:tcPr>
                <w:p w14:paraId="6784C6B6">
                  <w:pPr>
                    <w:pStyle w:val="73"/>
                  </w:pPr>
                  <w:r>
                    <w:rPr>
                      <w:rFonts w:hint="eastAsia"/>
                    </w:rPr>
                    <w:t>Nm</w:t>
                  </w:r>
                  <w:r>
                    <w:rPr>
                      <w:rFonts w:hint="eastAsia"/>
                      <w:vertAlign w:val="superscript"/>
                    </w:rPr>
                    <w:t>3</w:t>
                  </w:r>
                  <w:r>
                    <w:t>/h</w:t>
                  </w:r>
                </w:p>
              </w:tc>
              <w:tc>
                <w:tcPr>
                  <w:tcW w:w="555" w:type="pct"/>
                  <w:tcBorders>
                    <w:tl2br w:val="nil"/>
                    <w:tr2bl w:val="nil"/>
                  </w:tcBorders>
                  <w:vAlign w:val="center"/>
                </w:tcPr>
                <w:p w14:paraId="74EF6D6C">
                  <w:pPr>
                    <w:pStyle w:val="73"/>
                  </w:pPr>
                  <w:r>
                    <w:t>9152</w:t>
                  </w:r>
                </w:p>
              </w:tc>
              <w:tc>
                <w:tcPr>
                  <w:tcW w:w="555" w:type="pct"/>
                  <w:tcBorders>
                    <w:tl2br w:val="nil"/>
                    <w:tr2bl w:val="nil"/>
                  </w:tcBorders>
                  <w:vAlign w:val="center"/>
                </w:tcPr>
                <w:p w14:paraId="236A3DC5">
                  <w:pPr>
                    <w:pStyle w:val="73"/>
                  </w:pPr>
                  <w:r>
                    <w:t>9350</w:t>
                  </w:r>
                </w:p>
              </w:tc>
              <w:tc>
                <w:tcPr>
                  <w:tcW w:w="555" w:type="pct"/>
                  <w:tcBorders>
                    <w:tl2br w:val="nil"/>
                    <w:tr2bl w:val="nil"/>
                  </w:tcBorders>
                  <w:vAlign w:val="center"/>
                </w:tcPr>
                <w:p w14:paraId="1C4E3E68">
                  <w:pPr>
                    <w:pStyle w:val="73"/>
                  </w:pPr>
                  <w:r>
                    <w:t>9589</w:t>
                  </w:r>
                </w:p>
              </w:tc>
              <w:tc>
                <w:tcPr>
                  <w:tcW w:w="556" w:type="pct"/>
                  <w:tcBorders>
                    <w:tl2br w:val="nil"/>
                    <w:tr2bl w:val="nil"/>
                  </w:tcBorders>
                  <w:vAlign w:val="center"/>
                </w:tcPr>
                <w:p w14:paraId="19EF52A7">
                  <w:pPr>
                    <w:pStyle w:val="73"/>
                  </w:pPr>
                  <w:r>
                    <w:t>/</w:t>
                  </w:r>
                </w:p>
              </w:tc>
              <w:tc>
                <w:tcPr>
                  <w:tcW w:w="352" w:type="pct"/>
                  <w:tcBorders>
                    <w:tl2br w:val="nil"/>
                    <w:tr2bl w:val="nil"/>
                  </w:tcBorders>
                  <w:vAlign w:val="center"/>
                </w:tcPr>
                <w:p w14:paraId="6D01E47F">
                  <w:pPr>
                    <w:pStyle w:val="73"/>
                  </w:pPr>
                </w:p>
              </w:tc>
              <w:tc>
                <w:tcPr>
                  <w:tcW w:w="319" w:type="pct"/>
                  <w:tcBorders>
                    <w:tl2br w:val="nil"/>
                    <w:tr2bl w:val="nil"/>
                  </w:tcBorders>
                  <w:vAlign w:val="center"/>
                </w:tcPr>
                <w:p w14:paraId="14B351F3">
                  <w:pPr>
                    <w:pStyle w:val="73"/>
                  </w:pPr>
                </w:p>
              </w:tc>
            </w:tr>
            <w:tr w14:paraId="6CAE3C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68822E4E">
                  <w:pPr>
                    <w:pStyle w:val="73"/>
                  </w:pPr>
                </w:p>
              </w:tc>
              <w:tc>
                <w:tcPr>
                  <w:tcW w:w="946" w:type="pct"/>
                  <w:tcBorders>
                    <w:tl2br w:val="nil"/>
                    <w:tr2bl w:val="nil"/>
                  </w:tcBorders>
                  <w:vAlign w:val="center"/>
                </w:tcPr>
                <w:p w14:paraId="3BFF4135">
                  <w:pPr>
                    <w:pStyle w:val="73"/>
                  </w:pPr>
                  <w:r>
                    <w:t>颗粒物浓度</w:t>
                  </w:r>
                </w:p>
              </w:tc>
              <w:tc>
                <w:tcPr>
                  <w:tcW w:w="489" w:type="pct"/>
                  <w:tcBorders>
                    <w:tl2br w:val="nil"/>
                    <w:tr2bl w:val="nil"/>
                  </w:tcBorders>
                  <w:vAlign w:val="center"/>
                </w:tcPr>
                <w:p w14:paraId="40412AF6">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6C9E7F7C">
                  <w:pPr>
                    <w:pStyle w:val="73"/>
                  </w:pPr>
                  <w:r>
                    <w:t>2.4</w:t>
                  </w:r>
                </w:p>
              </w:tc>
              <w:tc>
                <w:tcPr>
                  <w:tcW w:w="555" w:type="pct"/>
                  <w:tcBorders>
                    <w:tl2br w:val="nil"/>
                    <w:tr2bl w:val="nil"/>
                  </w:tcBorders>
                  <w:vAlign w:val="center"/>
                </w:tcPr>
                <w:p w14:paraId="5F2E035B">
                  <w:pPr>
                    <w:pStyle w:val="73"/>
                  </w:pPr>
                  <w:r>
                    <w:t>2.7</w:t>
                  </w:r>
                </w:p>
              </w:tc>
              <w:tc>
                <w:tcPr>
                  <w:tcW w:w="555" w:type="pct"/>
                  <w:tcBorders>
                    <w:tl2br w:val="nil"/>
                    <w:tr2bl w:val="nil"/>
                  </w:tcBorders>
                  <w:vAlign w:val="center"/>
                </w:tcPr>
                <w:p w14:paraId="520999F1">
                  <w:pPr>
                    <w:pStyle w:val="73"/>
                  </w:pPr>
                  <w:r>
                    <w:t>2.3</w:t>
                  </w:r>
                </w:p>
              </w:tc>
              <w:tc>
                <w:tcPr>
                  <w:tcW w:w="556" w:type="pct"/>
                  <w:tcBorders>
                    <w:tl2br w:val="nil"/>
                    <w:tr2bl w:val="nil"/>
                  </w:tcBorders>
                  <w:vAlign w:val="center"/>
                </w:tcPr>
                <w:p w14:paraId="57C55C85">
                  <w:pPr>
                    <w:pStyle w:val="73"/>
                  </w:pPr>
                  <w:r>
                    <w:t>2.7</w:t>
                  </w:r>
                </w:p>
              </w:tc>
              <w:tc>
                <w:tcPr>
                  <w:tcW w:w="352" w:type="pct"/>
                  <w:tcBorders>
                    <w:tl2br w:val="nil"/>
                    <w:tr2bl w:val="nil"/>
                  </w:tcBorders>
                  <w:vAlign w:val="center"/>
                </w:tcPr>
                <w:p w14:paraId="4B8FFE27">
                  <w:pPr>
                    <w:pStyle w:val="73"/>
                    <w:rPr>
                      <w:rFonts w:cstheme="minorBidi"/>
                    </w:rPr>
                  </w:pPr>
                  <w:r>
                    <w:rPr>
                      <w:rFonts w:hint="eastAsia"/>
                    </w:rPr>
                    <w:t>10</w:t>
                  </w:r>
                </w:p>
              </w:tc>
              <w:tc>
                <w:tcPr>
                  <w:tcW w:w="319" w:type="pct"/>
                  <w:tcBorders>
                    <w:tl2br w:val="nil"/>
                    <w:tr2bl w:val="nil"/>
                  </w:tcBorders>
                  <w:vAlign w:val="center"/>
                </w:tcPr>
                <w:p w14:paraId="7205E02B">
                  <w:pPr>
                    <w:pStyle w:val="73"/>
                    <w:rPr>
                      <w:rFonts w:cstheme="minorBidi"/>
                    </w:rPr>
                  </w:pPr>
                  <w:r>
                    <w:rPr>
                      <w:rFonts w:hint="eastAsia"/>
                    </w:rPr>
                    <w:t>达标</w:t>
                  </w:r>
                </w:p>
              </w:tc>
            </w:tr>
            <w:tr w14:paraId="304F11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restart"/>
                  <w:tcBorders>
                    <w:tl2br w:val="nil"/>
                    <w:tr2bl w:val="nil"/>
                  </w:tcBorders>
                  <w:vAlign w:val="center"/>
                </w:tcPr>
                <w:p w14:paraId="7D2205E3">
                  <w:pPr>
                    <w:pStyle w:val="73"/>
                  </w:pPr>
                  <w:r>
                    <w:t>DA051</w:t>
                  </w:r>
                </w:p>
                <w:p w14:paraId="5711012E">
                  <w:pPr>
                    <w:pStyle w:val="73"/>
                  </w:pPr>
                  <w:r>
                    <w:t>6#转运站废气出口2024.03.03</w:t>
                  </w:r>
                </w:p>
              </w:tc>
              <w:tc>
                <w:tcPr>
                  <w:tcW w:w="946" w:type="pct"/>
                  <w:tcBorders>
                    <w:tl2br w:val="nil"/>
                    <w:tr2bl w:val="nil"/>
                  </w:tcBorders>
                  <w:vAlign w:val="center"/>
                </w:tcPr>
                <w:p w14:paraId="55EE5ABB">
                  <w:pPr>
                    <w:pStyle w:val="73"/>
                  </w:pPr>
                  <w:r>
                    <w:t>标况排气量</w:t>
                  </w:r>
                </w:p>
              </w:tc>
              <w:tc>
                <w:tcPr>
                  <w:tcW w:w="489" w:type="pct"/>
                  <w:tcBorders>
                    <w:tl2br w:val="nil"/>
                    <w:tr2bl w:val="nil"/>
                  </w:tcBorders>
                  <w:vAlign w:val="center"/>
                </w:tcPr>
                <w:p w14:paraId="02931A2D">
                  <w:pPr>
                    <w:pStyle w:val="73"/>
                  </w:pPr>
                  <w:r>
                    <w:rPr>
                      <w:rFonts w:hint="eastAsia"/>
                    </w:rPr>
                    <w:t>Nm</w:t>
                  </w:r>
                  <w:r>
                    <w:rPr>
                      <w:rFonts w:hint="eastAsia"/>
                      <w:vertAlign w:val="superscript"/>
                    </w:rPr>
                    <w:t>3</w:t>
                  </w:r>
                  <w:r>
                    <w:t>/h</w:t>
                  </w:r>
                </w:p>
              </w:tc>
              <w:tc>
                <w:tcPr>
                  <w:tcW w:w="555" w:type="pct"/>
                  <w:tcBorders>
                    <w:tl2br w:val="nil"/>
                    <w:tr2bl w:val="nil"/>
                  </w:tcBorders>
                  <w:vAlign w:val="center"/>
                </w:tcPr>
                <w:p w14:paraId="4D056633">
                  <w:pPr>
                    <w:pStyle w:val="73"/>
                  </w:pPr>
                  <w:r>
                    <w:t>19257</w:t>
                  </w:r>
                </w:p>
              </w:tc>
              <w:tc>
                <w:tcPr>
                  <w:tcW w:w="555" w:type="pct"/>
                  <w:tcBorders>
                    <w:tl2br w:val="nil"/>
                    <w:tr2bl w:val="nil"/>
                  </w:tcBorders>
                  <w:vAlign w:val="center"/>
                </w:tcPr>
                <w:p w14:paraId="6B396FE1">
                  <w:pPr>
                    <w:pStyle w:val="73"/>
                  </w:pPr>
                  <w:r>
                    <w:t>18525</w:t>
                  </w:r>
                </w:p>
              </w:tc>
              <w:tc>
                <w:tcPr>
                  <w:tcW w:w="555" w:type="pct"/>
                  <w:tcBorders>
                    <w:tl2br w:val="nil"/>
                    <w:tr2bl w:val="nil"/>
                  </w:tcBorders>
                  <w:vAlign w:val="center"/>
                </w:tcPr>
                <w:p w14:paraId="72AA2C35">
                  <w:pPr>
                    <w:pStyle w:val="73"/>
                  </w:pPr>
                  <w:r>
                    <w:t>18782</w:t>
                  </w:r>
                </w:p>
              </w:tc>
              <w:tc>
                <w:tcPr>
                  <w:tcW w:w="556" w:type="pct"/>
                  <w:tcBorders>
                    <w:tl2br w:val="nil"/>
                    <w:tr2bl w:val="nil"/>
                  </w:tcBorders>
                  <w:vAlign w:val="center"/>
                </w:tcPr>
                <w:p w14:paraId="7D112252">
                  <w:pPr>
                    <w:pStyle w:val="73"/>
                  </w:pPr>
                  <w:r>
                    <w:t>/</w:t>
                  </w:r>
                </w:p>
              </w:tc>
              <w:tc>
                <w:tcPr>
                  <w:tcW w:w="352" w:type="pct"/>
                  <w:tcBorders>
                    <w:tl2br w:val="nil"/>
                    <w:tr2bl w:val="nil"/>
                  </w:tcBorders>
                  <w:vAlign w:val="center"/>
                </w:tcPr>
                <w:p w14:paraId="6ADBD2BE">
                  <w:pPr>
                    <w:pStyle w:val="73"/>
                  </w:pPr>
                </w:p>
              </w:tc>
              <w:tc>
                <w:tcPr>
                  <w:tcW w:w="319" w:type="pct"/>
                  <w:tcBorders>
                    <w:tl2br w:val="nil"/>
                    <w:tr2bl w:val="nil"/>
                  </w:tcBorders>
                  <w:vAlign w:val="center"/>
                </w:tcPr>
                <w:p w14:paraId="4DEB44BD">
                  <w:pPr>
                    <w:pStyle w:val="73"/>
                  </w:pPr>
                </w:p>
              </w:tc>
            </w:tr>
            <w:tr w14:paraId="5382D3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538E0E47">
                  <w:pPr>
                    <w:pStyle w:val="73"/>
                  </w:pPr>
                </w:p>
              </w:tc>
              <w:tc>
                <w:tcPr>
                  <w:tcW w:w="946" w:type="pct"/>
                  <w:tcBorders>
                    <w:tl2br w:val="nil"/>
                    <w:tr2bl w:val="nil"/>
                  </w:tcBorders>
                  <w:vAlign w:val="center"/>
                </w:tcPr>
                <w:p w14:paraId="1D730A19">
                  <w:pPr>
                    <w:pStyle w:val="73"/>
                  </w:pPr>
                  <w:r>
                    <w:t>颗粒物浓度</w:t>
                  </w:r>
                </w:p>
              </w:tc>
              <w:tc>
                <w:tcPr>
                  <w:tcW w:w="489" w:type="pct"/>
                  <w:tcBorders>
                    <w:tl2br w:val="nil"/>
                    <w:tr2bl w:val="nil"/>
                  </w:tcBorders>
                  <w:vAlign w:val="center"/>
                </w:tcPr>
                <w:p w14:paraId="05EC5732">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4E5F7A14">
                  <w:pPr>
                    <w:pStyle w:val="73"/>
                  </w:pPr>
                  <w:r>
                    <w:t>2.1</w:t>
                  </w:r>
                </w:p>
              </w:tc>
              <w:tc>
                <w:tcPr>
                  <w:tcW w:w="555" w:type="pct"/>
                  <w:tcBorders>
                    <w:tl2br w:val="nil"/>
                    <w:tr2bl w:val="nil"/>
                  </w:tcBorders>
                  <w:vAlign w:val="center"/>
                </w:tcPr>
                <w:p w14:paraId="705CBA45">
                  <w:pPr>
                    <w:pStyle w:val="73"/>
                  </w:pPr>
                  <w:r>
                    <w:t>2.3</w:t>
                  </w:r>
                </w:p>
              </w:tc>
              <w:tc>
                <w:tcPr>
                  <w:tcW w:w="555" w:type="pct"/>
                  <w:tcBorders>
                    <w:tl2br w:val="nil"/>
                    <w:tr2bl w:val="nil"/>
                  </w:tcBorders>
                  <w:vAlign w:val="center"/>
                </w:tcPr>
                <w:p w14:paraId="2F6AFBC5">
                  <w:pPr>
                    <w:pStyle w:val="73"/>
                  </w:pPr>
                  <w:r>
                    <w:t>2.7</w:t>
                  </w:r>
                </w:p>
              </w:tc>
              <w:tc>
                <w:tcPr>
                  <w:tcW w:w="556" w:type="pct"/>
                  <w:tcBorders>
                    <w:tl2br w:val="nil"/>
                    <w:tr2bl w:val="nil"/>
                  </w:tcBorders>
                  <w:vAlign w:val="center"/>
                </w:tcPr>
                <w:p w14:paraId="79595978">
                  <w:pPr>
                    <w:pStyle w:val="73"/>
                  </w:pPr>
                  <w:r>
                    <w:t>2.7</w:t>
                  </w:r>
                </w:p>
              </w:tc>
              <w:tc>
                <w:tcPr>
                  <w:tcW w:w="352" w:type="pct"/>
                  <w:tcBorders>
                    <w:tl2br w:val="nil"/>
                    <w:tr2bl w:val="nil"/>
                  </w:tcBorders>
                  <w:vAlign w:val="center"/>
                </w:tcPr>
                <w:p w14:paraId="768BD923">
                  <w:pPr>
                    <w:pStyle w:val="73"/>
                    <w:rPr>
                      <w:rFonts w:cstheme="minorBidi"/>
                    </w:rPr>
                  </w:pPr>
                  <w:r>
                    <w:rPr>
                      <w:rFonts w:hint="eastAsia"/>
                    </w:rPr>
                    <w:t>10</w:t>
                  </w:r>
                </w:p>
              </w:tc>
              <w:tc>
                <w:tcPr>
                  <w:tcW w:w="319" w:type="pct"/>
                  <w:tcBorders>
                    <w:tl2br w:val="nil"/>
                    <w:tr2bl w:val="nil"/>
                  </w:tcBorders>
                  <w:vAlign w:val="center"/>
                </w:tcPr>
                <w:p w14:paraId="27574C33">
                  <w:pPr>
                    <w:pStyle w:val="73"/>
                    <w:rPr>
                      <w:rFonts w:cstheme="minorBidi"/>
                    </w:rPr>
                  </w:pPr>
                  <w:r>
                    <w:rPr>
                      <w:rFonts w:hint="eastAsia"/>
                    </w:rPr>
                    <w:t>达标</w:t>
                  </w:r>
                </w:p>
              </w:tc>
            </w:tr>
            <w:tr w14:paraId="246FB9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restart"/>
                  <w:tcBorders>
                    <w:tl2br w:val="nil"/>
                    <w:tr2bl w:val="nil"/>
                  </w:tcBorders>
                  <w:vAlign w:val="center"/>
                </w:tcPr>
                <w:p w14:paraId="59AD5899">
                  <w:pPr>
                    <w:pStyle w:val="73"/>
                  </w:pPr>
                  <w:r>
                    <w:t>DA064石灰斗提废气出口2024.03.02</w:t>
                  </w:r>
                </w:p>
              </w:tc>
              <w:tc>
                <w:tcPr>
                  <w:tcW w:w="946" w:type="pct"/>
                  <w:tcBorders>
                    <w:tl2br w:val="nil"/>
                    <w:tr2bl w:val="nil"/>
                  </w:tcBorders>
                  <w:vAlign w:val="center"/>
                </w:tcPr>
                <w:p w14:paraId="61CC5B6E">
                  <w:pPr>
                    <w:pStyle w:val="73"/>
                  </w:pPr>
                  <w:r>
                    <w:t>标况排气量</w:t>
                  </w:r>
                </w:p>
              </w:tc>
              <w:tc>
                <w:tcPr>
                  <w:tcW w:w="489" w:type="pct"/>
                  <w:tcBorders>
                    <w:tl2br w:val="nil"/>
                    <w:tr2bl w:val="nil"/>
                  </w:tcBorders>
                  <w:vAlign w:val="center"/>
                </w:tcPr>
                <w:p w14:paraId="74F494DF">
                  <w:pPr>
                    <w:pStyle w:val="73"/>
                  </w:pPr>
                  <w:r>
                    <w:rPr>
                      <w:rFonts w:hint="eastAsia"/>
                    </w:rPr>
                    <w:t>Nm</w:t>
                  </w:r>
                  <w:r>
                    <w:rPr>
                      <w:rFonts w:hint="eastAsia"/>
                      <w:vertAlign w:val="superscript"/>
                    </w:rPr>
                    <w:t>3</w:t>
                  </w:r>
                  <w:r>
                    <w:t>/h</w:t>
                  </w:r>
                </w:p>
              </w:tc>
              <w:tc>
                <w:tcPr>
                  <w:tcW w:w="555" w:type="pct"/>
                  <w:tcBorders>
                    <w:tl2br w:val="nil"/>
                    <w:tr2bl w:val="nil"/>
                  </w:tcBorders>
                  <w:vAlign w:val="center"/>
                </w:tcPr>
                <w:p w14:paraId="46BF63AC">
                  <w:pPr>
                    <w:pStyle w:val="73"/>
                  </w:pPr>
                  <w:r>
                    <w:t>20229</w:t>
                  </w:r>
                </w:p>
              </w:tc>
              <w:tc>
                <w:tcPr>
                  <w:tcW w:w="555" w:type="pct"/>
                  <w:tcBorders>
                    <w:tl2br w:val="nil"/>
                    <w:tr2bl w:val="nil"/>
                  </w:tcBorders>
                  <w:vAlign w:val="center"/>
                </w:tcPr>
                <w:p w14:paraId="39C0576C">
                  <w:pPr>
                    <w:pStyle w:val="73"/>
                  </w:pPr>
                  <w:r>
                    <w:t>20487</w:t>
                  </w:r>
                </w:p>
              </w:tc>
              <w:tc>
                <w:tcPr>
                  <w:tcW w:w="555" w:type="pct"/>
                  <w:tcBorders>
                    <w:tl2br w:val="nil"/>
                    <w:tr2bl w:val="nil"/>
                  </w:tcBorders>
                  <w:vAlign w:val="center"/>
                </w:tcPr>
                <w:p w14:paraId="748B5766">
                  <w:pPr>
                    <w:pStyle w:val="73"/>
                  </w:pPr>
                  <w:r>
                    <w:t>20017</w:t>
                  </w:r>
                </w:p>
              </w:tc>
              <w:tc>
                <w:tcPr>
                  <w:tcW w:w="556" w:type="pct"/>
                  <w:tcBorders>
                    <w:tl2br w:val="nil"/>
                    <w:tr2bl w:val="nil"/>
                  </w:tcBorders>
                  <w:vAlign w:val="center"/>
                </w:tcPr>
                <w:p w14:paraId="3C98DD71">
                  <w:pPr>
                    <w:pStyle w:val="73"/>
                  </w:pPr>
                  <w:r>
                    <w:t>/</w:t>
                  </w:r>
                </w:p>
              </w:tc>
              <w:tc>
                <w:tcPr>
                  <w:tcW w:w="352" w:type="pct"/>
                  <w:tcBorders>
                    <w:tl2br w:val="nil"/>
                    <w:tr2bl w:val="nil"/>
                  </w:tcBorders>
                  <w:vAlign w:val="center"/>
                </w:tcPr>
                <w:p w14:paraId="6A8E1AC9">
                  <w:pPr>
                    <w:pStyle w:val="73"/>
                  </w:pPr>
                </w:p>
              </w:tc>
              <w:tc>
                <w:tcPr>
                  <w:tcW w:w="319" w:type="pct"/>
                  <w:tcBorders>
                    <w:tl2br w:val="nil"/>
                    <w:tr2bl w:val="nil"/>
                  </w:tcBorders>
                  <w:vAlign w:val="center"/>
                </w:tcPr>
                <w:p w14:paraId="437B5C4C">
                  <w:pPr>
                    <w:pStyle w:val="73"/>
                  </w:pPr>
                </w:p>
              </w:tc>
            </w:tr>
            <w:tr w14:paraId="0C8D06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096DA9E9">
                  <w:pPr>
                    <w:pStyle w:val="73"/>
                  </w:pPr>
                </w:p>
              </w:tc>
              <w:tc>
                <w:tcPr>
                  <w:tcW w:w="946" w:type="pct"/>
                  <w:tcBorders>
                    <w:tl2br w:val="nil"/>
                    <w:tr2bl w:val="nil"/>
                  </w:tcBorders>
                  <w:vAlign w:val="center"/>
                </w:tcPr>
                <w:p w14:paraId="10842A8E">
                  <w:pPr>
                    <w:pStyle w:val="73"/>
                  </w:pPr>
                  <w:r>
                    <w:t>颗粒物浓度</w:t>
                  </w:r>
                </w:p>
              </w:tc>
              <w:tc>
                <w:tcPr>
                  <w:tcW w:w="489" w:type="pct"/>
                  <w:tcBorders>
                    <w:tl2br w:val="nil"/>
                    <w:tr2bl w:val="nil"/>
                  </w:tcBorders>
                  <w:vAlign w:val="center"/>
                </w:tcPr>
                <w:p w14:paraId="7D0A0A33">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1769B6E3">
                  <w:pPr>
                    <w:pStyle w:val="73"/>
                  </w:pPr>
                  <w:r>
                    <w:t>2.5</w:t>
                  </w:r>
                </w:p>
              </w:tc>
              <w:tc>
                <w:tcPr>
                  <w:tcW w:w="555" w:type="pct"/>
                  <w:tcBorders>
                    <w:tl2br w:val="nil"/>
                    <w:tr2bl w:val="nil"/>
                  </w:tcBorders>
                  <w:vAlign w:val="center"/>
                </w:tcPr>
                <w:p w14:paraId="17480103">
                  <w:pPr>
                    <w:pStyle w:val="73"/>
                  </w:pPr>
                  <w:r>
                    <w:t>2.1</w:t>
                  </w:r>
                </w:p>
              </w:tc>
              <w:tc>
                <w:tcPr>
                  <w:tcW w:w="555" w:type="pct"/>
                  <w:tcBorders>
                    <w:tl2br w:val="nil"/>
                    <w:tr2bl w:val="nil"/>
                  </w:tcBorders>
                  <w:vAlign w:val="center"/>
                </w:tcPr>
                <w:p w14:paraId="5AFBE0E6">
                  <w:pPr>
                    <w:pStyle w:val="73"/>
                  </w:pPr>
                  <w:r>
                    <w:t>2.3</w:t>
                  </w:r>
                </w:p>
              </w:tc>
              <w:tc>
                <w:tcPr>
                  <w:tcW w:w="556" w:type="pct"/>
                  <w:tcBorders>
                    <w:tl2br w:val="nil"/>
                    <w:tr2bl w:val="nil"/>
                  </w:tcBorders>
                  <w:vAlign w:val="center"/>
                </w:tcPr>
                <w:p w14:paraId="36F414CD">
                  <w:pPr>
                    <w:pStyle w:val="73"/>
                  </w:pPr>
                  <w:r>
                    <w:rPr>
                      <w:rFonts w:hint="eastAsia"/>
                    </w:rPr>
                    <w:t>2.5</w:t>
                  </w:r>
                </w:p>
              </w:tc>
              <w:tc>
                <w:tcPr>
                  <w:tcW w:w="352" w:type="pct"/>
                  <w:tcBorders>
                    <w:tl2br w:val="nil"/>
                    <w:tr2bl w:val="nil"/>
                  </w:tcBorders>
                  <w:vAlign w:val="center"/>
                </w:tcPr>
                <w:p w14:paraId="651B854F">
                  <w:pPr>
                    <w:pStyle w:val="73"/>
                    <w:rPr>
                      <w:rFonts w:cstheme="minorBidi"/>
                    </w:rPr>
                  </w:pPr>
                  <w:r>
                    <w:rPr>
                      <w:rFonts w:hint="eastAsia"/>
                    </w:rPr>
                    <w:t>10</w:t>
                  </w:r>
                </w:p>
              </w:tc>
              <w:tc>
                <w:tcPr>
                  <w:tcW w:w="319" w:type="pct"/>
                  <w:tcBorders>
                    <w:tl2br w:val="nil"/>
                    <w:tr2bl w:val="nil"/>
                  </w:tcBorders>
                  <w:vAlign w:val="center"/>
                </w:tcPr>
                <w:p w14:paraId="6FAF4C09">
                  <w:pPr>
                    <w:pStyle w:val="73"/>
                    <w:rPr>
                      <w:rFonts w:cstheme="minorBidi"/>
                    </w:rPr>
                  </w:pPr>
                  <w:r>
                    <w:rPr>
                      <w:rFonts w:hint="eastAsia"/>
                    </w:rPr>
                    <w:t>达标</w:t>
                  </w:r>
                </w:p>
              </w:tc>
            </w:tr>
            <w:tr w14:paraId="495C71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restart"/>
                  <w:tcBorders>
                    <w:tl2br w:val="nil"/>
                    <w:tr2bl w:val="nil"/>
                  </w:tcBorders>
                  <w:vAlign w:val="center"/>
                </w:tcPr>
                <w:p w14:paraId="1E3E4EF7">
                  <w:pPr>
                    <w:pStyle w:val="73"/>
                  </w:pPr>
                  <w:r>
                    <w:t>DA0</w:t>
                  </w:r>
                  <w:r>
                    <w:rPr>
                      <w:rFonts w:hint="eastAsia"/>
                    </w:rPr>
                    <w:t>6</w:t>
                  </w:r>
                  <w:r>
                    <w:t>3</w:t>
                  </w:r>
                </w:p>
                <w:p w14:paraId="011F8547">
                  <w:pPr>
                    <w:pStyle w:val="73"/>
                  </w:pPr>
                  <w:r>
                    <w:t>2#石灰仓废气出口202</w:t>
                  </w:r>
                  <w:r>
                    <w:rPr>
                      <w:rFonts w:hint="eastAsia"/>
                    </w:rPr>
                    <w:t>4.</w:t>
                  </w:r>
                  <w:r>
                    <w:t>0</w:t>
                  </w:r>
                  <w:r>
                    <w:rPr>
                      <w:rFonts w:hint="eastAsia"/>
                    </w:rPr>
                    <w:t>3</w:t>
                  </w:r>
                  <w:r>
                    <w:t>.</w:t>
                  </w:r>
                  <w:r>
                    <w:rPr>
                      <w:rFonts w:hint="eastAsia"/>
                    </w:rPr>
                    <w:t>02</w:t>
                  </w:r>
                </w:p>
              </w:tc>
              <w:tc>
                <w:tcPr>
                  <w:tcW w:w="946" w:type="pct"/>
                  <w:tcBorders>
                    <w:tl2br w:val="nil"/>
                    <w:tr2bl w:val="nil"/>
                  </w:tcBorders>
                  <w:vAlign w:val="center"/>
                </w:tcPr>
                <w:p w14:paraId="52C305C2">
                  <w:pPr>
                    <w:pStyle w:val="73"/>
                  </w:pPr>
                  <w:r>
                    <w:t>标况排气量</w:t>
                  </w:r>
                </w:p>
              </w:tc>
              <w:tc>
                <w:tcPr>
                  <w:tcW w:w="489" w:type="pct"/>
                  <w:tcBorders>
                    <w:tl2br w:val="nil"/>
                    <w:tr2bl w:val="nil"/>
                  </w:tcBorders>
                  <w:vAlign w:val="center"/>
                </w:tcPr>
                <w:p w14:paraId="45DF7890">
                  <w:pPr>
                    <w:pStyle w:val="73"/>
                  </w:pPr>
                  <w:r>
                    <w:rPr>
                      <w:rFonts w:hint="eastAsia"/>
                    </w:rPr>
                    <w:t>Nm</w:t>
                  </w:r>
                  <w:r>
                    <w:rPr>
                      <w:rFonts w:hint="eastAsia"/>
                      <w:vertAlign w:val="superscript"/>
                    </w:rPr>
                    <w:t>3</w:t>
                  </w:r>
                  <w:r>
                    <w:t>/h</w:t>
                  </w:r>
                </w:p>
              </w:tc>
              <w:tc>
                <w:tcPr>
                  <w:tcW w:w="555" w:type="pct"/>
                  <w:tcBorders>
                    <w:tl2br w:val="nil"/>
                    <w:tr2bl w:val="nil"/>
                  </w:tcBorders>
                  <w:vAlign w:val="center"/>
                </w:tcPr>
                <w:p w14:paraId="787F3D1D">
                  <w:pPr>
                    <w:pStyle w:val="73"/>
                  </w:pPr>
                  <w:r>
                    <w:t>5869</w:t>
                  </w:r>
                </w:p>
              </w:tc>
              <w:tc>
                <w:tcPr>
                  <w:tcW w:w="555" w:type="pct"/>
                  <w:tcBorders>
                    <w:tl2br w:val="nil"/>
                    <w:tr2bl w:val="nil"/>
                  </w:tcBorders>
                  <w:vAlign w:val="center"/>
                </w:tcPr>
                <w:p w14:paraId="435EFC43">
                  <w:pPr>
                    <w:pStyle w:val="73"/>
                  </w:pPr>
                  <w:r>
                    <w:t>5668</w:t>
                  </w:r>
                </w:p>
              </w:tc>
              <w:tc>
                <w:tcPr>
                  <w:tcW w:w="555" w:type="pct"/>
                  <w:tcBorders>
                    <w:tl2br w:val="nil"/>
                    <w:tr2bl w:val="nil"/>
                  </w:tcBorders>
                  <w:vAlign w:val="center"/>
                </w:tcPr>
                <w:p w14:paraId="1118BF07">
                  <w:pPr>
                    <w:pStyle w:val="73"/>
                  </w:pPr>
                  <w:r>
                    <w:t>5566</w:t>
                  </w:r>
                </w:p>
              </w:tc>
              <w:tc>
                <w:tcPr>
                  <w:tcW w:w="556" w:type="pct"/>
                  <w:tcBorders>
                    <w:tl2br w:val="nil"/>
                    <w:tr2bl w:val="nil"/>
                  </w:tcBorders>
                  <w:vAlign w:val="center"/>
                </w:tcPr>
                <w:p w14:paraId="24959E4D">
                  <w:pPr>
                    <w:pStyle w:val="73"/>
                  </w:pPr>
                  <w:r>
                    <w:t>/</w:t>
                  </w:r>
                </w:p>
              </w:tc>
              <w:tc>
                <w:tcPr>
                  <w:tcW w:w="352" w:type="pct"/>
                  <w:tcBorders>
                    <w:tl2br w:val="nil"/>
                    <w:tr2bl w:val="nil"/>
                  </w:tcBorders>
                  <w:vAlign w:val="center"/>
                </w:tcPr>
                <w:p w14:paraId="47030CE5">
                  <w:pPr>
                    <w:pStyle w:val="73"/>
                  </w:pPr>
                </w:p>
              </w:tc>
              <w:tc>
                <w:tcPr>
                  <w:tcW w:w="319" w:type="pct"/>
                  <w:tcBorders>
                    <w:tl2br w:val="nil"/>
                    <w:tr2bl w:val="nil"/>
                  </w:tcBorders>
                  <w:vAlign w:val="center"/>
                </w:tcPr>
                <w:p w14:paraId="0E51EC09">
                  <w:pPr>
                    <w:pStyle w:val="73"/>
                  </w:pPr>
                </w:p>
              </w:tc>
            </w:tr>
            <w:tr w14:paraId="753BB5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5346B69D">
                  <w:pPr>
                    <w:pStyle w:val="73"/>
                  </w:pPr>
                </w:p>
              </w:tc>
              <w:tc>
                <w:tcPr>
                  <w:tcW w:w="946" w:type="pct"/>
                  <w:tcBorders>
                    <w:tl2br w:val="nil"/>
                    <w:tr2bl w:val="nil"/>
                  </w:tcBorders>
                  <w:vAlign w:val="center"/>
                </w:tcPr>
                <w:p w14:paraId="7B42A3E0">
                  <w:pPr>
                    <w:pStyle w:val="73"/>
                  </w:pPr>
                  <w:r>
                    <w:t>颗粒物浓度</w:t>
                  </w:r>
                </w:p>
              </w:tc>
              <w:tc>
                <w:tcPr>
                  <w:tcW w:w="489" w:type="pct"/>
                  <w:tcBorders>
                    <w:tl2br w:val="nil"/>
                    <w:tr2bl w:val="nil"/>
                  </w:tcBorders>
                  <w:vAlign w:val="center"/>
                </w:tcPr>
                <w:p w14:paraId="060B2775">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0E965391">
                  <w:pPr>
                    <w:pStyle w:val="73"/>
                  </w:pPr>
                  <w:r>
                    <w:t>2.2</w:t>
                  </w:r>
                </w:p>
              </w:tc>
              <w:tc>
                <w:tcPr>
                  <w:tcW w:w="555" w:type="pct"/>
                  <w:tcBorders>
                    <w:tl2br w:val="nil"/>
                    <w:tr2bl w:val="nil"/>
                  </w:tcBorders>
                  <w:vAlign w:val="center"/>
                </w:tcPr>
                <w:p w14:paraId="5B77193D">
                  <w:pPr>
                    <w:pStyle w:val="73"/>
                  </w:pPr>
                  <w:r>
                    <w:t>2.7</w:t>
                  </w:r>
                </w:p>
              </w:tc>
              <w:tc>
                <w:tcPr>
                  <w:tcW w:w="555" w:type="pct"/>
                  <w:tcBorders>
                    <w:tl2br w:val="nil"/>
                    <w:tr2bl w:val="nil"/>
                  </w:tcBorders>
                  <w:vAlign w:val="center"/>
                </w:tcPr>
                <w:p w14:paraId="1C5E0660">
                  <w:pPr>
                    <w:pStyle w:val="73"/>
                  </w:pPr>
                  <w:r>
                    <w:t>2.4</w:t>
                  </w:r>
                </w:p>
              </w:tc>
              <w:tc>
                <w:tcPr>
                  <w:tcW w:w="556" w:type="pct"/>
                  <w:tcBorders>
                    <w:tl2br w:val="nil"/>
                    <w:tr2bl w:val="nil"/>
                  </w:tcBorders>
                  <w:vAlign w:val="center"/>
                </w:tcPr>
                <w:p w14:paraId="79742D88">
                  <w:pPr>
                    <w:pStyle w:val="73"/>
                  </w:pPr>
                  <w:r>
                    <w:t>2.7</w:t>
                  </w:r>
                </w:p>
              </w:tc>
              <w:tc>
                <w:tcPr>
                  <w:tcW w:w="352" w:type="pct"/>
                  <w:tcBorders>
                    <w:tl2br w:val="nil"/>
                    <w:tr2bl w:val="nil"/>
                  </w:tcBorders>
                  <w:vAlign w:val="center"/>
                </w:tcPr>
                <w:p w14:paraId="0865E4B8">
                  <w:pPr>
                    <w:pStyle w:val="73"/>
                    <w:rPr>
                      <w:rFonts w:cstheme="minorBidi"/>
                    </w:rPr>
                  </w:pPr>
                  <w:r>
                    <w:rPr>
                      <w:rFonts w:hint="eastAsia"/>
                    </w:rPr>
                    <w:t>10</w:t>
                  </w:r>
                </w:p>
              </w:tc>
              <w:tc>
                <w:tcPr>
                  <w:tcW w:w="319" w:type="pct"/>
                  <w:tcBorders>
                    <w:tl2br w:val="nil"/>
                    <w:tr2bl w:val="nil"/>
                  </w:tcBorders>
                  <w:vAlign w:val="center"/>
                </w:tcPr>
                <w:p w14:paraId="0FB50C19">
                  <w:pPr>
                    <w:pStyle w:val="73"/>
                    <w:rPr>
                      <w:rFonts w:cstheme="minorBidi"/>
                    </w:rPr>
                  </w:pPr>
                  <w:r>
                    <w:rPr>
                      <w:rFonts w:hint="eastAsia"/>
                    </w:rPr>
                    <w:t>达标</w:t>
                  </w:r>
                </w:p>
              </w:tc>
            </w:tr>
            <w:tr w14:paraId="720876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restart"/>
                  <w:tcBorders>
                    <w:tl2br w:val="nil"/>
                    <w:tr2bl w:val="nil"/>
                  </w:tcBorders>
                  <w:vAlign w:val="center"/>
                </w:tcPr>
                <w:p w14:paraId="36DBF2B0">
                  <w:pPr>
                    <w:pStyle w:val="73"/>
                  </w:pPr>
                  <w:r>
                    <w:t>DA060</w:t>
                  </w:r>
                </w:p>
                <w:p w14:paraId="2B40DC59">
                  <w:pPr>
                    <w:pStyle w:val="73"/>
                  </w:pPr>
                  <w:r>
                    <w:t>2#化灰机废气出口2024.03.02</w:t>
                  </w:r>
                </w:p>
              </w:tc>
              <w:tc>
                <w:tcPr>
                  <w:tcW w:w="946" w:type="pct"/>
                  <w:tcBorders>
                    <w:tl2br w:val="nil"/>
                    <w:tr2bl w:val="nil"/>
                  </w:tcBorders>
                  <w:vAlign w:val="center"/>
                </w:tcPr>
                <w:p w14:paraId="1A1AB8BF">
                  <w:pPr>
                    <w:pStyle w:val="73"/>
                  </w:pPr>
                  <w:r>
                    <w:t>标况排气量</w:t>
                  </w:r>
                </w:p>
              </w:tc>
              <w:tc>
                <w:tcPr>
                  <w:tcW w:w="489" w:type="pct"/>
                  <w:tcBorders>
                    <w:tl2br w:val="nil"/>
                    <w:tr2bl w:val="nil"/>
                  </w:tcBorders>
                  <w:vAlign w:val="center"/>
                </w:tcPr>
                <w:p w14:paraId="1B5A8EF8">
                  <w:pPr>
                    <w:pStyle w:val="73"/>
                  </w:pPr>
                  <w:r>
                    <w:rPr>
                      <w:rFonts w:hint="eastAsia"/>
                    </w:rPr>
                    <w:t>Nm</w:t>
                  </w:r>
                  <w:r>
                    <w:rPr>
                      <w:rFonts w:hint="eastAsia"/>
                      <w:vertAlign w:val="superscript"/>
                    </w:rPr>
                    <w:t>3</w:t>
                  </w:r>
                  <w:r>
                    <w:t>/h</w:t>
                  </w:r>
                </w:p>
              </w:tc>
              <w:tc>
                <w:tcPr>
                  <w:tcW w:w="555" w:type="pct"/>
                  <w:tcBorders>
                    <w:tl2br w:val="nil"/>
                    <w:tr2bl w:val="nil"/>
                  </w:tcBorders>
                  <w:vAlign w:val="center"/>
                </w:tcPr>
                <w:p w14:paraId="5B8CAAF4">
                  <w:pPr>
                    <w:pStyle w:val="73"/>
                  </w:pPr>
                  <w:r>
                    <w:t>3888</w:t>
                  </w:r>
                </w:p>
              </w:tc>
              <w:tc>
                <w:tcPr>
                  <w:tcW w:w="555" w:type="pct"/>
                  <w:tcBorders>
                    <w:tl2br w:val="nil"/>
                    <w:tr2bl w:val="nil"/>
                  </w:tcBorders>
                  <w:vAlign w:val="center"/>
                </w:tcPr>
                <w:p w14:paraId="62B6989C">
                  <w:pPr>
                    <w:pStyle w:val="73"/>
                  </w:pPr>
                  <w:r>
                    <w:t>3813</w:t>
                  </w:r>
                </w:p>
              </w:tc>
              <w:tc>
                <w:tcPr>
                  <w:tcW w:w="555" w:type="pct"/>
                  <w:tcBorders>
                    <w:tl2br w:val="nil"/>
                    <w:tr2bl w:val="nil"/>
                  </w:tcBorders>
                  <w:vAlign w:val="center"/>
                </w:tcPr>
                <w:p w14:paraId="79E18FB1">
                  <w:pPr>
                    <w:pStyle w:val="73"/>
                  </w:pPr>
                  <w:r>
                    <w:t>3748</w:t>
                  </w:r>
                </w:p>
              </w:tc>
              <w:tc>
                <w:tcPr>
                  <w:tcW w:w="556" w:type="pct"/>
                  <w:tcBorders>
                    <w:tl2br w:val="nil"/>
                    <w:tr2bl w:val="nil"/>
                  </w:tcBorders>
                  <w:vAlign w:val="center"/>
                </w:tcPr>
                <w:p w14:paraId="595DC095">
                  <w:pPr>
                    <w:pStyle w:val="73"/>
                  </w:pPr>
                  <w:r>
                    <w:t>/</w:t>
                  </w:r>
                </w:p>
              </w:tc>
              <w:tc>
                <w:tcPr>
                  <w:tcW w:w="352" w:type="pct"/>
                  <w:tcBorders>
                    <w:tl2br w:val="nil"/>
                    <w:tr2bl w:val="nil"/>
                  </w:tcBorders>
                  <w:vAlign w:val="center"/>
                </w:tcPr>
                <w:p w14:paraId="1DD3C35F">
                  <w:pPr>
                    <w:pStyle w:val="73"/>
                  </w:pPr>
                </w:p>
              </w:tc>
              <w:tc>
                <w:tcPr>
                  <w:tcW w:w="319" w:type="pct"/>
                  <w:tcBorders>
                    <w:tl2br w:val="nil"/>
                    <w:tr2bl w:val="nil"/>
                  </w:tcBorders>
                  <w:vAlign w:val="center"/>
                </w:tcPr>
                <w:p w14:paraId="6BF620FA">
                  <w:pPr>
                    <w:pStyle w:val="73"/>
                  </w:pPr>
                </w:p>
              </w:tc>
            </w:tr>
            <w:tr w14:paraId="64A76A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70A758C9">
                  <w:pPr>
                    <w:pStyle w:val="73"/>
                  </w:pPr>
                </w:p>
              </w:tc>
              <w:tc>
                <w:tcPr>
                  <w:tcW w:w="946" w:type="pct"/>
                  <w:tcBorders>
                    <w:tl2br w:val="nil"/>
                    <w:tr2bl w:val="nil"/>
                  </w:tcBorders>
                  <w:vAlign w:val="center"/>
                </w:tcPr>
                <w:p w14:paraId="19728690">
                  <w:pPr>
                    <w:pStyle w:val="73"/>
                  </w:pPr>
                  <w:r>
                    <w:t>颗粒物浓度</w:t>
                  </w:r>
                </w:p>
              </w:tc>
              <w:tc>
                <w:tcPr>
                  <w:tcW w:w="489" w:type="pct"/>
                  <w:tcBorders>
                    <w:tl2br w:val="nil"/>
                    <w:tr2bl w:val="nil"/>
                  </w:tcBorders>
                  <w:vAlign w:val="center"/>
                </w:tcPr>
                <w:p w14:paraId="5DD14BFD">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6C881833">
                  <w:pPr>
                    <w:pStyle w:val="73"/>
                  </w:pPr>
                  <w:r>
                    <w:t>2.5</w:t>
                  </w:r>
                </w:p>
              </w:tc>
              <w:tc>
                <w:tcPr>
                  <w:tcW w:w="555" w:type="pct"/>
                  <w:tcBorders>
                    <w:tl2br w:val="nil"/>
                    <w:tr2bl w:val="nil"/>
                  </w:tcBorders>
                  <w:vAlign w:val="center"/>
                </w:tcPr>
                <w:p w14:paraId="6ECA9EB1">
                  <w:pPr>
                    <w:pStyle w:val="73"/>
                  </w:pPr>
                  <w:r>
                    <w:t>2.2</w:t>
                  </w:r>
                </w:p>
              </w:tc>
              <w:tc>
                <w:tcPr>
                  <w:tcW w:w="555" w:type="pct"/>
                  <w:tcBorders>
                    <w:tl2br w:val="nil"/>
                    <w:tr2bl w:val="nil"/>
                  </w:tcBorders>
                  <w:vAlign w:val="center"/>
                </w:tcPr>
                <w:p w14:paraId="083A8999">
                  <w:pPr>
                    <w:pStyle w:val="73"/>
                  </w:pPr>
                  <w:r>
                    <w:t>2.7</w:t>
                  </w:r>
                </w:p>
              </w:tc>
              <w:tc>
                <w:tcPr>
                  <w:tcW w:w="556" w:type="pct"/>
                  <w:tcBorders>
                    <w:tl2br w:val="nil"/>
                    <w:tr2bl w:val="nil"/>
                  </w:tcBorders>
                  <w:vAlign w:val="center"/>
                </w:tcPr>
                <w:p w14:paraId="153BC9FE">
                  <w:pPr>
                    <w:pStyle w:val="73"/>
                  </w:pPr>
                  <w:r>
                    <w:t>2.7</w:t>
                  </w:r>
                </w:p>
              </w:tc>
              <w:tc>
                <w:tcPr>
                  <w:tcW w:w="352" w:type="pct"/>
                  <w:tcBorders>
                    <w:tl2br w:val="nil"/>
                    <w:tr2bl w:val="nil"/>
                  </w:tcBorders>
                  <w:vAlign w:val="center"/>
                </w:tcPr>
                <w:p w14:paraId="51DE07D5">
                  <w:pPr>
                    <w:pStyle w:val="73"/>
                    <w:rPr>
                      <w:rFonts w:cstheme="minorBidi"/>
                    </w:rPr>
                  </w:pPr>
                  <w:r>
                    <w:rPr>
                      <w:rFonts w:hint="eastAsia"/>
                    </w:rPr>
                    <w:t>10</w:t>
                  </w:r>
                </w:p>
              </w:tc>
              <w:tc>
                <w:tcPr>
                  <w:tcW w:w="319" w:type="pct"/>
                  <w:tcBorders>
                    <w:tl2br w:val="nil"/>
                    <w:tr2bl w:val="nil"/>
                  </w:tcBorders>
                  <w:vAlign w:val="center"/>
                </w:tcPr>
                <w:p w14:paraId="3573EDF0">
                  <w:pPr>
                    <w:pStyle w:val="73"/>
                    <w:rPr>
                      <w:rFonts w:cstheme="minorBidi"/>
                    </w:rPr>
                  </w:pPr>
                  <w:r>
                    <w:rPr>
                      <w:rFonts w:hint="eastAsia"/>
                    </w:rPr>
                    <w:t>达标</w:t>
                  </w:r>
                </w:p>
              </w:tc>
            </w:tr>
            <w:tr w14:paraId="669797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restart"/>
                  <w:tcBorders>
                    <w:tl2br w:val="nil"/>
                    <w:tr2bl w:val="nil"/>
                  </w:tcBorders>
                  <w:vAlign w:val="center"/>
                </w:tcPr>
                <w:p w14:paraId="53B4AD72">
                  <w:pPr>
                    <w:pStyle w:val="73"/>
                  </w:pPr>
                  <w:r>
                    <w:t>DA055</w:t>
                  </w:r>
                </w:p>
                <w:p w14:paraId="1E89D3EC">
                  <w:pPr>
                    <w:pStyle w:val="73"/>
                  </w:pPr>
                  <w:r>
                    <w:t>5#原矿浆磨制废气出口2024.03.05</w:t>
                  </w:r>
                </w:p>
              </w:tc>
              <w:tc>
                <w:tcPr>
                  <w:tcW w:w="946" w:type="pct"/>
                  <w:tcBorders>
                    <w:tl2br w:val="nil"/>
                    <w:tr2bl w:val="nil"/>
                  </w:tcBorders>
                  <w:vAlign w:val="center"/>
                </w:tcPr>
                <w:p w14:paraId="4A19A7AF">
                  <w:pPr>
                    <w:pStyle w:val="73"/>
                  </w:pPr>
                  <w:r>
                    <w:t>标况排气量</w:t>
                  </w:r>
                </w:p>
              </w:tc>
              <w:tc>
                <w:tcPr>
                  <w:tcW w:w="489" w:type="pct"/>
                  <w:tcBorders>
                    <w:tl2br w:val="nil"/>
                    <w:tr2bl w:val="nil"/>
                  </w:tcBorders>
                  <w:vAlign w:val="center"/>
                </w:tcPr>
                <w:p w14:paraId="1CFC3269">
                  <w:pPr>
                    <w:pStyle w:val="73"/>
                  </w:pPr>
                  <w:r>
                    <w:rPr>
                      <w:rFonts w:hint="eastAsia"/>
                    </w:rPr>
                    <w:t>Nm</w:t>
                  </w:r>
                  <w:r>
                    <w:rPr>
                      <w:rFonts w:hint="eastAsia"/>
                      <w:vertAlign w:val="superscript"/>
                    </w:rPr>
                    <w:t>3</w:t>
                  </w:r>
                  <w:r>
                    <w:t>/h</w:t>
                  </w:r>
                </w:p>
              </w:tc>
              <w:tc>
                <w:tcPr>
                  <w:tcW w:w="555" w:type="pct"/>
                  <w:tcBorders>
                    <w:tl2br w:val="nil"/>
                    <w:tr2bl w:val="nil"/>
                  </w:tcBorders>
                  <w:vAlign w:val="center"/>
                </w:tcPr>
                <w:p w14:paraId="2080EE7A">
                  <w:pPr>
                    <w:pStyle w:val="73"/>
                  </w:pPr>
                  <w:r>
                    <w:t>21728</w:t>
                  </w:r>
                </w:p>
              </w:tc>
              <w:tc>
                <w:tcPr>
                  <w:tcW w:w="555" w:type="pct"/>
                  <w:tcBorders>
                    <w:tl2br w:val="nil"/>
                    <w:tr2bl w:val="nil"/>
                  </w:tcBorders>
                  <w:vAlign w:val="center"/>
                </w:tcPr>
                <w:p w14:paraId="50321F60">
                  <w:pPr>
                    <w:pStyle w:val="73"/>
                  </w:pPr>
                  <w:r>
                    <w:t>19894</w:t>
                  </w:r>
                </w:p>
              </w:tc>
              <w:tc>
                <w:tcPr>
                  <w:tcW w:w="555" w:type="pct"/>
                  <w:tcBorders>
                    <w:tl2br w:val="nil"/>
                    <w:tr2bl w:val="nil"/>
                  </w:tcBorders>
                  <w:vAlign w:val="center"/>
                </w:tcPr>
                <w:p w14:paraId="20BED484">
                  <w:pPr>
                    <w:pStyle w:val="73"/>
                  </w:pPr>
                  <w:r>
                    <w:t>20161</w:t>
                  </w:r>
                </w:p>
              </w:tc>
              <w:tc>
                <w:tcPr>
                  <w:tcW w:w="556" w:type="pct"/>
                  <w:tcBorders>
                    <w:tl2br w:val="nil"/>
                    <w:tr2bl w:val="nil"/>
                  </w:tcBorders>
                  <w:vAlign w:val="center"/>
                </w:tcPr>
                <w:p w14:paraId="5A807D9B">
                  <w:pPr>
                    <w:pStyle w:val="73"/>
                  </w:pPr>
                  <w:r>
                    <w:t>/</w:t>
                  </w:r>
                </w:p>
              </w:tc>
              <w:tc>
                <w:tcPr>
                  <w:tcW w:w="352" w:type="pct"/>
                  <w:tcBorders>
                    <w:tl2br w:val="nil"/>
                    <w:tr2bl w:val="nil"/>
                  </w:tcBorders>
                  <w:vAlign w:val="center"/>
                </w:tcPr>
                <w:p w14:paraId="6C526DD5">
                  <w:pPr>
                    <w:pStyle w:val="73"/>
                  </w:pPr>
                </w:p>
              </w:tc>
              <w:tc>
                <w:tcPr>
                  <w:tcW w:w="319" w:type="pct"/>
                  <w:tcBorders>
                    <w:tl2br w:val="nil"/>
                    <w:tr2bl w:val="nil"/>
                  </w:tcBorders>
                  <w:vAlign w:val="center"/>
                </w:tcPr>
                <w:p w14:paraId="65742143">
                  <w:pPr>
                    <w:pStyle w:val="73"/>
                  </w:pPr>
                </w:p>
              </w:tc>
            </w:tr>
            <w:tr w14:paraId="7D1764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29793DCB">
                  <w:pPr>
                    <w:pStyle w:val="73"/>
                  </w:pPr>
                </w:p>
              </w:tc>
              <w:tc>
                <w:tcPr>
                  <w:tcW w:w="946" w:type="pct"/>
                  <w:tcBorders>
                    <w:tl2br w:val="nil"/>
                    <w:tr2bl w:val="nil"/>
                  </w:tcBorders>
                  <w:vAlign w:val="center"/>
                </w:tcPr>
                <w:p w14:paraId="786F5E63">
                  <w:pPr>
                    <w:pStyle w:val="73"/>
                  </w:pPr>
                  <w:r>
                    <w:t>颗粒物浓度</w:t>
                  </w:r>
                </w:p>
              </w:tc>
              <w:tc>
                <w:tcPr>
                  <w:tcW w:w="489" w:type="pct"/>
                  <w:tcBorders>
                    <w:tl2br w:val="nil"/>
                    <w:tr2bl w:val="nil"/>
                  </w:tcBorders>
                  <w:vAlign w:val="center"/>
                </w:tcPr>
                <w:p w14:paraId="08433C04">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6A5E72BE">
                  <w:pPr>
                    <w:pStyle w:val="73"/>
                  </w:pPr>
                  <w:r>
                    <w:t>2.4</w:t>
                  </w:r>
                </w:p>
              </w:tc>
              <w:tc>
                <w:tcPr>
                  <w:tcW w:w="555" w:type="pct"/>
                  <w:tcBorders>
                    <w:tl2br w:val="nil"/>
                    <w:tr2bl w:val="nil"/>
                  </w:tcBorders>
                  <w:vAlign w:val="center"/>
                </w:tcPr>
                <w:p w14:paraId="11DEA2AD">
                  <w:pPr>
                    <w:pStyle w:val="73"/>
                  </w:pPr>
                  <w:r>
                    <w:t>2.1</w:t>
                  </w:r>
                </w:p>
              </w:tc>
              <w:tc>
                <w:tcPr>
                  <w:tcW w:w="555" w:type="pct"/>
                  <w:tcBorders>
                    <w:tl2br w:val="nil"/>
                    <w:tr2bl w:val="nil"/>
                  </w:tcBorders>
                  <w:vAlign w:val="center"/>
                </w:tcPr>
                <w:p w14:paraId="0B2BAC79">
                  <w:pPr>
                    <w:pStyle w:val="73"/>
                  </w:pPr>
                  <w:r>
                    <w:t>1.9</w:t>
                  </w:r>
                </w:p>
              </w:tc>
              <w:tc>
                <w:tcPr>
                  <w:tcW w:w="556" w:type="pct"/>
                  <w:tcBorders>
                    <w:tl2br w:val="nil"/>
                    <w:tr2bl w:val="nil"/>
                  </w:tcBorders>
                  <w:vAlign w:val="center"/>
                </w:tcPr>
                <w:p w14:paraId="697C25F8">
                  <w:pPr>
                    <w:pStyle w:val="73"/>
                  </w:pPr>
                  <w:r>
                    <w:t>2.4</w:t>
                  </w:r>
                </w:p>
              </w:tc>
              <w:tc>
                <w:tcPr>
                  <w:tcW w:w="352" w:type="pct"/>
                  <w:tcBorders>
                    <w:tl2br w:val="nil"/>
                    <w:tr2bl w:val="nil"/>
                  </w:tcBorders>
                  <w:vAlign w:val="center"/>
                </w:tcPr>
                <w:p w14:paraId="143FB17D">
                  <w:pPr>
                    <w:pStyle w:val="73"/>
                    <w:rPr>
                      <w:rFonts w:cstheme="minorBidi"/>
                    </w:rPr>
                  </w:pPr>
                  <w:r>
                    <w:rPr>
                      <w:rFonts w:hint="eastAsia"/>
                    </w:rPr>
                    <w:t>10</w:t>
                  </w:r>
                </w:p>
              </w:tc>
              <w:tc>
                <w:tcPr>
                  <w:tcW w:w="319" w:type="pct"/>
                  <w:tcBorders>
                    <w:tl2br w:val="nil"/>
                    <w:tr2bl w:val="nil"/>
                  </w:tcBorders>
                  <w:vAlign w:val="center"/>
                </w:tcPr>
                <w:p w14:paraId="03CFBC70">
                  <w:pPr>
                    <w:pStyle w:val="73"/>
                    <w:rPr>
                      <w:rFonts w:cstheme="minorBidi"/>
                    </w:rPr>
                  </w:pPr>
                  <w:r>
                    <w:rPr>
                      <w:rFonts w:hint="eastAsia"/>
                    </w:rPr>
                    <w:t>达标</w:t>
                  </w:r>
                </w:p>
              </w:tc>
            </w:tr>
            <w:tr w14:paraId="17FDB8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restart"/>
                  <w:tcBorders>
                    <w:tl2br w:val="nil"/>
                    <w:tr2bl w:val="nil"/>
                  </w:tcBorders>
                  <w:vAlign w:val="center"/>
                </w:tcPr>
                <w:p w14:paraId="6195862D">
                  <w:pPr>
                    <w:pStyle w:val="73"/>
                  </w:pPr>
                  <w:r>
                    <w:rPr>
                      <w:lang w:val="zh-CN"/>
                    </w:rPr>
                    <w:t>DA0</w:t>
                  </w:r>
                  <w:r>
                    <w:t>75 A氧化铝斗提机废气出</w:t>
                  </w:r>
                  <w:r>
                    <w:rPr>
                      <w:lang w:val="zh-CN"/>
                    </w:rPr>
                    <w:t>口</w:t>
                  </w:r>
                  <w:r>
                    <w:t>2024.03.03</w:t>
                  </w:r>
                </w:p>
              </w:tc>
              <w:tc>
                <w:tcPr>
                  <w:tcW w:w="946" w:type="pct"/>
                  <w:tcBorders>
                    <w:tl2br w:val="nil"/>
                    <w:tr2bl w:val="nil"/>
                  </w:tcBorders>
                  <w:vAlign w:val="center"/>
                </w:tcPr>
                <w:p w14:paraId="6E2B60C9">
                  <w:pPr>
                    <w:pStyle w:val="73"/>
                  </w:pPr>
                  <w:r>
                    <w:t>标况排气量</w:t>
                  </w:r>
                </w:p>
              </w:tc>
              <w:tc>
                <w:tcPr>
                  <w:tcW w:w="489" w:type="pct"/>
                  <w:tcBorders>
                    <w:tl2br w:val="nil"/>
                    <w:tr2bl w:val="nil"/>
                  </w:tcBorders>
                  <w:vAlign w:val="center"/>
                </w:tcPr>
                <w:p w14:paraId="788C5B40">
                  <w:pPr>
                    <w:pStyle w:val="73"/>
                  </w:pPr>
                  <w:r>
                    <w:rPr>
                      <w:rFonts w:hint="eastAsia"/>
                    </w:rPr>
                    <w:t>Nm</w:t>
                  </w:r>
                  <w:r>
                    <w:rPr>
                      <w:rFonts w:hint="eastAsia"/>
                      <w:vertAlign w:val="superscript"/>
                    </w:rPr>
                    <w:t>3</w:t>
                  </w:r>
                  <w:r>
                    <w:t>/h</w:t>
                  </w:r>
                </w:p>
              </w:tc>
              <w:tc>
                <w:tcPr>
                  <w:tcW w:w="555" w:type="pct"/>
                  <w:tcBorders>
                    <w:tl2br w:val="nil"/>
                    <w:tr2bl w:val="nil"/>
                  </w:tcBorders>
                  <w:vAlign w:val="center"/>
                </w:tcPr>
                <w:p w14:paraId="6454587E">
                  <w:pPr>
                    <w:pStyle w:val="73"/>
                  </w:pPr>
                  <w:r>
                    <w:t>10186</w:t>
                  </w:r>
                </w:p>
              </w:tc>
              <w:tc>
                <w:tcPr>
                  <w:tcW w:w="555" w:type="pct"/>
                  <w:tcBorders>
                    <w:tl2br w:val="nil"/>
                    <w:tr2bl w:val="nil"/>
                  </w:tcBorders>
                  <w:vAlign w:val="center"/>
                </w:tcPr>
                <w:p w14:paraId="42048558">
                  <w:pPr>
                    <w:pStyle w:val="73"/>
                  </w:pPr>
                  <w:r>
                    <w:t>10377</w:t>
                  </w:r>
                </w:p>
              </w:tc>
              <w:tc>
                <w:tcPr>
                  <w:tcW w:w="555" w:type="pct"/>
                  <w:tcBorders>
                    <w:tl2br w:val="nil"/>
                    <w:tr2bl w:val="nil"/>
                  </w:tcBorders>
                  <w:vAlign w:val="center"/>
                </w:tcPr>
                <w:p w14:paraId="6C831420">
                  <w:pPr>
                    <w:pStyle w:val="73"/>
                  </w:pPr>
                  <w:r>
                    <w:t>10339</w:t>
                  </w:r>
                </w:p>
              </w:tc>
              <w:tc>
                <w:tcPr>
                  <w:tcW w:w="556" w:type="pct"/>
                  <w:tcBorders>
                    <w:tl2br w:val="nil"/>
                    <w:tr2bl w:val="nil"/>
                  </w:tcBorders>
                  <w:vAlign w:val="center"/>
                </w:tcPr>
                <w:p w14:paraId="45696806">
                  <w:pPr>
                    <w:pStyle w:val="73"/>
                  </w:pPr>
                  <w:r>
                    <w:t>/</w:t>
                  </w:r>
                </w:p>
              </w:tc>
              <w:tc>
                <w:tcPr>
                  <w:tcW w:w="352" w:type="pct"/>
                  <w:tcBorders>
                    <w:tl2br w:val="nil"/>
                    <w:tr2bl w:val="nil"/>
                  </w:tcBorders>
                  <w:vAlign w:val="center"/>
                </w:tcPr>
                <w:p w14:paraId="473EC9D3">
                  <w:pPr>
                    <w:pStyle w:val="73"/>
                  </w:pPr>
                </w:p>
              </w:tc>
              <w:tc>
                <w:tcPr>
                  <w:tcW w:w="319" w:type="pct"/>
                  <w:tcBorders>
                    <w:tl2br w:val="nil"/>
                    <w:tr2bl w:val="nil"/>
                  </w:tcBorders>
                  <w:vAlign w:val="center"/>
                </w:tcPr>
                <w:p w14:paraId="6C39BD98">
                  <w:pPr>
                    <w:pStyle w:val="73"/>
                  </w:pPr>
                </w:p>
              </w:tc>
            </w:tr>
            <w:tr w14:paraId="4AE605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1A3652DB">
                  <w:pPr>
                    <w:pStyle w:val="73"/>
                  </w:pPr>
                </w:p>
              </w:tc>
              <w:tc>
                <w:tcPr>
                  <w:tcW w:w="946" w:type="pct"/>
                  <w:tcBorders>
                    <w:tl2br w:val="nil"/>
                    <w:tr2bl w:val="nil"/>
                  </w:tcBorders>
                  <w:vAlign w:val="center"/>
                </w:tcPr>
                <w:p w14:paraId="2837F1A7">
                  <w:pPr>
                    <w:pStyle w:val="73"/>
                  </w:pPr>
                  <w:r>
                    <w:t>颗粒物浓度</w:t>
                  </w:r>
                </w:p>
              </w:tc>
              <w:tc>
                <w:tcPr>
                  <w:tcW w:w="489" w:type="pct"/>
                  <w:tcBorders>
                    <w:tl2br w:val="nil"/>
                    <w:tr2bl w:val="nil"/>
                  </w:tcBorders>
                  <w:vAlign w:val="center"/>
                </w:tcPr>
                <w:p w14:paraId="7DA2F55F">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6C7FB6F9">
                  <w:pPr>
                    <w:pStyle w:val="73"/>
                  </w:pPr>
                  <w:r>
                    <w:t>2.2</w:t>
                  </w:r>
                </w:p>
              </w:tc>
              <w:tc>
                <w:tcPr>
                  <w:tcW w:w="555" w:type="pct"/>
                  <w:tcBorders>
                    <w:tl2br w:val="nil"/>
                    <w:tr2bl w:val="nil"/>
                  </w:tcBorders>
                  <w:vAlign w:val="center"/>
                </w:tcPr>
                <w:p w14:paraId="2CF389A3">
                  <w:pPr>
                    <w:pStyle w:val="73"/>
                  </w:pPr>
                  <w:r>
                    <w:t>2.1</w:t>
                  </w:r>
                </w:p>
              </w:tc>
              <w:tc>
                <w:tcPr>
                  <w:tcW w:w="555" w:type="pct"/>
                  <w:tcBorders>
                    <w:tl2br w:val="nil"/>
                    <w:tr2bl w:val="nil"/>
                  </w:tcBorders>
                  <w:vAlign w:val="center"/>
                </w:tcPr>
                <w:p w14:paraId="7918D207">
                  <w:pPr>
                    <w:pStyle w:val="73"/>
                  </w:pPr>
                  <w:r>
                    <w:t>2.3</w:t>
                  </w:r>
                </w:p>
              </w:tc>
              <w:tc>
                <w:tcPr>
                  <w:tcW w:w="556" w:type="pct"/>
                  <w:tcBorders>
                    <w:tl2br w:val="nil"/>
                    <w:tr2bl w:val="nil"/>
                  </w:tcBorders>
                  <w:vAlign w:val="center"/>
                </w:tcPr>
                <w:p w14:paraId="18E64212">
                  <w:pPr>
                    <w:pStyle w:val="73"/>
                  </w:pPr>
                  <w:r>
                    <w:t>2.3</w:t>
                  </w:r>
                </w:p>
              </w:tc>
              <w:tc>
                <w:tcPr>
                  <w:tcW w:w="352" w:type="pct"/>
                  <w:tcBorders>
                    <w:tl2br w:val="nil"/>
                    <w:tr2bl w:val="nil"/>
                  </w:tcBorders>
                  <w:vAlign w:val="center"/>
                </w:tcPr>
                <w:p w14:paraId="4B1F9209">
                  <w:pPr>
                    <w:pStyle w:val="73"/>
                    <w:rPr>
                      <w:rFonts w:cstheme="minorBidi"/>
                    </w:rPr>
                  </w:pPr>
                  <w:r>
                    <w:rPr>
                      <w:rFonts w:hint="eastAsia"/>
                    </w:rPr>
                    <w:t>10</w:t>
                  </w:r>
                </w:p>
              </w:tc>
              <w:tc>
                <w:tcPr>
                  <w:tcW w:w="319" w:type="pct"/>
                  <w:tcBorders>
                    <w:tl2br w:val="nil"/>
                    <w:tr2bl w:val="nil"/>
                  </w:tcBorders>
                  <w:vAlign w:val="center"/>
                </w:tcPr>
                <w:p w14:paraId="2D04E7E9">
                  <w:pPr>
                    <w:pStyle w:val="73"/>
                    <w:rPr>
                      <w:rFonts w:cstheme="minorBidi"/>
                    </w:rPr>
                  </w:pPr>
                  <w:r>
                    <w:rPr>
                      <w:rFonts w:hint="eastAsia"/>
                    </w:rPr>
                    <w:t>达标</w:t>
                  </w:r>
                </w:p>
              </w:tc>
            </w:tr>
            <w:tr w14:paraId="2B9798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restart"/>
                  <w:tcBorders>
                    <w:tl2br w:val="nil"/>
                    <w:tr2bl w:val="nil"/>
                  </w:tcBorders>
                  <w:vAlign w:val="center"/>
                </w:tcPr>
                <w:p w14:paraId="454B53B3">
                  <w:pPr>
                    <w:pStyle w:val="73"/>
                  </w:pPr>
                  <w:r>
                    <w:t>DA076 B氧化铝斗提机废气出口2024.03.02</w:t>
                  </w:r>
                </w:p>
              </w:tc>
              <w:tc>
                <w:tcPr>
                  <w:tcW w:w="946" w:type="pct"/>
                  <w:tcBorders>
                    <w:tl2br w:val="nil"/>
                    <w:tr2bl w:val="nil"/>
                  </w:tcBorders>
                  <w:vAlign w:val="center"/>
                </w:tcPr>
                <w:p w14:paraId="430C7BF0">
                  <w:pPr>
                    <w:pStyle w:val="73"/>
                  </w:pPr>
                  <w:r>
                    <w:t>标况排气量</w:t>
                  </w:r>
                </w:p>
              </w:tc>
              <w:tc>
                <w:tcPr>
                  <w:tcW w:w="489" w:type="pct"/>
                  <w:tcBorders>
                    <w:tl2br w:val="nil"/>
                    <w:tr2bl w:val="nil"/>
                  </w:tcBorders>
                  <w:vAlign w:val="center"/>
                </w:tcPr>
                <w:p w14:paraId="7448EE94">
                  <w:pPr>
                    <w:pStyle w:val="73"/>
                  </w:pPr>
                  <w:r>
                    <w:rPr>
                      <w:rFonts w:hint="eastAsia"/>
                    </w:rPr>
                    <w:t>Nm</w:t>
                  </w:r>
                  <w:r>
                    <w:rPr>
                      <w:rFonts w:hint="eastAsia"/>
                      <w:vertAlign w:val="superscript"/>
                    </w:rPr>
                    <w:t>3</w:t>
                  </w:r>
                  <w:r>
                    <w:t>/h</w:t>
                  </w:r>
                </w:p>
              </w:tc>
              <w:tc>
                <w:tcPr>
                  <w:tcW w:w="555" w:type="pct"/>
                  <w:tcBorders>
                    <w:tl2br w:val="nil"/>
                    <w:tr2bl w:val="nil"/>
                  </w:tcBorders>
                  <w:vAlign w:val="center"/>
                </w:tcPr>
                <w:p w14:paraId="08B53519">
                  <w:pPr>
                    <w:pStyle w:val="73"/>
                  </w:pPr>
                  <w:r>
                    <w:t>7080</w:t>
                  </w:r>
                </w:p>
              </w:tc>
              <w:tc>
                <w:tcPr>
                  <w:tcW w:w="555" w:type="pct"/>
                  <w:tcBorders>
                    <w:tl2br w:val="nil"/>
                    <w:tr2bl w:val="nil"/>
                  </w:tcBorders>
                  <w:vAlign w:val="center"/>
                </w:tcPr>
                <w:p w14:paraId="7F0C6647">
                  <w:pPr>
                    <w:pStyle w:val="73"/>
                  </w:pPr>
                  <w:r>
                    <w:t>7173</w:t>
                  </w:r>
                </w:p>
              </w:tc>
              <w:tc>
                <w:tcPr>
                  <w:tcW w:w="555" w:type="pct"/>
                  <w:tcBorders>
                    <w:tl2br w:val="nil"/>
                    <w:tr2bl w:val="nil"/>
                  </w:tcBorders>
                  <w:vAlign w:val="center"/>
                </w:tcPr>
                <w:p w14:paraId="5F4DB9C2">
                  <w:pPr>
                    <w:pStyle w:val="73"/>
                  </w:pPr>
                  <w:r>
                    <w:t>6996</w:t>
                  </w:r>
                </w:p>
              </w:tc>
              <w:tc>
                <w:tcPr>
                  <w:tcW w:w="556" w:type="pct"/>
                  <w:tcBorders>
                    <w:tl2br w:val="nil"/>
                    <w:tr2bl w:val="nil"/>
                  </w:tcBorders>
                  <w:vAlign w:val="center"/>
                </w:tcPr>
                <w:p w14:paraId="66C2E509">
                  <w:pPr>
                    <w:pStyle w:val="73"/>
                  </w:pPr>
                  <w:r>
                    <w:t>/</w:t>
                  </w:r>
                </w:p>
              </w:tc>
              <w:tc>
                <w:tcPr>
                  <w:tcW w:w="352" w:type="pct"/>
                  <w:tcBorders>
                    <w:tl2br w:val="nil"/>
                    <w:tr2bl w:val="nil"/>
                  </w:tcBorders>
                  <w:vAlign w:val="center"/>
                </w:tcPr>
                <w:p w14:paraId="602A5EC5">
                  <w:pPr>
                    <w:pStyle w:val="73"/>
                  </w:pPr>
                </w:p>
              </w:tc>
              <w:tc>
                <w:tcPr>
                  <w:tcW w:w="319" w:type="pct"/>
                  <w:tcBorders>
                    <w:tl2br w:val="nil"/>
                    <w:tr2bl w:val="nil"/>
                  </w:tcBorders>
                  <w:vAlign w:val="center"/>
                </w:tcPr>
                <w:p w14:paraId="65B4AD2B">
                  <w:pPr>
                    <w:pStyle w:val="73"/>
                  </w:pPr>
                </w:p>
              </w:tc>
            </w:tr>
            <w:tr w14:paraId="149DFA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5CC65D15">
                  <w:pPr>
                    <w:pStyle w:val="73"/>
                  </w:pPr>
                </w:p>
              </w:tc>
              <w:tc>
                <w:tcPr>
                  <w:tcW w:w="946" w:type="pct"/>
                  <w:tcBorders>
                    <w:tl2br w:val="nil"/>
                    <w:tr2bl w:val="nil"/>
                  </w:tcBorders>
                  <w:vAlign w:val="center"/>
                </w:tcPr>
                <w:p w14:paraId="7368356F">
                  <w:pPr>
                    <w:pStyle w:val="73"/>
                  </w:pPr>
                  <w:r>
                    <w:t>颗粒物浓度</w:t>
                  </w:r>
                </w:p>
              </w:tc>
              <w:tc>
                <w:tcPr>
                  <w:tcW w:w="489" w:type="pct"/>
                  <w:tcBorders>
                    <w:tl2br w:val="nil"/>
                    <w:tr2bl w:val="nil"/>
                  </w:tcBorders>
                  <w:vAlign w:val="center"/>
                </w:tcPr>
                <w:p w14:paraId="3E9FDBAD">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62075685">
                  <w:pPr>
                    <w:pStyle w:val="73"/>
                  </w:pPr>
                  <w:r>
                    <w:t>4.2</w:t>
                  </w:r>
                </w:p>
              </w:tc>
              <w:tc>
                <w:tcPr>
                  <w:tcW w:w="555" w:type="pct"/>
                  <w:tcBorders>
                    <w:tl2br w:val="nil"/>
                    <w:tr2bl w:val="nil"/>
                  </w:tcBorders>
                  <w:vAlign w:val="center"/>
                </w:tcPr>
                <w:p w14:paraId="15BC82B6">
                  <w:pPr>
                    <w:pStyle w:val="73"/>
                  </w:pPr>
                  <w:r>
                    <w:t>4.5</w:t>
                  </w:r>
                </w:p>
              </w:tc>
              <w:tc>
                <w:tcPr>
                  <w:tcW w:w="555" w:type="pct"/>
                  <w:tcBorders>
                    <w:tl2br w:val="nil"/>
                    <w:tr2bl w:val="nil"/>
                  </w:tcBorders>
                  <w:vAlign w:val="center"/>
                </w:tcPr>
                <w:p w14:paraId="132B2E39">
                  <w:pPr>
                    <w:pStyle w:val="73"/>
                  </w:pPr>
                  <w:r>
                    <w:t>3.7</w:t>
                  </w:r>
                </w:p>
              </w:tc>
              <w:tc>
                <w:tcPr>
                  <w:tcW w:w="556" w:type="pct"/>
                  <w:tcBorders>
                    <w:tl2br w:val="nil"/>
                    <w:tr2bl w:val="nil"/>
                  </w:tcBorders>
                  <w:vAlign w:val="center"/>
                </w:tcPr>
                <w:p w14:paraId="73381E5A">
                  <w:pPr>
                    <w:pStyle w:val="73"/>
                  </w:pPr>
                  <w:r>
                    <w:t>4.5</w:t>
                  </w:r>
                </w:p>
              </w:tc>
              <w:tc>
                <w:tcPr>
                  <w:tcW w:w="352" w:type="pct"/>
                  <w:tcBorders>
                    <w:tl2br w:val="nil"/>
                    <w:tr2bl w:val="nil"/>
                  </w:tcBorders>
                  <w:vAlign w:val="center"/>
                </w:tcPr>
                <w:p w14:paraId="136D0789">
                  <w:pPr>
                    <w:pStyle w:val="73"/>
                    <w:rPr>
                      <w:rFonts w:cstheme="minorBidi"/>
                    </w:rPr>
                  </w:pPr>
                  <w:r>
                    <w:rPr>
                      <w:rFonts w:hint="eastAsia"/>
                    </w:rPr>
                    <w:t>10</w:t>
                  </w:r>
                </w:p>
              </w:tc>
              <w:tc>
                <w:tcPr>
                  <w:tcW w:w="319" w:type="pct"/>
                  <w:tcBorders>
                    <w:tl2br w:val="nil"/>
                    <w:tr2bl w:val="nil"/>
                  </w:tcBorders>
                  <w:vAlign w:val="center"/>
                </w:tcPr>
                <w:p w14:paraId="0C4B7C0F">
                  <w:pPr>
                    <w:pStyle w:val="73"/>
                    <w:rPr>
                      <w:rFonts w:cstheme="minorBidi"/>
                    </w:rPr>
                  </w:pPr>
                  <w:r>
                    <w:rPr>
                      <w:rFonts w:hint="eastAsia"/>
                    </w:rPr>
                    <w:t>达标</w:t>
                  </w:r>
                </w:p>
              </w:tc>
            </w:tr>
            <w:tr w14:paraId="37A2C6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restart"/>
                  <w:tcBorders>
                    <w:tl2br w:val="nil"/>
                    <w:tr2bl w:val="nil"/>
                  </w:tcBorders>
                  <w:vAlign w:val="center"/>
                </w:tcPr>
                <w:p w14:paraId="02A39B52">
                  <w:pPr>
                    <w:pStyle w:val="73"/>
                  </w:pPr>
                  <w:r>
                    <w:t>DA0</w:t>
                  </w:r>
                  <w:r>
                    <w:rPr>
                      <w:rFonts w:hint="eastAsia"/>
                    </w:rPr>
                    <w:t>77</w:t>
                  </w:r>
                </w:p>
                <w:p w14:paraId="0C81D877">
                  <w:pPr>
                    <w:pStyle w:val="73"/>
                  </w:pPr>
                  <w:r>
                    <w:t>C氧化铝斗提机废气出口202</w:t>
                  </w:r>
                  <w:r>
                    <w:rPr>
                      <w:rFonts w:hint="eastAsia"/>
                    </w:rPr>
                    <w:t>4.</w:t>
                  </w:r>
                  <w:r>
                    <w:t>0</w:t>
                  </w:r>
                  <w:r>
                    <w:rPr>
                      <w:rFonts w:hint="eastAsia"/>
                    </w:rPr>
                    <w:t>3</w:t>
                  </w:r>
                  <w:r>
                    <w:t>.</w:t>
                  </w:r>
                  <w:r>
                    <w:rPr>
                      <w:rFonts w:hint="eastAsia"/>
                    </w:rPr>
                    <w:t>02</w:t>
                  </w:r>
                </w:p>
              </w:tc>
              <w:tc>
                <w:tcPr>
                  <w:tcW w:w="946" w:type="pct"/>
                  <w:tcBorders>
                    <w:tl2br w:val="nil"/>
                    <w:tr2bl w:val="nil"/>
                  </w:tcBorders>
                  <w:vAlign w:val="center"/>
                </w:tcPr>
                <w:p w14:paraId="6729DB38">
                  <w:pPr>
                    <w:pStyle w:val="73"/>
                  </w:pPr>
                  <w:r>
                    <w:t>标况排气量</w:t>
                  </w:r>
                </w:p>
              </w:tc>
              <w:tc>
                <w:tcPr>
                  <w:tcW w:w="489" w:type="pct"/>
                  <w:tcBorders>
                    <w:tl2br w:val="nil"/>
                    <w:tr2bl w:val="nil"/>
                  </w:tcBorders>
                  <w:vAlign w:val="center"/>
                </w:tcPr>
                <w:p w14:paraId="11C6356E">
                  <w:pPr>
                    <w:pStyle w:val="73"/>
                  </w:pPr>
                  <w:r>
                    <w:rPr>
                      <w:rFonts w:hint="eastAsia"/>
                    </w:rPr>
                    <w:t>Nm</w:t>
                  </w:r>
                  <w:r>
                    <w:rPr>
                      <w:rFonts w:hint="eastAsia"/>
                      <w:vertAlign w:val="superscript"/>
                    </w:rPr>
                    <w:t>3</w:t>
                  </w:r>
                  <w:r>
                    <w:t>/h</w:t>
                  </w:r>
                </w:p>
              </w:tc>
              <w:tc>
                <w:tcPr>
                  <w:tcW w:w="555" w:type="pct"/>
                  <w:tcBorders>
                    <w:tl2br w:val="nil"/>
                    <w:tr2bl w:val="nil"/>
                  </w:tcBorders>
                  <w:vAlign w:val="center"/>
                </w:tcPr>
                <w:p w14:paraId="1CAEC855">
                  <w:pPr>
                    <w:pStyle w:val="73"/>
                  </w:pPr>
                  <w:r>
                    <w:t>7270</w:t>
                  </w:r>
                </w:p>
              </w:tc>
              <w:tc>
                <w:tcPr>
                  <w:tcW w:w="555" w:type="pct"/>
                  <w:tcBorders>
                    <w:tl2br w:val="nil"/>
                    <w:tr2bl w:val="nil"/>
                  </w:tcBorders>
                  <w:vAlign w:val="center"/>
                </w:tcPr>
                <w:p w14:paraId="41179CEF">
                  <w:pPr>
                    <w:pStyle w:val="73"/>
                  </w:pPr>
                  <w:r>
                    <w:t>7073</w:t>
                  </w:r>
                </w:p>
              </w:tc>
              <w:tc>
                <w:tcPr>
                  <w:tcW w:w="555" w:type="pct"/>
                  <w:tcBorders>
                    <w:tl2br w:val="nil"/>
                    <w:tr2bl w:val="nil"/>
                  </w:tcBorders>
                  <w:vAlign w:val="center"/>
                </w:tcPr>
                <w:p w14:paraId="775BA06C">
                  <w:pPr>
                    <w:pStyle w:val="73"/>
                  </w:pPr>
                  <w:r>
                    <w:t>7224</w:t>
                  </w:r>
                </w:p>
              </w:tc>
              <w:tc>
                <w:tcPr>
                  <w:tcW w:w="556" w:type="pct"/>
                  <w:tcBorders>
                    <w:tl2br w:val="nil"/>
                    <w:tr2bl w:val="nil"/>
                  </w:tcBorders>
                  <w:vAlign w:val="center"/>
                </w:tcPr>
                <w:p w14:paraId="3B847462">
                  <w:pPr>
                    <w:pStyle w:val="73"/>
                  </w:pPr>
                  <w:r>
                    <w:t>/</w:t>
                  </w:r>
                </w:p>
              </w:tc>
              <w:tc>
                <w:tcPr>
                  <w:tcW w:w="352" w:type="pct"/>
                  <w:tcBorders>
                    <w:tl2br w:val="nil"/>
                    <w:tr2bl w:val="nil"/>
                  </w:tcBorders>
                  <w:vAlign w:val="center"/>
                </w:tcPr>
                <w:p w14:paraId="16716483">
                  <w:pPr>
                    <w:pStyle w:val="73"/>
                  </w:pPr>
                </w:p>
              </w:tc>
              <w:tc>
                <w:tcPr>
                  <w:tcW w:w="319" w:type="pct"/>
                  <w:tcBorders>
                    <w:tl2br w:val="nil"/>
                    <w:tr2bl w:val="nil"/>
                  </w:tcBorders>
                  <w:vAlign w:val="center"/>
                </w:tcPr>
                <w:p w14:paraId="6B34B875">
                  <w:pPr>
                    <w:pStyle w:val="73"/>
                  </w:pPr>
                </w:p>
              </w:tc>
            </w:tr>
            <w:tr w14:paraId="7B70AD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10428234">
                  <w:pPr>
                    <w:pStyle w:val="73"/>
                  </w:pPr>
                </w:p>
              </w:tc>
              <w:tc>
                <w:tcPr>
                  <w:tcW w:w="946" w:type="pct"/>
                  <w:tcBorders>
                    <w:tl2br w:val="nil"/>
                    <w:tr2bl w:val="nil"/>
                  </w:tcBorders>
                  <w:vAlign w:val="center"/>
                </w:tcPr>
                <w:p w14:paraId="7962B5DB">
                  <w:pPr>
                    <w:pStyle w:val="73"/>
                  </w:pPr>
                  <w:r>
                    <w:t>颗粒物浓度</w:t>
                  </w:r>
                </w:p>
              </w:tc>
              <w:tc>
                <w:tcPr>
                  <w:tcW w:w="489" w:type="pct"/>
                  <w:tcBorders>
                    <w:tl2br w:val="nil"/>
                    <w:tr2bl w:val="nil"/>
                  </w:tcBorders>
                  <w:vAlign w:val="center"/>
                </w:tcPr>
                <w:p w14:paraId="3F705C4F">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4395454E">
                  <w:pPr>
                    <w:pStyle w:val="73"/>
                  </w:pPr>
                  <w:r>
                    <w:t>2.7</w:t>
                  </w:r>
                </w:p>
              </w:tc>
              <w:tc>
                <w:tcPr>
                  <w:tcW w:w="555" w:type="pct"/>
                  <w:tcBorders>
                    <w:tl2br w:val="nil"/>
                    <w:tr2bl w:val="nil"/>
                  </w:tcBorders>
                  <w:vAlign w:val="center"/>
                </w:tcPr>
                <w:p w14:paraId="0FF846DE">
                  <w:pPr>
                    <w:pStyle w:val="73"/>
                  </w:pPr>
                  <w:r>
                    <w:t>2.2</w:t>
                  </w:r>
                </w:p>
              </w:tc>
              <w:tc>
                <w:tcPr>
                  <w:tcW w:w="555" w:type="pct"/>
                  <w:tcBorders>
                    <w:tl2br w:val="nil"/>
                    <w:tr2bl w:val="nil"/>
                  </w:tcBorders>
                  <w:vAlign w:val="center"/>
                </w:tcPr>
                <w:p w14:paraId="6E83AE42">
                  <w:pPr>
                    <w:pStyle w:val="73"/>
                  </w:pPr>
                  <w:r>
                    <w:t>2.5</w:t>
                  </w:r>
                </w:p>
              </w:tc>
              <w:tc>
                <w:tcPr>
                  <w:tcW w:w="556" w:type="pct"/>
                  <w:tcBorders>
                    <w:tl2br w:val="nil"/>
                    <w:tr2bl w:val="nil"/>
                  </w:tcBorders>
                  <w:vAlign w:val="center"/>
                </w:tcPr>
                <w:p w14:paraId="1ED717A2">
                  <w:pPr>
                    <w:pStyle w:val="73"/>
                  </w:pPr>
                  <w:r>
                    <w:t>2.7</w:t>
                  </w:r>
                </w:p>
              </w:tc>
              <w:tc>
                <w:tcPr>
                  <w:tcW w:w="352" w:type="pct"/>
                  <w:tcBorders>
                    <w:tl2br w:val="nil"/>
                    <w:tr2bl w:val="nil"/>
                  </w:tcBorders>
                  <w:vAlign w:val="center"/>
                </w:tcPr>
                <w:p w14:paraId="2400FB6C">
                  <w:pPr>
                    <w:pStyle w:val="73"/>
                    <w:rPr>
                      <w:rFonts w:cstheme="minorBidi"/>
                    </w:rPr>
                  </w:pPr>
                  <w:r>
                    <w:rPr>
                      <w:rFonts w:hint="eastAsia"/>
                    </w:rPr>
                    <w:t>10</w:t>
                  </w:r>
                </w:p>
              </w:tc>
              <w:tc>
                <w:tcPr>
                  <w:tcW w:w="319" w:type="pct"/>
                  <w:tcBorders>
                    <w:tl2br w:val="nil"/>
                    <w:tr2bl w:val="nil"/>
                  </w:tcBorders>
                  <w:vAlign w:val="center"/>
                </w:tcPr>
                <w:p w14:paraId="2E806378">
                  <w:pPr>
                    <w:pStyle w:val="73"/>
                    <w:rPr>
                      <w:rFonts w:cstheme="minorBidi"/>
                    </w:rPr>
                  </w:pPr>
                  <w:r>
                    <w:rPr>
                      <w:rFonts w:hint="eastAsia"/>
                    </w:rPr>
                    <w:t>达标</w:t>
                  </w:r>
                </w:p>
              </w:tc>
            </w:tr>
            <w:tr w14:paraId="6DFFBE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restart"/>
                  <w:tcBorders>
                    <w:tl2br w:val="nil"/>
                    <w:tr2bl w:val="nil"/>
                  </w:tcBorders>
                  <w:vAlign w:val="center"/>
                </w:tcPr>
                <w:p w14:paraId="70109509">
                  <w:pPr>
                    <w:pStyle w:val="73"/>
                  </w:pPr>
                  <w:r>
                    <w:t>DA0</w:t>
                  </w:r>
                  <w:r>
                    <w:rPr>
                      <w:rFonts w:hint="eastAsia"/>
                    </w:rPr>
                    <w:t>78</w:t>
                  </w:r>
                </w:p>
                <w:p w14:paraId="66AA56E3">
                  <w:pPr>
                    <w:pStyle w:val="73"/>
                  </w:pPr>
                  <w:r>
                    <w:t>D氧化铝斗提机废气出口202</w:t>
                  </w:r>
                  <w:r>
                    <w:rPr>
                      <w:rFonts w:hint="eastAsia"/>
                    </w:rPr>
                    <w:t>4.</w:t>
                  </w:r>
                  <w:r>
                    <w:t>0</w:t>
                  </w:r>
                  <w:r>
                    <w:rPr>
                      <w:rFonts w:hint="eastAsia"/>
                    </w:rPr>
                    <w:t>3</w:t>
                  </w:r>
                  <w:r>
                    <w:t>.</w:t>
                  </w:r>
                  <w:r>
                    <w:rPr>
                      <w:rFonts w:hint="eastAsia"/>
                    </w:rPr>
                    <w:t>01</w:t>
                  </w:r>
                </w:p>
              </w:tc>
              <w:tc>
                <w:tcPr>
                  <w:tcW w:w="946" w:type="pct"/>
                  <w:tcBorders>
                    <w:tl2br w:val="nil"/>
                    <w:tr2bl w:val="nil"/>
                  </w:tcBorders>
                  <w:vAlign w:val="center"/>
                </w:tcPr>
                <w:p w14:paraId="5D15A128">
                  <w:pPr>
                    <w:pStyle w:val="73"/>
                  </w:pPr>
                  <w:r>
                    <w:t>标况排气量</w:t>
                  </w:r>
                </w:p>
              </w:tc>
              <w:tc>
                <w:tcPr>
                  <w:tcW w:w="489" w:type="pct"/>
                  <w:tcBorders>
                    <w:tl2br w:val="nil"/>
                    <w:tr2bl w:val="nil"/>
                  </w:tcBorders>
                  <w:vAlign w:val="center"/>
                </w:tcPr>
                <w:p w14:paraId="6E8EA50D">
                  <w:pPr>
                    <w:pStyle w:val="73"/>
                  </w:pPr>
                  <w:r>
                    <w:rPr>
                      <w:rFonts w:hint="eastAsia"/>
                    </w:rPr>
                    <w:t>Nm</w:t>
                  </w:r>
                  <w:r>
                    <w:rPr>
                      <w:rFonts w:hint="eastAsia"/>
                      <w:vertAlign w:val="superscript"/>
                    </w:rPr>
                    <w:t>3</w:t>
                  </w:r>
                  <w:r>
                    <w:t>/h</w:t>
                  </w:r>
                </w:p>
              </w:tc>
              <w:tc>
                <w:tcPr>
                  <w:tcW w:w="555" w:type="pct"/>
                  <w:tcBorders>
                    <w:tl2br w:val="nil"/>
                    <w:tr2bl w:val="nil"/>
                  </w:tcBorders>
                  <w:vAlign w:val="center"/>
                </w:tcPr>
                <w:p w14:paraId="6DB8233D">
                  <w:pPr>
                    <w:pStyle w:val="73"/>
                  </w:pPr>
                  <w:r>
                    <w:t>7665</w:t>
                  </w:r>
                </w:p>
              </w:tc>
              <w:tc>
                <w:tcPr>
                  <w:tcW w:w="555" w:type="pct"/>
                  <w:tcBorders>
                    <w:tl2br w:val="nil"/>
                    <w:tr2bl w:val="nil"/>
                  </w:tcBorders>
                  <w:vAlign w:val="center"/>
                </w:tcPr>
                <w:p w14:paraId="1365612B">
                  <w:pPr>
                    <w:pStyle w:val="73"/>
                  </w:pPr>
                  <w:r>
                    <w:t>8509</w:t>
                  </w:r>
                </w:p>
              </w:tc>
              <w:tc>
                <w:tcPr>
                  <w:tcW w:w="555" w:type="pct"/>
                  <w:tcBorders>
                    <w:tl2br w:val="nil"/>
                    <w:tr2bl w:val="nil"/>
                  </w:tcBorders>
                  <w:vAlign w:val="center"/>
                </w:tcPr>
                <w:p w14:paraId="169C80CA">
                  <w:pPr>
                    <w:pStyle w:val="73"/>
                  </w:pPr>
                  <w:r>
                    <w:t>8697</w:t>
                  </w:r>
                </w:p>
              </w:tc>
              <w:tc>
                <w:tcPr>
                  <w:tcW w:w="556" w:type="pct"/>
                  <w:tcBorders>
                    <w:tl2br w:val="nil"/>
                    <w:tr2bl w:val="nil"/>
                  </w:tcBorders>
                  <w:vAlign w:val="center"/>
                </w:tcPr>
                <w:p w14:paraId="3EADF1E5">
                  <w:pPr>
                    <w:pStyle w:val="73"/>
                  </w:pPr>
                  <w:r>
                    <w:t>/</w:t>
                  </w:r>
                </w:p>
              </w:tc>
              <w:tc>
                <w:tcPr>
                  <w:tcW w:w="352" w:type="pct"/>
                  <w:tcBorders>
                    <w:tl2br w:val="nil"/>
                    <w:tr2bl w:val="nil"/>
                  </w:tcBorders>
                  <w:vAlign w:val="center"/>
                </w:tcPr>
                <w:p w14:paraId="75D543F4">
                  <w:pPr>
                    <w:pStyle w:val="73"/>
                  </w:pPr>
                </w:p>
              </w:tc>
              <w:tc>
                <w:tcPr>
                  <w:tcW w:w="319" w:type="pct"/>
                  <w:tcBorders>
                    <w:tl2br w:val="nil"/>
                    <w:tr2bl w:val="nil"/>
                  </w:tcBorders>
                  <w:vAlign w:val="center"/>
                </w:tcPr>
                <w:p w14:paraId="5A21EA40">
                  <w:pPr>
                    <w:pStyle w:val="73"/>
                  </w:pPr>
                </w:p>
              </w:tc>
            </w:tr>
            <w:tr w14:paraId="5C2137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4DDD9F78">
                  <w:pPr>
                    <w:pStyle w:val="73"/>
                  </w:pPr>
                </w:p>
              </w:tc>
              <w:tc>
                <w:tcPr>
                  <w:tcW w:w="946" w:type="pct"/>
                  <w:tcBorders>
                    <w:tl2br w:val="nil"/>
                    <w:tr2bl w:val="nil"/>
                  </w:tcBorders>
                  <w:vAlign w:val="center"/>
                </w:tcPr>
                <w:p w14:paraId="2D09B852">
                  <w:pPr>
                    <w:pStyle w:val="73"/>
                  </w:pPr>
                  <w:r>
                    <w:t>颗粒物浓度</w:t>
                  </w:r>
                </w:p>
              </w:tc>
              <w:tc>
                <w:tcPr>
                  <w:tcW w:w="489" w:type="pct"/>
                  <w:tcBorders>
                    <w:tl2br w:val="nil"/>
                    <w:tr2bl w:val="nil"/>
                  </w:tcBorders>
                  <w:vAlign w:val="center"/>
                </w:tcPr>
                <w:p w14:paraId="14995328">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1FB867FD">
                  <w:pPr>
                    <w:pStyle w:val="73"/>
                  </w:pPr>
                  <w:r>
                    <w:t>2.1</w:t>
                  </w:r>
                </w:p>
              </w:tc>
              <w:tc>
                <w:tcPr>
                  <w:tcW w:w="555" w:type="pct"/>
                  <w:tcBorders>
                    <w:tl2br w:val="nil"/>
                    <w:tr2bl w:val="nil"/>
                  </w:tcBorders>
                  <w:vAlign w:val="center"/>
                </w:tcPr>
                <w:p w14:paraId="099EF808">
                  <w:pPr>
                    <w:pStyle w:val="73"/>
                  </w:pPr>
                  <w:r>
                    <w:t>2.5</w:t>
                  </w:r>
                </w:p>
              </w:tc>
              <w:tc>
                <w:tcPr>
                  <w:tcW w:w="555" w:type="pct"/>
                  <w:tcBorders>
                    <w:tl2br w:val="nil"/>
                    <w:tr2bl w:val="nil"/>
                  </w:tcBorders>
                  <w:vAlign w:val="center"/>
                </w:tcPr>
                <w:p w14:paraId="35C5244B">
                  <w:pPr>
                    <w:pStyle w:val="73"/>
                  </w:pPr>
                  <w:r>
                    <w:t>2.2</w:t>
                  </w:r>
                </w:p>
              </w:tc>
              <w:tc>
                <w:tcPr>
                  <w:tcW w:w="556" w:type="pct"/>
                  <w:tcBorders>
                    <w:tl2br w:val="nil"/>
                    <w:tr2bl w:val="nil"/>
                  </w:tcBorders>
                  <w:vAlign w:val="center"/>
                </w:tcPr>
                <w:p w14:paraId="464A4B80">
                  <w:pPr>
                    <w:pStyle w:val="73"/>
                  </w:pPr>
                  <w:r>
                    <w:t>2.5</w:t>
                  </w:r>
                </w:p>
              </w:tc>
              <w:tc>
                <w:tcPr>
                  <w:tcW w:w="352" w:type="pct"/>
                  <w:tcBorders>
                    <w:tl2br w:val="nil"/>
                    <w:tr2bl w:val="nil"/>
                  </w:tcBorders>
                  <w:vAlign w:val="center"/>
                </w:tcPr>
                <w:p w14:paraId="7CAF6C80">
                  <w:pPr>
                    <w:pStyle w:val="73"/>
                    <w:rPr>
                      <w:rFonts w:cstheme="minorBidi"/>
                    </w:rPr>
                  </w:pPr>
                  <w:r>
                    <w:rPr>
                      <w:rFonts w:hint="eastAsia"/>
                    </w:rPr>
                    <w:t>10</w:t>
                  </w:r>
                </w:p>
              </w:tc>
              <w:tc>
                <w:tcPr>
                  <w:tcW w:w="319" w:type="pct"/>
                  <w:tcBorders>
                    <w:tl2br w:val="nil"/>
                    <w:tr2bl w:val="nil"/>
                  </w:tcBorders>
                  <w:vAlign w:val="center"/>
                </w:tcPr>
                <w:p w14:paraId="72ABF850">
                  <w:pPr>
                    <w:pStyle w:val="73"/>
                    <w:rPr>
                      <w:rFonts w:cstheme="minorBidi"/>
                    </w:rPr>
                  </w:pPr>
                  <w:r>
                    <w:rPr>
                      <w:rFonts w:hint="eastAsia"/>
                    </w:rPr>
                    <w:t>达标</w:t>
                  </w:r>
                </w:p>
              </w:tc>
            </w:tr>
            <w:tr w14:paraId="0FA3CB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restart"/>
                  <w:tcBorders>
                    <w:tl2br w:val="nil"/>
                    <w:tr2bl w:val="nil"/>
                  </w:tcBorders>
                  <w:vAlign w:val="center"/>
                </w:tcPr>
                <w:p w14:paraId="45265236">
                  <w:pPr>
                    <w:pStyle w:val="73"/>
                  </w:pPr>
                  <w:r>
                    <w:t>DA079</w:t>
                  </w:r>
                </w:p>
                <w:p w14:paraId="3C109D87">
                  <w:pPr>
                    <w:pStyle w:val="73"/>
                  </w:pPr>
                  <w:r>
                    <w:t>E氧化铝斗提机废气出口2024.03.03</w:t>
                  </w:r>
                </w:p>
              </w:tc>
              <w:tc>
                <w:tcPr>
                  <w:tcW w:w="946" w:type="pct"/>
                  <w:tcBorders>
                    <w:tl2br w:val="nil"/>
                    <w:tr2bl w:val="nil"/>
                  </w:tcBorders>
                  <w:vAlign w:val="center"/>
                </w:tcPr>
                <w:p w14:paraId="60DE19D7">
                  <w:pPr>
                    <w:pStyle w:val="73"/>
                  </w:pPr>
                  <w:r>
                    <w:t>标况排气量</w:t>
                  </w:r>
                </w:p>
              </w:tc>
              <w:tc>
                <w:tcPr>
                  <w:tcW w:w="489" w:type="pct"/>
                  <w:tcBorders>
                    <w:tl2br w:val="nil"/>
                    <w:tr2bl w:val="nil"/>
                  </w:tcBorders>
                  <w:vAlign w:val="center"/>
                </w:tcPr>
                <w:p w14:paraId="03EC6DBB">
                  <w:pPr>
                    <w:pStyle w:val="73"/>
                  </w:pPr>
                  <w:r>
                    <w:rPr>
                      <w:rFonts w:hint="eastAsia"/>
                    </w:rPr>
                    <w:t>Nm</w:t>
                  </w:r>
                  <w:r>
                    <w:rPr>
                      <w:rFonts w:hint="eastAsia"/>
                      <w:vertAlign w:val="superscript"/>
                    </w:rPr>
                    <w:t>3</w:t>
                  </w:r>
                  <w:r>
                    <w:t>/h</w:t>
                  </w:r>
                </w:p>
              </w:tc>
              <w:tc>
                <w:tcPr>
                  <w:tcW w:w="555" w:type="pct"/>
                  <w:tcBorders>
                    <w:tl2br w:val="nil"/>
                    <w:tr2bl w:val="nil"/>
                  </w:tcBorders>
                  <w:vAlign w:val="center"/>
                </w:tcPr>
                <w:p w14:paraId="6E0DABE7">
                  <w:pPr>
                    <w:pStyle w:val="73"/>
                  </w:pPr>
                  <w:r>
                    <w:t>11806</w:t>
                  </w:r>
                </w:p>
              </w:tc>
              <w:tc>
                <w:tcPr>
                  <w:tcW w:w="555" w:type="pct"/>
                  <w:tcBorders>
                    <w:tl2br w:val="nil"/>
                    <w:tr2bl w:val="nil"/>
                  </w:tcBorders>
                  <w:vAlign w:val="center"/>
                </w:tcPr>
                <w:p w14:paraId="65C2C654">
                  <w:pPr>
                    <w:pStyle w:val="73"/>
                  </w:pPr>
                  <w:r>
                    <w:t>11243</w:t>
                  </w:r>
                </w:p>
              </w:tc>
              <w:tc>
                <w:tcPr>
                  <w:tcW w:w="555" w:type="pct"/>
                  <w:tcBorders>
                    <w:tl2br w:val="nil"/>
                    <w:tr2bl w:val="nil"/>
                  </w:tcBorders>
                  <w:vAlign w:val="center"/>
                </w:tcPr>
                <w:p w14:paraId="73CF37F4">
                  <w:pPr>
                    <w:pStyle w:val="73"/>
                  </w:pPr>
                  <w:r>
                    <w:t>11473</w:t>
                  </w:r>
                </w:p>
              </w:tc>
              <w:tc>
                <w:tcPr>
                  <w:tcW w:w="556" w:type="pct"/>
                  <w:tcBorders>
                    <w:tl2br w:val="nil"/>
                    <w:tr2bl w:val="nil"/>
                  </w:tcBorders>
                  <w:vAlign w:val="center"/>
                </w:tcPr>
                <w:p w14:paraId="719428C4">
                  <w:pPr>
                    <w:pStyle w:val="73"/>
                  </w:pPr>
                  <w:r>
                    <w:t>/</w:t>
                  </w:r>
                </w:p>
              </w:tc>
              <w:tc>
                <w:tcPr>
                  <w:tcW w:w="352" w:type="pct"/>
                  <w:tcBorders>
                    <w:tl2br w:val="nil"/>
                    <w:tr2bl w:val="nil"/>
                  </w:tcBorders>
                  <w:vAlign w:val="center"/>
                </w:tcPr>
                <w:p w14:paraId="0B63BA3D">
                  <w:pPr>
                    <w:pStyle w:val="73"/>
                  </w:pPr>
                </w:p>
              </w:tc>
              <w:tc>
                <w:tcPr>
                  <w:tcW w:w="319" w:type="pct"/>
                  <w:tcBorders>
                    <w:tl2br w:val="nil"/>
                    <w:tr2bl w:val="nil"/>
                  </w:tcBorders>
                  <w:vAlign w:val="center"/>
                </w:tcPr>
                <w:p w14:paraId="67469D59">
                  <w:pPr>
                    <w:pStyle w:val="73"/>
                  </w:pPr>
                </w:p>
              </w:tc>
            </w:tr>
            <w:tr w14:paraId="61E6A7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7702B301">
                  <w:pPr>
                    <w:pStyle w:val="73"/>
                  </w:pPr>
                </w:p>
              </w:tc>
              <w:tc>
                <w:tcPr>
                  <w:tcW w:w="946" w:type="pct"/>
                  <w:tcBorders>
                    <w:tl2br w:val="nil"/>
                    <w:tr2bl w:val="nil"/>
                  </w:tcBorders>
                  <w:vAlign w:val="center"/>
                </w:tcPr>
                <w:p w14:paraId="7717E9C6">
                  <w:pPr>
                    <w:pStyle w:val="73"/>
                  </w:pPr>
                  <w:r>
                    <w:t>颗粒物浓度</w:t>
                  </w:r>
                </w:p>
              </w:tc>
              <w:tc>
                <w:tcPr>
                  <w:tcW w:w="489" w:type="pct"/>
                  <w:tcBorders>
                    <w:tl2br w:val="nil"/>
                    <w:tr2bl w:val="nil"/>
                  </w:tcBorders>
                  <w:vAlign w:val="center"/>
                </w:tcPr>
                <w:p w14:paraId="74DB6F48">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01662812">
                  <w:pPr>
                    <w:pStyle w:val="73"/>
                  </w:pPr>
                  <w:r>
                    <w:t>2.5</w:t>
                  </w:r>
                </w:p>
              </w:tc>
              <w:tc>
                <w:tcPr>
                  <w:tcW w:w="555" w:type="pct"/>
                  <w:tcBorders>
                    <w:tl2br w:val="nil"/>
                    <w:tr2bl w:val="nil"/>
                  </w:tcBorders>
                  <w:vAlign w:val="center"/>
                </w:tcPr>
                <w:p w14:paraId="1DFAA9CA">
                  <w:pPr>
                    <w:pStyle w:val="73"/>
                  </w:pPr>
                  <w:r>
                    <w:t>2.3</w:t>
                  </w:r>
                </w:p>
              </w:tc>
              <w:tc>
                <w:tcPr>
                  <w:tcW w:w="555" w:type="pct"/>
                  <w:tcBorders>
                    <w:tl2br w:val="nil"/>
                    <w:tr2bl w:val="nil"/>
                  </w:tcBorders>
                  <w:vAlign w:val="center"/>
                </w:tcPr>
                <w:p w14:paraId="49053379">
                  <w:pPr>
                    <w:pStyle w:val="73"/>
                  </w:pPr>
                  <w:r>
                    <w:t>2.6</w:t>
                  </w:r>
                </w:p>
              </w:tc>
              <w:tc>
                <w:tcPr>
                  <w:tcW w:w="556" w:type="pct"/>
                  <w:tcBorders>
                    <w:tl2br w:val="nil"/>
                    <w:tr2bl w:val="nil"/>
                  </w:tcBorders>
                  <w:vAlign w:val="center"/>
                </w:tcPr>
                <w:p w14:paraId="1170F797">
                  <w:pPr>
                    <w:pStyle w:val="73"/>
                  </w:pPr>
                  <w:r>
                    <w:t>2.6</w:t>
                  </w:r>
                </w:p>
              </w:tc>
              <w:tc>
                <w:tcPr>
                  <w:tcW w:w="352" w:type="pct"/>
                  <w:tcBorders>
                    <w:tl2br w:val="nil"/>
                    <w:tr2bl w:val="nil"/>
                  </w:tcBorders>
                  <w:vAlign w:val="center"/>
                </w:tcPr>
                <w:p w14:paraId="46B8AC19">
                  <w:pPr>
                    <w:pStyle w:val="73"/>
                    <w:rPr>
                      <w:rFonts w:cstheme="minorBidi"/>
                    </w:rPr>
                  </w:pPr>
                  <w:r>
                    <w:rPr>
                      <w:rFonts w:hint="eastAsia"/>
                    </w:rPr>
                    <w:t>10</w:t>
                  </w:r>
                </w:p>
              </w:tc>
              <w:tc>
                <w:tcPr>
                  <w:tcW w:w="319" w:type="pct"/>
                  <w:tcBorders>
                    <w:tl2br w:val="nil"/>
                    <w:tr2bl w:val="nil"/>
                  </w:tcBorders>
                  <w:vAlign w:val="center"/>
                </w:tcPr>
                <w:p w14:paraId="20EC0420">
                  <w:pPr>
                    <w:pStyle w:val="73"/>
                    <w:rPr>
                      <w:rFonts w:cstheme="minorBidi"/>
                    </w:rPr>
                  </w:pPr>
                  <w:r>
                    <w:rPr>
                      <w:rFonts w:hint="eastAsia"/>
                    </w:rPr>
                    <w:t>达标</w:t>
                  </w:r>
                </w:p>
              </w:tc>
            </w:tr>
            <w:tr w14:paraId="1CD437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restart"/>
                  <w:tcBorders>
                    <w:tl2br w:val="nil"/>
                    <w:tr2bl w:val="nil"/>
                  </w:tcBorders>
                  <w:vAlign w:val="center"/>
                </w:tcPr>
                <w:p w14:paraId="72C6451E">
                  <w:pPr>
                    <w:pStyle w:val="73"/>
                  </w:pPr>
                  <w:r>
                    <w:t>DA06</w:t>
                  </w:r>
                  <w:r>
                    <w:rPr>
                      <w:rFonts w:hint="eastAsia"/>
                    </w:rPr>
                    <w:t>8风动</w:t>
                  </w:r>
                  <w:r>
                    <w:t>溜槽废气出口2024.03.02</w:t>
                  </w:r>
                </w:p>
              </w:tc>
              <w:tc>
                <w:tcPr>
                  <w:tcW w:w="946" w:type="pct"/>
                  <w:tcBorders>
                    <w:tl2br w:val="nil"/>
                    <w:tr2bl w:val="nil"/>
                  </w:tcBorders>
                  <w:vAlign w:val="center"/>
                </w:tcPr>
                <w:p w14:paraId="3526D654">
                  <w:pPr>
                    <w:pStyle w:val="73"/>
                  </w:pPr>
                  <w:r>
                    <w:t>标况排气量</w:t>
                  </w:r>
                </w:p>
              </w:tc>
              <w:tc>
                <w:tcPr>
                  <w:tcW w:w="489" w:type="pct"/>
                  <w:tcBorders>
                    <w:tl2br w:val="nil"/>
                    <w:tr2bl w:val="nil"/>
                  </w:tcBorders>
                  <w:vAlign w:val="center"/>
                </w:tcPr>
                <w:p w14:paraId="25AAE5DB">
                  <w:pPr>
                    <w:pStyle w:val="73"/>
                  </w:pPr>
                  <w:r>
                    <w:rPr>
                      <w:rFonts w:hint="eastAsia"/>
                    </w:rPr>
                    <w:t>Nm</w:t>
                  </w:r>
                  <w:r>
                    <w:rPr>
                      <w:rFonts w:hint="eastAsia"/>
                      <w:vertAlign w:val="superscript"/>
                    </w:rPr>
                    <w:t>3</w:t>
                  </w:r>
                  <w:r>
                    <w:t>/h</w:t>
                  </w:r>
                </w:p>
              </w:tc>
              <w:tc>
                <w:tcPr>
                  <w:tcW w:w="555" w:type="pct"/>
                  <w:tcBorders>
                    <w:tl2br w:val="nil"/>
                    <w:tr2bl w:val="nil"/>
                  </w:tcBorders>
                  <w:vAlign w:val="center"/>
                </w:tcPr>
                <w:p w14:paraId="5CBCF9F4">
                  <w:pPr>
                    <w:pStyle w:val="73"/>
                  </w:pPr>
                  <w:r>
                    <w:t>12471</w:t>
                  </w:r>
                </w:p>
              </w:tc>
              <w:tc>
                <w:tcPr>
                  <w:tcW w:w="555" w:type="pct"/>
                  <w:tcBorders>
                    <w:tl2br w:val="nil"/>
                    <w:tr2bl w:val="nil"/>
                  </w:tcBorders>
                  <w:vAlign w:val="center"/>
                </w:tcPr>
                <w:p w14:paraId="5F504E1E">
                  <w:pPr>
                    <w:pStyle w:val="73"/>
                  </w:pPr>
                  <w:r>
                    <w:t>12671</w:t>
                  </w:r>
                </w:p>
              </w:tc>
              <w:tc>
                <w:tcPr>
                  <w:tcW w:w="555" w:type="pct"/>
                  <w:tcBorders>
                    <w:tl2br w:val="nil"/>
                    <w:tr2bl w:val="nil"/>
                  </w:tcBorders>
                  <w:vAlign w:val="center"/>
                </w:tcPr>
                <w:p w14:paraId="1EDBD6F1">
                  <w:pPr>
                    <w:pStyle w:val="73"/>
                  </w:pPr>
                  <w:r>
                    <w:t>12957</w:t>
                  </w:r>
                </w:p>
              </w:tc>
              <w:tc>
                <w:tcPr>
                  <w:tcW w:w="556" w:type="pct"/>
                  <w:tcBorders>
                    <w:tl2br w:val="nil"/>
                    <w:tr2bl w:val="nil"/>
                  </w:tcBorders>
                  <w:vAlign w:val="center"/>
                </w:tcPr>
                <w:p w14:paraId="33A282C0">
                  <w:pPr>
                    <w:pStyle w:val="73"/>
                  </w:pPr>
                  <w:r>
                    <w:t>/</w:t>
                  </w:r>
                </w:p>
              </w:tc>
              <w:tc>
                <w:tcPr>
                  <w:tcW w:w="352" w:type="pct"/>
                  <w:tcBorders>
                    <w:tl2br w:val="nil"/>
                    <w:tr2bl w:val="nil"/>
                  </w:tcBorders>
                  <w:vAlign w:val="center"/>
                </w:tcPr>
                <w:p w14:paraId="05975B14">
                  <w:pPr>
                    <w:pStyle w:val="73"/>
                  </w:pPr>
                </w:p>
              </w:tc>
              <w:tc>
                <w:tcPr>
                  <w:tcW w:w="319" w:type="pct"/>
                  <w:tcBorders>
                    <w:tl2br w:val="nil"/>
                    <w:tr2bl w:val="nil"/>
                  </w:tcBorders>
                  <w:vAlign w:val="center"/>
                </w:tcPr>
                <w:p w14:paraId="5144D02C">
                  <w:pPr>
                    <w:pStyle w:val="73"/>
                  </w:pPr>
                </w:p>
              </w:tc>
            </w:tr>
            <w:tr w14:paraId="6F25B5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39F83AA0">
                  <w:pPr>
                    <w:pStyle w:val="73"/>
                  </w:pPr>
                </w:p>
              </w:tc>
              <w:tc>
                <w:tcPr>
                  <w:tcW w:w="946" w:type="pct"/>
                  <w:tcBorders>
                    <w:tl2br w:val="nil"/>
                    <w:tr2bl w:val="nil"/>
                  </w:tcBorders>
                  <w:vAlign w:val="center"/>
                </w:tcPr>
                <w:p w14:paraId="18D0E6DC">
                  <w:pPr>
                    <w:pStyle w:val="73"/>
                  </w:pPr>
                  <w:r>
                    <w:t>颗粒物浓度</w:t>
                  </w:r>
                </w:p>
              </w:tc>
              <w:tc>
                <w:tcPr>
                  <w:tcW w:w="489" w:type="pct"/>
                  <w:tcBorders>
                    <w:tl2br w:val="nil"/>
                    <w:tr2bl w:val="nil"/>
                  </w:tcBorders>
                  <w:vAlign w:val="center"/>
                </w:tcPr>
                <w:p w14:paraId="5D19143C">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24D803D1">
                  <w:pPr>
                    <w:pStyle w:val="73"/>
                  </w:pPr>
                  <w:r>
                    <w:t>2.1</w:t>
                  </w:r>
                </w:p>
              </w:tc>
              <w:tc>
                <w:tcPr>
                  <w:tcW w:w="555" w:type="pct"/>
                  <w:tcBorders>
                    <w:tl2br w:val="nil"/>
                    <w:tr2bl w:val="nil"/>
                  </w:tcBorders>
                  <w:vAlign w:val="center"/>
                </w:tcPr>
                <w:p w14:paraId="268F2391">
                  <w:pPr>
                    <w:pStyle w:val="73"/>
                  </w:pPr>
                  <w:r>
                    <w:t>2.2</w:t>
                  </w:r>
                </w:p>
              </w:tc>
              <w:tc>
                <w:tcPr>
                  <w:tcW w:w="555" w:type="pct"/>
                  <w:tcBorders>
                    <w:tl2br w:val="nil"/>
                    <w:tr2bl w:val="nil"/>
                  </w:tcBorders>
                  <w:vAlign w:val="center"/>
                </w:tcPr>
                <w:p w14:paraId="53A1E0F0">
                  <w:pPr>
                    <w:pStyle w:val="73"/>
                  </w:pPr>
                  <w:r>
                    <w:t>2.5</w:t>
                  </w:r>
                </w:p>
              </w:tc>
              <w:tc>
                <w:tcPr>
                  <w:tcW w:w="556" w:type="pct"/>
                  <w:tcBorders>
                    <w:tl2br w:val="nil"/>
                    <w:tr2bl w:val="nil"/>
                  </w:tcBorders>
                  <w:vAlign w:val="center"/>
                </w:tcPr>
                <w:p w14:paraId="1BB87F88">
                  <w:pPr>
                    <w:pStyle w:val="73"/>
                  </w:pPr>
                  <w:r>
                    <w:t>2.5</w:t>
                  </w:r>
                </w:p>
              </w:tc>
              <w:tc>
                <w:tcPr>
                  <w:tcW w:w="352" w:type="pct"/>
                  <w:tcBorders>
                    <w:tl2br w:val="nil"/>
                    <w:tr2bl w:val="nil"/>
                  </w:tcBorders>
                  <w:vAlign w:val="center"/>
                </w:tcPr>
                <w:p w14:paraId="38B4F61C">
                  <w:pPr>
                    <w:pStyle w:val="73"/>
                    <w:rPr>
                      <w:rFonts w:cstheme="minorBidi"/>
                    </w:rPr>
                  </w:pPr>
                  <w:r>
                    <w:rPr>
                      <w:rFonts w:hint="eastAsia"/>
                    </w:rPr>
                    <w:t>10</w:t>
                  </w:r>
                </w:p>
              </w:tc>
              <w:tc>
                <w:tcPr>
                  <w:tcW w:w="319" w:type="pct"/>
                  <w:tcBorders>
                    <w:tl2br w:val="nil"/>
                    <w:tr2bl w:val="nil"/>
                  </w:tcBorders>
                  <w:vAlign w:val="center"/>
                </w:tcPr>
                <w:p w14:paraId="1ACE79EA">
                  <w:pPr>
                    <w:pStyle w:val="73"/>
                    <w:rPr>
                      <w:rFonts w:cstheme="minorBidi"/>
                    </w:rPr>
                  </w:pPr>
                  <w:r>
                    <w:rPr>
                      <w:rFonts w:hint="eastAsia"/>
                    </w:rPr>
                    <w:t>达标</w:t>
                  </w:r>
                </w:p>
              </w:tc>
            </w:tr>
            <w:tr w14:paraId="7BEE7E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restart"/>
                  <w:tcBorders>
                    <w:tl2br w:val="nil"/>
                    <w:tr2bl w:val="nil"/>
                  </w:tcBorders>
                  <w:vAlign w:val="center"/>
                </w:tcPr>
                <w:p w14:paraId="66441A2F">
                  <w:pPr>
                    <w:pStyle w:val="73"/>
                  </w:pPr>
                  <w:r>
                    <w:rPr>
                      <w:lang w:val="zh-CN"/>
                    </w:rPr>
                    <w:t>DA0</w:t>
                  </w:r>
                  <w:r>
                    <w:t>71</w:t>
                  </w:r>
                </w:p>
                <w:p w14:paraId="76CA5707">
                  <w:pPr>
                    <w:pStyle w:val="73"/>
                  </w:pPr>
                  <w:r>
                    <w:t>1#成品仓废气2024.02.29</w:t>
                  </w:r>
                </w:p>
              </w:tc>
              <w:tc>
                <w:tcPr>
                  <w:tcW w:w="946" w:type="pct"/>
                  <w:tcBorders>
                    <w:tl2br w:val="nil"/>
                    <w:tr2bl w:val="nil"/>
                  </w:tcBorders>
                  <w:vAlign w:val="center"/>
                </w:tcPr>
                <w:p w14:paraId="24F8F144">
                  <w:pPr>
                    <w:pStyle w:val="73"/>
                  </w:pPr>
                  <w:r>
                    <w:t>标况排气量</w:t>
                  </w:r>
                </w:p>
              </w:tc>
              <w:tc>
                <w:tcPr>
                  <w:tcW w:w="489" w:type="pct"/>
                  <w:tcBorders>
                    <w:tl2br w:val="nil"/>
                    <w:tr2bl w:val="nil"/>
                  </w:tcBorders>
                  <w:vAlign w:val="center"/>
                </w:tcPr>
                <w:p w14:paraId="47CBB3AC">
                  <w:pPr>
                    <w:pStyle w:val="73"/>
                  </w:pPr>
                  <w:r>
                    <w:rPr>
                      <w:rFonts w:hint="eastAsia"/>
                    </w:rPr>
                    <w:t>Nm</w:t>
                  </w:r>
                  <w:r>
                    <w:rPr>
                      <w:rFonts w:hint="eastAsia"/>
                      <w:vertAlign w:val="superscript"/>
                    </w:rPr>
                    <w:t>3</w:t>
                  </w:r>
                  <w:r>
                    <w:t>/h</w:t>
                  </w:r>
                </w:p>
              </w:tc>
              <w:tc>
                <w:tcPr>
                  <w:tcW w:w="555" w:type="pct"/>
                  <w:tcBorders>
                    <w:tl2br w:val="nil"/>
                    <w:tr2bl w:val="nil"/>
                  </w:tcBorders>
                  <w:vAlign w:val="center"/>
                </w:tcPr>
                <w:p w14:paraId="3B5714CD">
                  <w:pPr>
                    <w:pStyle w:val="73"/>
                  </w:pPr>
                  <w:r>
                    <w:t>12900</w:t>
                  </w:r>
                </w:p>
              </w:tc>
              <w:tc>
                <w:tcPr>
                  <w:tcW w:w="555" w:type="pct"/>
                  <w:tcBorders>
                    <w:tl2br w:val="nil"/>
                    <w:tr2bl w:val="nil"/>
                  </w:tcBorders>
                  <w:vAlign w:val="center"/>
                </w:tcPr>
                <w:p w14:paraId="4CF2782F">
                  <w:pPr>
                    <w:pStyle w:val="73"/>
                  </w:pPr>
                  <w:r>
                    <w:t>12979</w:t>
                  </w:r>
                </w:p>
              </w:tc>
              <w:tc>
                <w:tcPr>
                  <w:tcW w:w="555" w:type="pct"/>
                  <w:tcBorders>
                    <w:tl2br w:val="nil"/>
                    <w:tr2bl w:val="nil"/>
                  </w:tcBorders>
                  <w:vAlign w:val="center"/>
                </w:tcPr>
                <w:p w14:paraId="38F7D4DB">
                  <w:pPr>
                    <w:pStyle w:val="73"/>
                  </w:pPr>
                  <w:r>
                    <w:t>12296</w:t>
                  </w:r>
                </w:p>
              </w:tc>
              <w:tc>
                <w:tcPr>
                  <w:tcW w:w="556" w:type="pct"/>
                  <w:tcBorders>
                    <w:tl2br w:val="nil"/>
                    <w:tr2bl w:val="nil"/>
                  </w:tcBorders>
                  <w:vAlign w:val="center"/>
                </w:tcPr>
                <w:p w14:paraId="5DAB0F0F">
                  <w:pPr>
                    <w:pStyle w:val="73"/>
                  </w:pPr>
                  <w:r>
                    <w:t>/</w:t>
                  </w:r>
                </w:p>
              </w:tc>
              <w:tc>
                <w:tcPr>
                  <w:tcW w:w="352" w:type="pct"/>
                  <w:tcBorders>
                    <w:tl2br w:val="nil"/>
                    <w:tr2bl w:val="nil"/>
                  </w:tcBorders>
                  <w:vAlign w:val="center"/>
                </w:tcPr>
                <w:p w14:paraId="073F5164">
                  <w:pPr>
                    <w:pStyle w:val="73"/>
                  </w:pPr>
                </w:p>
              </w:tc>
              <w:tc>
                <w:tcPr>
                  <w:tcW w:w="319" w:type="pct"/>
                  <w:tcBorders>
                    <w:tl2br w:val="nil"/>
                    <w:tr2bl w:val="nil"/>
                  </w:tcBorders>
                  <w:vAlign w:val="center"/>
                </w:tcPr>
                <w:p w14:paraId="4F0663C8">
                  <w:pPr>
                    <w:pStyle w:val="73"/>
                  </w:pPr>
                </w:p>
              </w:tc>
            </w:tr>
            <w:tr w14:paraId="1E8D81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147ECA4D">
                  <w:pPr>
                    <w:pStyle w:val="73"/>
                  </w:pPr>
                </w:p>
              </w:tc>
              <w:tc>
                <w:tcPr>
                  <w:tcW w:w="946" w:type="pct"/>
                  <w:tcBorders>
                    <w:tl2br w:val="nil"/>
                    <w:tr2bl w:val="nil"/>
                  </w:tcBorders>
                  <w:vAlign w:val="center"/>
                </w:tcPr>
                <w:p w14:paraId="3B17F8B6">
                  <w:pPr>
                    <w:pStyle w:val="73"/>
                  </w:pPr>
                  <w:r>
                    <w:t>颗粒物浓度</w:t>
                  </w:r>
                </w:p>
              </w:tc>
              <w:tc>
                <w:tcPr>
                  <w:tcW w:w="489" w:type="pct"/>
                  <w:tcBorders>
                    <w:tl2br w:val="nil"/>
                    <w:tr2bl w:val="nil"/>
                  </w:tcBorders>
                  <w:vAlign w:val="center"/>
                </w:tcPr>
                <w:p w14:paraId="4082A826">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3AAEDEAB">
                  <w:pPr>
                    <w:pStyle w:val="73"/>
                  </w:pPr>
                  <w:r>
                    <w:t>2.5</w:t>
                  </w:r>
                </w:p>
              </w:tc>
              <w:tc>
                <w:tcPr>
                  <w:tcW w:w="555" w:type="pct"/>
                  <w:tcBorders>
                    <w:tl2br w:val="nil"/>
                    <w:tr2bl w:val="nil"/>
                  </w:tcBorders>
                  <w:vAlign w:val="center"/>
                </w:tcPr>
                <w:p w14:paraId="2B8963E4">
                  <w:pPr>
                    <w:pStyle w:val="73"/>
                  </w:pPr>
                  <w:r>
                    <w:t>2.3</w:t>
                  </w:r>
                </w:p>
              </w:tc>
              <w:tc>
                <w:tcPr>
                  <w:tcW w:w="555" w:type="pct"/>
                  <w:tcBorders>
                    <w:tl2br w:val="nil"/>
                    <w:tr2bl w:val="nil"/>
                  </w:tcBorders>
                  <w:vAlign w:val="center"/>
                </w:tcPr>
                <w:p w14:paraId="6A4E2F29">
                  <w:pPr>
                    <w:pStyle w:val="73"/>
                  </w:pPr>
                  <w:r>
                    <w:t>2.1</w:t>
                  </w:r>
                </w:p>
              </w:tc>
              <w:tc>
                <w:tcPr>
                  <w:tcW w:w="556" w:type="pct"/>
                  <w:tcBorders>
                    <w:tl2br w:val="nil"/>
                    <w:tr2bl w:val="nil"/>
                  </w:tcBorders>
                  <w:vAlign w:val="center"/>
                </w:tcPr>
                <w:p w14:paraId="61044820">
                  <w:pPr>
                    <w:pStyle w:val="73"/>
                  </w:pPr>
                  <w:r>
                    <w:t>2.5</w:t>
                  </w:r>
                </w:p>
              </w:tc>
              <w:tc>
                <w:tcPr>
                  <w:tcW w:w="352" w:type="pct"/>
                  <w:tcBorders>
                    <w:tl2br w:val="nil"/>
                    <w:tr2bl w:val="nil"/>
                  </w:tcBorders>
                  <w:vAlign w:val="center"/>
                </w:tcPr>
                <w:p w14:paraId="6D02CAA3">
                  <w:pPr>
                    <w:pStyle w:val="73"/>
                    <w:rPr>
                      <w:rFonts w:cstheme="minorBidi"/>
                    </w:rPr>
                  </w:pPr>
                  <w:r>
                    <w:rPr>
                      <w:rFonts w:hint="eastAsia"/>
                    </w:rPr>
                    <w:t>10</w:t>
                  </w:r>
                </w:p>
              </w:tc>
              <w:tc>
                <w:tcPr>
                  <w:tcW w:w="319" w:type="pct"/>
                  <w:tcBorders>
                    <w:tl2br w:val="nil"/>
                    <w:tr2bl w:val="nil"/>
                  </w:tcBorders>
                  <w:vAlign w:val="center"/>
                </w:tcPr>
                <w:p w14:paraId="3FB5C432">
                  <w:pPr>
                    <w:pStyle w:val="73"/>
                    <w:rPr>
                      <w:rFonts w:cstheme="minorBidi"/>
                    </w:rPr>
                  </w:pPr>
                  <w:r>
                    <w:rPr>
                      <w:rFonts w:hint="eastAsia"/>
                    </w:rPr>
                    <w:t>达标</w:t>
                  </w:r>
                </w:p>
              </w:tc>
            </w:tr>
            <w:tr w14:paraId="78D845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restart"/>
                  <w:tcBorders>
                    <w:tl2br w:val="nil"/>
                    <w:tr2bl w:val="nil"/>
                  </w:tcBorders>
                  <w:vAlign w:val="center"/>
                </w:tcPr>
                <w:p w14:paraId="17BDCCD9">
                  <w:pPr>
                    <w:pStyle w:val="73"/>
                  </w:pPr>
                  <w:r>
                    <w:t>DA072 2#成品仓废气出口2024.02.28</w:t>
                  </w:r>
                </w:p>
              </w:tc>
              <w:tc>
                <w:tcPr>
                  <w:tcW w:w="946" w:type="pct"/>
                  <w:tcBorders>
                    <w:tl2br w:val="nil"/>
                    <w:tr2bl w:val="nil"/>
                  </w:tcBorders>
                  <w:vAlign w:val="center"/>
                </w:tcPr>
                <w:p w14:paraId="0B8CABE7">
                  <w:pPr>
                    <w:pStyle w:val="73"/>
                  </w:pPr>
                  <w:r>
                    <w:t>标况排气量</w:t>
                  </w:r>
                </w:p>
              </w:tc>
              <w:tc>
                <w:tcPr>
                  <w:tcW w:w="489" w:type="pct"/>
                  <w:tcBorders>
                    <w:tl2br w:val="nil"/>
                    <w:tr2bl w:val="nil"/>
                  </w:tcBorders>
                  <w:vAlign w:val="center"/>
                </w:tcPr>
                <w:p w14:paraId="5B5A400C">
                  <w:pPr>
                    <w:pStyle w:val="73"/>
                  </w:pPr>
                  <w:r>
                    <w:rPr>
                      <w:rFonts w:hint="eastAsia"/>
                    </w:rPr>
                    <w:t>Nm</w:t>
                  </w:r>
                  <w:r>
                    <w:rPr>
                      <w:rFonts w:hint="eastAsia"/>
                      <w:vertAlign w:val="superscript"/>
                    </w:rPr>
                    <w:t>3</w:t>
                  </w:r>
                  <w:r>
                    <w:t>/h</w:t>
                  </w:r>
                </w:p>
              </w:tc>
              <w:tc>
                <w:tcPr>
                  <w:tcW w:w="555" w:type="pct"/>
                  <w:tcBorders>
                    <w:tl2br w:val="nil"/>
                    <w:tr2bl w:val="nil"/>
                  </w:tcBorders>
                  <w:vAlign w:val="center"/>
                </w:tcPr>
                <w:p w14:paraId="3AA50091">
                  <w:pPr>
                    <w:pStyle w:val="73"/>
                  </w:pPr>
                  <w:r>
                    <w:t>13176</w:t>
                  </w:r>
                </w:p>
              </w:tc>
              <w:tc>
                <w:tcPr>
                  <w:tcW w:w="555" w:type="pct"/>
                  <w:tcBorders>
                    <w:tl2br w:val="nil"/>
                    <w:tr2bl w:val="nil"/>
                  </w:tcBorders>
                  <w:vAlign w:val="center"/>
                </w:tcPr>
                <w:p w14:paraId="30FCF077">
                  <w:pPr>
                    <w:pStyle w:val="73"/>
                  </w:pPr>
                  <w:r>
                    <w:t>12895</w:t>
                  </w:r>
                </w:p>
              </w:tc>
              <w:tc>
                <w:tcPr>
                  <w:tcW w:w="555" w:type="pct"/>
                  <w:tcBorders>
                    <w:tl2br w:val="nil"/>
                    <w:tr2bl w:val="nil"/>
                  </w:tcBorders>
                  <w:vAlign w:val="center"/>
                </w:tcPr>
                <w:p w14:paraId="7A046433">
                  <w:pPr>
                    <w:pStyle w:val="73"/>
                  </w:pPr>
                  <w:r>
                    <w:t>13021</w:t>
                  </w:r>
                </w:p>
              </w:tc>
              <w:tc>
                <w:tcPr>
                  <w:tcW w:w="556" w:type="pct"/>
                  <w:tcBorders>
                    <w:tl2br w:val="nil"/>
                    <w:tr2bl w:val="nil"/>
                  </w:tcBorders>
                  <w:vAlign w:val="center"/>
                </w:tcPr>
                <w:p w14:paraId="67F39F2E">
                  <w:pPr>
                    <w:pStyle w:val="73"/>
                  </w:pPr>
                  <w:r>
                    <w:t>/</w:t>
                  </w:r>
                </w:p>
              </w:tc>
              <w:tc>
                <w:tcPr>
                  <w:tcW w:w="352" w:type="pct"/>
                  <w:tcBorders>
                    <w:tl2br w:val="nil"/>
                    <w:tr2bl w:val="nil"/>
                  </w:tcBorders>
                  <w:vAlign w:val="center"/>
                </w:tcPr>
                <w:p w14:paraId="465EC36B">
                  <w:pPr>
                    <w:pStyle w:val="73"/>
                  </w:pPr>
                </w:p>
              </w:tc>
              <w:tc>
                <w:tcPr>
                  <w:tcW w:w="319" w:type="pct"/>
                  <w:tcBorders>
                    <w:tl2br w:val="nil"/>
                    <w:tr2bl w:val="nil"/>
                  </w:tcBorders>
                  <w:vAlign w:val="center"/>
                </w:tcPr>
                <w:p w14:paraId="3B785E92">
                  <w:pPr>
                    <w:pStyle w:val="73"/>
                  </w:pPr>
                </w:p>
              </w:tc>
            </w:tr>
            <w:tr w14:paraId="08E95A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7571760A">
                  <w:pPr>
                    <w:pStyle w:val="73"/>
                  </w:pPr>
                </w:p>
              </w:tc>
              <w:tc>
                <w:tcPr>
                  <w:tcW w:w="946" w:type="pct"/>
                  <w:tcBorders>
                    <w:tl2br w:val="nil"/>
                    <w:tr2bl w:val="nil"/>
                  </w:tcBorders>
                  <w:vAlign w:val="center"/>
                </w:tcPr>
                <w:p w14:paraId="1BA8D4DE">
                  <w:pPr>
                    <w:pStyle w:val="73"/>
                  </w:pPr>
                  <w:r>
                    <w:t>颗粒物浓度</w:t>
                  </w:r>
                </w:p>
              </w:tc>
              <w:tc>
                <w:tcPr>
                  <w:tcW w:w="489" w:type="pct"/>
                  <w:tcBorders>
                    <w:tl2br w:val="nil"/>
                    <w:tr2bl w:val="nil"/>
                  </w:tcBorders>
                  <w:vAlign w:val="center"/>
                </w:tcPr>
                <w:p w14:paraId="3AE9F2F5">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7AFF0F94">
                  <w:pPr>
                    <w:pStyle w:val="73"/>
                  </w:pPr>
                  <w:r>
                    <w:t>2.1</w:t>
                  </w:r>
                </w:p>
              </w:tc>
              <w:tc>
                <w:tcPr>
                  <w:tcW w:w="555" w:type="pct"/>
                  <w:tcBorders>
                    <w:tl2br w:val="nil"/>
                    <w:tr2bl w:val="nil"/>
                  </w:tcBorders>
                  <w:vAlign w:val="center"/>
                </w:tcPr>
                <w:p w14:paraId="58245F34">
                  <w:pPr>
                    <w:pStyle w:val="73"/>
                  </w:pPr>
                  <w:r>
                    <w:t>2.3</w:t>
                  </w:r>
                </w:p>
              </w:tc>
              <w:tc>
                <w:tcPr>
                  <w:tcW w:w="555" w:type="pct"/>
                  <w:tcBorders>
                    <w:tl2br w:val="nil"/>
                    <w:tr2bl w:val="nil"/>
                  </w:tcBorders>
                  <w:vAlign w:val="center"/>
                </w:tcPr>
                <w:p w14:paraId="54B9EB1E">
                  <w:pPr>
                    <w:pStyle w:val="73"/>
                  </w:pPr>
                  <w:r>
                    <w:t>2.5</w:t>
                  </w:r>
                </w:p>
              </w:tc>
              <w:tc>
                <w:tcPr>
                  <w:tcW w:w="556" w:type="pct"/>
                  <w:tcBorders>
                    <w:tl2br w:val="nil"/>
                    <w:tr2bl w:val="nil"/>
                  </w:tcBorders>
                  <w:vAlign w:val="center"/>
                </w:tcPr>
                <w:p w14:paraId="099AB9E5">
                  <w:pPr>
                    <w:pStyle w:val="73"/>
                  </w:pPr>
                  <w:r>
                    <w:rPr>
                      <w:rFonts w:hint="eastAsia"/>
                    </w:rPr>
                    <w:t>2.5</w:t>
                  </w:r>
                </w:p>
              </w:tc>
              <w:tc>
                <w:tcPr>
                  <w:tcW w:w="352" w:type="pct"/>
                  <w:tcBorders>
                    <w:tl2br w:val="nil"/>
                    <w:tr2bl w:val="nil"/>
                  </w:tcBorders>
                  <w:vAlign w:val="center"/>
                </w:tcPr>
                <w:p w14:paraId="594DCE44">
                  <w:pPr>
                    <w:pStyle w:val="73"/>
                    <w:rPr>
                      <w:rFonts w:cstheme="minorBidi"/>
                    </w:rPr>
                  </w:pPr>
                  <w:r>
                    <w:rPr>
                      <w:rFonts w:hint="eastAsia"/>
                    </w:rPr>
                    <w:t>10</w:t>
                  </w:r>
                </w:p>
              </w:tc>
              <w:tc>
                <w:tcPr>
                  <w:tcW w:w="319" w:type="pct"/>
                  <w:tcBorders>
                    <w:tl2br w:val="nil"/>
                    <w:tr2bl w:val="nil"/>
                  </w:tcBorders>
                  <w:vAlign w:val="center"/>
                </w:tcPr>
                <w:p w14:paraId="77CD3D50">
                  <w:pPr>
                    <w:pStyle w:val="73"/>
                    <w:rPr>
                      <w:rFonts w:cstheme="minorBidi"/>
                    </w:rPr>
                  </w:pPr>
                  <w:r>
                    <w:rPr>
                      <w:rFonts w:hint="eastAsia"/>
                    </w:rPr>
                    <w:t>达标</w:t>
                  </w:r>
                </w:p>
              </w:tc>
            </w:tr>
            <w:tr w14:paraId="0A74DB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restart"/>
                  <w:tcBorders>
                    <w:tl2br w:val="nil"/>
                    <w:tr2bl w:val="nil"/>
                  </w:tcBorders>
                  <w:vAlign w:val="center"/>
                </w:tcPr>
                <w:p w14:paraId="135C29EB">
                  <w:pPr>
                    <w:pStyle w:val="73"/>
                  </w:pPr>
                  <w:r>
                    <w:t>DA073 3#成品仓废气出口2024.02.28</w:t>
                  </w:r>
                </w:p>
              </w:tc>
              <w:tc>
                <w:tcPr>
                  <w:tcW w:w="946" w:type="pct"/>
                  <w:tcBorders>
                    <w:tl2br w:val="nil"/>
                    <w:tr2bl w:val="nil"/>
                  </w:tcBorders>
                  <w:vAlign w:val="center"/>
                </w:tcPr>
                <w:p w14:paraId="416D7E1C">
                  <w:pPr>
                    <w:pStyle w:val="73"/>
                  </w:pPr>
                  <w:r>
                    <w:t>标况排气量</w:t>
                  </w:r>
                </w:p>
              </w:tc>
              <w:tc>
                <w:tcPr>
                  <w:tcW w:w="489" w:type="pct"/>
                  <w:tcBorders>
                    <w:tl2br w:val="nil"/>
                    <w:tr2bl w:val="nil"/>
                  </w:tcBorders>
                  <w:vAlign w:val="center"/>
                </w:tcPr>
                <w:p w14:paraId="3FCCED3A">
                  <w:pPr>
                    <w:pStyle w:val="73"/>
                  </w:pPr>
                  <w:r>
                    <w:rPr>
                      <w:rFonts w:hint="eastAsia"/>
                    </w:rPr>
                    <w:t>Nm</w:t>
                  </w:r>
                  <w:r>
                    <w:rPr>
                      <w:rFonts w:hint="eastAsia"/>
                      <w:vertAlign w:val="superscript"/>
                    </w:rPr>
                    <w:t>3</w:t>
                  </w:r>
                  <w:r>
                    <w:t>/h</w:t>
                  </w:r>
                </w:p>
              </w:tc>
              <w:tc>
                <w:tcPr>
                  <w:tcW w:w="555" w:type="pct"/>
                  <w:tcBorders>
                    <w:tl2br w:val="nil"/>
                    <w:tr2bl w:val="nil"/>
                  </w:tcBorders>
                  <w:vAlign w:val="center"/>
                </w:tcPr>
                <w:p w14:paraId="44278901">
                  <w:pPr>
                    <w:pStyle w:val="73"/>
                  </w:pPr>
                  <w:r>
                    <w:t>12511</w:t>
                  </w:r>
                </w:p>
              </w:tc>
              <w:tc>
                <w:tcPr>
                  <w:tcW w:w="555" w:type="pct"/>
                  <w:tcBorders>
                    <w:tl2br w:val="nil"/>
                    <w:tr2bl w:val="nil"/>
                  </w:tcBorders>
                  <w:vAlign w:val="center"/>
                </w:tcPr>
                <w:p w14:paraId="1BFBF7BA">
                  <w:pPr>
                    <w:pStyle w:val="73"/>
                  </w:pPr>
                  <w:r>
                    <w:t>12690</w:t>
                  </w:r>
                </w:p>
              </w:tc>
              <w:tc>
                <w:tcPr>
                  <w:tcW w:w="555" w:type="pct"/>
                  <w:tcBorders>
                    <w:tl2br w:val="nil"/>
                    <w:tr2bl w:val="nil"/>
                  </w:tcBorders>
                  <w:vAlign w:val="center"/>
                </w:tcPr>
                <w:p w14:paraId="2BBECD72">
                  <w:pPr>
                    <w:pStyle w:val="73"/>
                  </w:pPr>
                  <w:r>
                    <w:t>12800</w:t>
                  </w:r>
                </w:p>
              </w:tc>
              <w:tc>
                <w:tcPr>
                  <w:tcW w:w="556" w:type="pct"/>
                  <w:tcBorders>
                    <w:tl2br w:val="nil"/>
                    <w:tr2bl w:val="nil"/>
                  </w:tcBorders>
                  <w:vAlign w:val="center"/>
                </w:tcPr>
                <w:p w14:paraId="20B993EC">
                  <w:pPr>
                    <w:pStyle w:val="73"/>
                  </w:pPr>
                  <w:r>
                    <w:t>/</w:t>
                  </w:r>
                </w:p>
              </w:tc>
              <w:tc>
                <w:tcPr>
                  <w:tcW w:w="352" w:type="pct"/>
                  <w:tcBorders>
                    <w:tl2br w:val="nil"/>
                    <w:tr2bl w:val="nil"/>
                  </w:tcBorders>
                  <w:vAlign w:val="center"/>
                </w:tcPr>
                <w:p w14:paraId="209366C8">
                  <w:pPr>
                    <w:pStyle w:val="73"/>
                  </w:pPr>
                </w:p>
              </w:tc>
              <w:tc>
                <w:tcPr>
                  <w:tcW w:w="319" w:type="pct"/>
                  <w:tcBorders>
                    <w:tl2br w:val="nil"/>
                    <w:tr2bl w:val="nil"/>
                  </w:tcBorders>
                  <w:vAlign w:val="center"/>
                </w:tcPr>
                <w:p w14:paraId="3A061C7B">
                  <w:pPr>
                    <w:pStyle w:val="73"/>
                  </w:pPr>
                </w:p>
              </w:tc>
            </w:tr>
            <w:tr w14:paraId="279BAE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4E73F19E">
                  <w:pPr>
                    <w:pStyle w:val="73"/>
                  </w:pPr>
                </w:p>
              </w:tc>
              <w:tc>
                <w:tcPr>
                  <w:tcW w:w="946" w:type="pct"/>
                  <w:tcBorders>
                    <w:tl2br w:val="nil"/>
                    <w:tr2bl w:val="nil"/>
                  </w:tcBorders>
                  <w:vAlign w:val="center"/>
                </w:tcPr>
                <w:p w14:paraId="7891FE06">
                  <w:pPr>
                    <w:pStyle w:val="73"/>
                  </w:pPr>
                  <w:r>
                    <w:t>颗粒物浓度</w:t>
                  </w:r>
                </w:p>
              </w:tc>
              <w:tc>
                <w:tcPr>
                  <w:tcW w:w="489" w:type="pct"/>
                  <w:tcBorders>
                    <w:tl2br w:val="nil"/>
                    <w:tr2bl w:val="nil"/>
                  </w:tcBorders>
                  <w:vAlign w:val="center"/>
                </w:tcPr>
                <w:p w14:paraId="52AD0B9F">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1478CFC4">
                  <w:pPr>
                    <w:pStyle w:val="73"/>
                  </w:pPr>
                  <w:r>
                    <w:t>2.3</w:t>
                  </w:r>
                </w:p>
              </w:tc>
              <w:tc>
                <w:tcPr>
                  <w:tcW w:w="555" w:type="pct"/>
                  <w:tcBorders>
                    <w:tl2br w:val="nil"/>
                    <w:tr2bl w:val="nil"/>
                  </w:tcBorders>
                  <w:vAlign w:val="center"/>
                </w:tcPr>
                <w:p w14:paraId="595AE97D">
                  <w:pPr>
                    <w:pStyle w:val="73"/>
                  </w:pPr>
                  <w:r>
                    <w:t>2.0</w:t>
                  </w:r>
                </w:p>
              </w:tc>
              <w:tc>
                <w:tcPr>
                  <w:tcW w:w="555" w:type="pct"/>
                  <w:tcBorders>
                    <w:tl2br w:val="nil"/>
                    <w:tr2bl w:val="nil"/>
                  </w:tcBorders>
                  <w:vAlign w:val="center"/>
                </w:tcPr>
                <w:p w14:paraId="22309D4A">
                  <w:pPr>
                    <w:pStyle w:val="73"/>
                  </w:pPr>
                  <w:r>
                    <w:t>1.8</w:t>
                  </w:r>
                </w:p>
              </w:tc>
              <w:tc>
                <w:tcPr>
                  <w:tcW w:w="556" w:type="pct"/>
                  <w:tcBorders>
                    <w:tl2br w:val="nil"/>
                    <w:tr2bl w:val="nil"/>
                  </w:tcBorders>
                  <w:vAlign w:val="center"/>
                </w:tcPr>
                <w:p w14:paraId="72ECEEBB">
                  <w:pPr>
                    <w:pStyle w:val="73"/>
                  </w:pPr>
                  <w:r>
                    <w:t>2.3</w:t>
                  </w:r>
                </w:p>
              </w:tc>
              <w:tc>
                <w:tcPr>
                  <w:tcW w:w="352" w:type="pct"/>
                  <w:tcBorders>
                    <w:tl2br w:val="nil"/>
                    <w:tr2bl w:val="nil"/>
                  </w:tcBorders>
                  <w:vAlign w:val="center"/>
                </w:tcPr>
                <w:p w14:paraId="13FE1970">
                  <w:pPr>
                    <w:pStyle w:val="73"/>
                    <w:rPr>
                      <w:rFonts w:cstheme="minorBidi"/>
                    </w:rPr>
                  </w:pPr>
                  <w:r>
                    <w:rPr>
                      <w:rFonts w:hint="eastAsia"/>
                    </w:rPr>
                    <w:t>10</w:t>
                  </w:r>
                </w:p>
              </w:tc>
              <w:tc>
                <w:tcPr>
                  <w:tcW w:w="319" w:type="pct"/>
                  <w:tcBorders>
                    <w:tl2br w:val="nil"/>
                    <w:tr2bl w:val="nil"/>
                  </w:tcBorders>
                  <w:vAlign w:val="center"/>
                </w:tcPr>
                <w:p w14:paraId="4F8ABF33">
                  <w:pPr>
                    <w:pStyle w:val="73"/>
                    <w:rPr>
                      <w:rFonts w:cstheme="minorBidi"/>
                    </w:rPr>
                  </w:pPr>
                  <w:r>
                    <w:rPr>
                      <w:rFonts w:hint="eastAsia"/>
                    </w:rPr>
                    <w:t>达标</w:t>
                  </w:r>
                </w:p>
              </w:tc>
            </w:tr>
            <w:tr w14:paraId="18BCCB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restart"/>
                  <w:tcBorders>
                    <w:tl2br w:val="nil"/>
                    <w:tr2bl w:val="nil"/>
                  </w:tcBorders>
                  <w:vAlign w:val="center"/>
                </w:tcPr>
                <w:p w14:paraId="7FC252FE">
                  <w:pPr>
                    <w:pStyle w:val="73"/>
                  </w:pPr>
                  <w:r>
                    <w:t>DA074</w:t>
                  </w:r>
                </w:p>
                <w:p w14:paraId="6EDB6653">
                  <w:pPr>
                    <w:pStyle w:val="73"/>
                  </w:pPr>
                  <w:r>
                    <w:t>4#成品仓废气出口2024.02.28</w:t>
                  </w:r>
                </w:p>
              </w:tc>
              <w:tc>
                <w:tcPr>
                  <w:tcW w:w="946" w:type="pct"/>
                  <w:tcBorders>
                    <w:tl2br w:val="nil"/>
                    <w:tr2bl w:val="nil"/>
                  </w:tcBorders>
                  <w:vAlign w:val="center"/>
                </w:tcPr>
                <w:p w14:paraId="5DC8EC04">
                  <w:pPr>
                    <w:pStyle w:val="73"/>
                  </w:pPr>
                  <w:r>
                    <w:t>标况排气量</w:t>
                  </w:r>
                </w:p>
              </w:tc>
              <w:tc>
                <w:tcPr>
                  <w:tcW w:w="489" w:type="pct"/>
                  <w:tcBorders>
                    <w:tl2br w:val="nil"/>
                    <w:tr2bl w:val="nil"/>
                  </w:tcBorders>
                  <w:vAlign w:val="center"/>
                </w:tcPr>
                <w:p w14:paraId="08CAA577">
                  <w:pPr>
                    <w:pStyle w:val="73"/>
                  </w:pPr>
                  <w:r>
                    <w:rPr>
                      <w:rFonts w:hint="eastAsia"/>
                    </w:rPr>
                    <w:t>Nm</w:t>
                  </w:r>
                  <w:r>
                    <w:rPr>
                      <w:rFonts w:hint="eastAsia"/>
                      <w:vertAlign w:val="superscript"/>
                    </w:rPr>
                    <w:t>3</w:t>
                  </w:r>
                  <w:r>
                    <w:t>/h</w:t>
                  </w:r>
                </w:p>
              </w:tc>
              <w:tc>
                <w:tcPr>
                  <w:tcW w:w="555" w:type="pct"/>
                  <w:tcBorders>
                    <w:tl2br w:val="nil"/>
                    <w:tr2bl w:val="nil"/>
                  </w:tcBorders>
                  <w:vAlign w:val="center"/>
                </w:tcPr>
                <w:p w14:paraId="6212ED7C">
                  <w:pPr>
                    <w:pStyle w:val="73"/>
                  </w:pPr>
                  <w:r>
                    <w:t>13153</w:t>
                  </w:r>
                </w:p>
              </w:tc>
              <w:tc>
                <w:tcPr>
                  <w:tcW w:w="555" w:type="pct"/>
                  <w:tcBorders>
                    <w:tl2br w:val="nil"/>
                    <w:tr2bl w:val="nil"/>
                  </w:tcBorders>
                  <w:vAlign w:val="center"/>
                </w:tcPr>
                <w:p w14:paraId="296D5509">
                  <w:pPr>
                    <w:pStyle w:val="73"/>
                  </w:pPr>
                  <w:r>
                    <w:t>13021</w:t>
                  </w:r>
                </w:p>
              </w:tc>
              <w:tc>
                <w:tcPr>
                  <w:tcW w:w="555" w:type="pct"/>
                  <w:tcBorders>
                    <w:tl2br w:val="nil"/>
                    <w:tr2bl w:val="nil"/>
                  </w:tcBorders>
                  <w:vAlign w:val="center"/>
                </w:tcPr>
                <w:p w14:paraId="53BF12A4">
                  <w:pPr>
                    <w:pStyle w:val="73"/>
                  </w:pPr>
                  <w:r>
                    <w:t>13071</w:t>
                  </w:r>
                </w:p>
              </w:tc>
              <w:tc>
                <w:tcPr>
                  <w:tcW w:w="556" w:type="pct"/>
                  <w:tcBorders>
                    <w:tl2br w:val="nil"/>
                    <w:tr2bl w:val="nil"/>
                  </w:tcBorders>
                  <w:vAlign w:val="center"/>
                </w:tcPr>
                <w:p w14:paraId="37205490">
                  <w:pPr>
                    <w:pStyle w:val="73"/>
                  </w:pPr>
                  <w:r>
                    <w:t>/</w:t>
                  </w:r>
                </w:p>
              </w:tc>
              <w:tc>
                <w:tcPr>
                  <w:tcW w:w="352" w:type="pct"/>
                  <w:tcBorders>
                    <w:tl2br w:val="nil"/>
                    <w:tr2bl w:val="nil"/>
                  </w:tcBorders>
                  <w:vAlign w:val="center"/>
                </w:tcPr>
                <w:p w14:paraId="58134922">
                  <w:pPr>
                    <w:pStyle w:val="73"/>
                  </w:pPr>
                </w:p>
              </w:tc>
              <w:tc>
                <w:tcPr>
                  <w:tcW w:w="319" w:type="pct"/>
                  <w:tcBorders>
                    <w:tl2br w:val="nil"/>
                    <w:tr2bl w:val="nil"/>
                  </w:tcBorders>
                  <w:vAlign w:val="center"/>
                </w:tcPr>
                <w:p w14:paraId="797CFD3F">
                  <w:pPr>
                    <w:pStyle w:val="73"/>
                  </w:pPr>
                </w:p>
              </w:tc>
            </w:tr>
            <w:tr w14:paraId="3E82F3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73078F58">
                  <w:pPr>
                    <w:pStyle w:val="73"/>
                  </w:pPr>
                </w:p>
              </w:tc>
              <w:tc>
                <w:tcPr>
                  <w:tcW w:w="946" w:type="pct"/>
                  <w:tcBorders>
                    <w:tl2br w:val="nil"/>
                    <w:tr2bl w:val="nil"/>
                  </w:tcBorders>
                  <w:vAlign w:val="center"/>
                </w:tcPr>
                <w:p w14:paraId="178B7403">
                  <w:pPr>
                    <w:pStyle w:val="73"/>
                  </w:pPr>
                  <w:r>
                    <w:t>颗粒物浓度</w:t>
                  </w:r>
                </w:p>
              </w:tc>
              <w:tc>
                <w:tcPr>
                  <w:tcW w:w="489" w:type="pct"/>
                  <w:tcBorders>
                    <w:tl2br w:val="nil"/>
                    <w:tr2bl w:val="nil"/>
                  </w:tcBorders>
                  <w:vAlign w:val="center"/>
                </w:tcPr>
                <w:p w14:paraId="4A2ABDA5">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2E1597A9">
                  <w:pPr>
                    <w:pStyle w:val="73"/>
                  </w:pPr>
                  <w:r>
                    <w:t>2.6</w:t>
                  </w:r>
                </w:p>
              </w:tc>
              <w:tc>
                <w:tcPr>
                  <w:tcW w:w="555" w:type="pct"/>
                  <w:tcBorders>
                    <w:tl2br w:val="nil"/>
                    <w:tr2bl w:val="nil"/>
                  </w:tcBorders>
                  <w:vAlign w:val="center"/>
                </w:tcPr>
                <w:p w14:paraId="36F06DDF">
                  <w:pPr>
                    <w:pStyle w:val="73"/>
                  </w:pPr>
                  <w:r>
                    <w:t>2.2</w:t>
                  </w:r>
                </w:p>
              </w:tc>
              <w:tc>
                <w:tcPr>
                  <w:tcW w:w="555" w:type="pct"/>
                  <w:tcBorders>
                    <w:tl2br w:val="nil"/>
                    <w:tr2bl w:val="nil"/>
                  </w:tcBorders>
                  <w:vAlign w:val="center"/>
                </w:tcPr>
                <w:p w14:paraId="1364054B">
                  <w:pPr>
                    <w:pStyle w:val="73"/>
                  </w:pPr>
                  <w:r>
                    <w:t>2.3</w:t>
                  </w:r>
                </w:p>
              </w:tc>
              <w:tc>
                <w:tcPr>
                  <w:tcW w:w="556" w:type="pct"/>
                  <w:tcBorders>
                    <w:tl2br w:val="nil"/>
                    <w:tr2bl w:val="nil"/>
                  </w:tcBorders>
                  <w:vAlign w:val="center"/>
                </w:tcPr>
                <w:p w14:paraId="2A7ABBB1">
                  <w:pPr>
                    <w:pStyle w:val="73"/>
                  </w:pPr>
                  <w:r>
                    <w:t>2.6</w:t>
                  </w:r>
                </w:p>
              </w:tc>
              <w:tc>
                <w:tcPr>
                  <w:tcW w:w="352" w:type="pct"/>
                  <w:tcBorders>
                    <w:tl2br w:val="nil"/>
                    <w:tr2bl w:val="nil"/>
                  </w:tcBorders>
                  <w:vAlign w:val="center"/>
                </w:tcPr>
                <w:p w14:paraId="6F750897">
                  <w:pPr>
                    <w:pStyle w:val="73"/>
                    <w:rPr>
                      <w:rFonts w:cstheme="minorBidi"/>
                    </w:rPr>
                  </w:pPr>
                  <w:r>
                    <w:rPr>
                      <w:rFonts w:hint="eastAsia"/>
                    </w:rPr>
                    <w:t>10</w:t>
                  </w:r>
                </w:p>
              </w:tc>
              <w:tc>
                <w:tcPr>
                  <w:tcW w:w="319" w:type="pct"/>
                  <w:tcBorders>
                    <w:tl2br w:val="nil"/>
                    <w:tr2bl w:val="nil"/>
                  </w:tcBorders>
                  <w:vAlign w:val="center"/>
                </w:tcPr>
                <w:p w14:paraId="676F82DF">
                  <w:pPr>
                    <w:pStyle w:val="73"/>
                    <w:rPr>
                      <w:rFonts w:cstheme="minorBidi"/>
                    </w:rPr>
                  </w:pPr>
                  <w:r>
                    <w:rPr>
                      <w:rFonts w:hint="eastAsia"/>
                    </w:rPr>
                    <w:t>达标</w:t>
                  </w:r>
                </w:p>
              </w:tc>
            </w:tr>
            <w:tr w14:paraId="5FC0D6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restart"/>
                  <w:tcBorders>
                    <w:tl2br w:val="nil"/>
                    <w:tr2bl w:val="nil"/>
                  </w:tcBorders>
                  <w:vAlign w:val="center"/>
                </w:tcPr>
                <w:p w14:paraId="38253CF8">
                  <w:pPr>
                    <w:pStyle w:val="73"/>
                  </w:pPr>
                  <w:r>
                    <w:t>DA080</w:t>
                  </w:r>
                </w:p>
                <w:p w14:paraId="016842F5">
                  <w:pPr>
                    <w:pStyle w:val="73"/>
                  </w:pPr>
                  <w:r>
                    <w:t>1#筒仓包装机废气出口2024.03.0</w:t>
                  </w:r>
                  <w:r>
                    <w:rPr>
                      <w:rFonts w:hint="eastAsia"/>
                    </w:rPr>
                    <w:t>1</w:t>
                  </w:r>
                </w:p>
              </w:tc>
              <w:tc>
                <w:tcPr>
                  <w:tcW w:w="946" w:type="pct"/>
                  <w:tcBorders>
                    <w:tl2br w:val="nil"/>
                    <w:tr2bl w:val="nil"/>
                  </w:tcBorders>
                  <w:vAlign w:val="center"/>
                </w:tcPr>
                <w:p w14:paraId="0F55BFA9">
                  <w:pPr>
                    <w:pStyle w:val="73"/>
                  </w:pPr>
                  <w:r>
                    <w:t>标况排气量</w:t>
                  </w:r>
                </w:p>
              </w:tc>
              <w:tc>
                <w:tcPr>
                  <w:tcW w:w="489" w:type="pct"/>
                  <w:tcBorders>
                    <w:tl2br w:val="nil"/>
                    <w:tr2bl w:val="nil"/>
                  </w:tcBorders>
                  <w:vAlign w:val="center"/>
                </w:tcPr>
                <w:p w14:paraId="06D75E91">
                  <w:pPr>
                    <w:pStyle w:val="73"/>
                  </w:pPr>
                  <w:r>
                    <w:rPr>
                      <w:rFonts w:hint="eastAsia"/>
                    </w:rPr>
                    <w:t>Nm</w:t>
                  </w:r>
                  <w:r>
                    <w:rPr>
                      <w:rFonts w:hint="eastAsia"/>
                      <w:vertAlign w:val="superscript"/>
                    </w:rPr>
                    <w:t>3</w:t>
                  </w:r>
                  <w:r>
                    <w:t>/h</w:t>
                  </w:r>
                </w:p>
              </w:tc>
              <w:tc>
                <w:tcPr>
                  <w:tcW w:w="555" w:type="pct"/>
                  <w:tcBorders>
                    <w:tl2br w:val="nil"/>
                    <w:tr2bl w:val="nil"/>
                  </w:tcBorders>
                  <w:vAlign w:val="center"/>
                </w:tcPr>
                <w:p w14:paraId="09DDDAFB">
                  <w:pPr>
                    <w:pStyle w:val="73"/>
                  </w:pPr>
                  <w:r>
                    <w:t>12167</w:t>
                  </w:r>
                </w:p>
              </w:tc>
              <w:tc>
                <w:tcPr>
                  <w:tcW w:w="555" w:type="pct"/>
                  <w:tcBorders>
                    <w:tl2br w:val="nil"/>
                    <w:tr2bl w:val="nil"/>
                  </w:tcBorders>
                  <w:vAlign w:val="center"/>
                </w:tcPr>
                <w:p w14:paraId="46B1472A">
                  <w:pPr>
                    <w:pStyle w:val="73"/>
                  </w:pPr>
                  <w:r>
                    <w:t>12255</w:t>
                  </w:r>
                </w:p>
              </w:tc>
              <w:tc>
                <w:tcPr>
                  <w:tcW w:w="555" w:type="pct"/>
                  <w:tcBorders>
                    <w:tl2br w:val="nil"/>
                    <w:tr2bl w:val="nil"/>
                  </w:tcBorders>
                  <w:vAlign w:val="center"/>
                </w:tcPr>
                <w:p w14:paraId="6686A161">
                  <w:pPr>
                    <w:pStyle w:val="73"/>
                  </w:pPr>
                  <w:r>
                    <w:t>12444</w:t>
                  </w:r>
                </w:p>
              </w:tc>
              <w:tc>
                <w:tcPr>
                  <w:tcW w:w="556" w:type="pct"/>
                  <w:tcBorders>
                    <w:tl2br w:val="nil"/>
                    <w:tr2bl w:val="nil"/>
                  </w:tcBorders>
                  <w:vAlign w:val="center"/>
                </w:tcPr>
                <w:p w14:paraId="795A8DD8">
                  <w:pPr>
                    <w:pStyle w:val="73"/>
                  </w:pPr>
                  <w:r>
                    <w:t>/</w:t>
                  </w:r>
                </w:p>
              </w:tc>
              <w:tc>
                <w:tcPr>
                  <w:tcW w:w="352" w:type="pct"/>
                  <w:tcBorders>
                    <w:tl2br w:val="nil"/>
                    <w:tr2bl w:val="nil"/>
                  </w:tcBorders>
                  <w:vAlign w:val="center"/>
                </w:tcPr>
                <w:p w14:paraId="1D7EDF41">
                  <w:pPr>
                    <w:pStyle w:val="73"/>
                  </w:pPr>
                </w:p>
              </w:tc>
              <w:tc>
                <w:tcPr>
                  <w:tcW w:w="319" w:type="pct"/>
                  <w:tcBorders>
                    <w:tl2br w:val="nil"/>
                    <w:tr2bl w:val="nil"/>
                  </w:tcBorders>
                  <w:vAlign w:val="center"/>
                </w:tcPr>
                <w:p w14:paraId="7747D9A0">
                  <w:pPr>
                    <w:pStyle w:val="73"/>
                  </w:pPr>
                </w:p>
              </w:tc>
            </w:tr>
            <w:tr w14:paraId="096F5E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4DF42995">
                  <w:pPr>
                    <w:pStyle w:val="73"/>
                  </w:pPr>
                </w:p>
              </w:tc>
              <w:tc>
                <w:tcPr>
                  <w:tcW w:w="946" w:type="pct"/>
                  <w:tcBorders>
                    <w:tl2br w:val="nil"/>
                    <w:tr2bl w:val="nil"/>
                  </w:tcBorders>
                  <w:vAlign w:val="center"/>
                </w:tcPr>
                <w:p w14:paraId="41EE2F30">
                  <w:pPr>
                    <w:pStyle w:val="73"/>
                  </w:pPr>
                  <w:r>
                    <w:t>颗粒物浓度</w:t>
                  </w:r>
                </w:p>
              </w:tc>
              <w:tc>
                <w:tcPr>
                  <w:tcW w:w="489" w:type="pct"/>
                  <w:tcBorders>
                    <w:tl2br w:val="nil"/>
                    <w:tr2bl w:val="nil"/>
                  </w:tcBorders>
                  <w:vAlign w:val="center"/>
                </w:tcPr>
                <w:p w14:paraId="1CD35E22">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1BC34B09">
                  <w:pPr>
                    <w:pStyle w:val="73"/>
                  </w:pPr>
                  <w:r>
                    <w:t>2.6</w:t>
                  </w:r>
                </w:p>
              </w:tc>
              <w:tc>
                <w:tcPr>
                  <w:tcW w:w="555" w:type="pct"/>
                  <w:tcBorders>
                    <w:tl2br w:val="nil"/>
                    <w:tr2bl w:val="nil"/>
                  </w:tcBorders>
                  <w:vAlign w:val="center"/>
                </w:tcPr>
                <w:p w14:paraId="291B4FDC">
                  <w:pPr>
                    <w:pStyle w:val="73"/>
                  </w:pPr>
                  <w:r>
                    <w:t>2.2</w:t>
                  </w:r>
                </w:p>
              </w:tc>
              <w:tc>
                <w:tcPr>
                  <w:tcW w:w="555" w:type="pct"/>
                  <w:tcBorders>
                    <w:tl2br w:val="nil"/>
                    <w:tr2bl w:val="nil"/>
                  </w:tcBorders>
                  <w:vAlign w:val="center"/>
                </w:tcPr>
                <w:p w14:paraId="03C0F13B">
                  <w:pPr>
                    <w:pStyle w:val="73"/>
                  </w:pPr>
                  <w:r>
                    <w:t>2.1</w:t>
                  </w:r>
                </w:p>
              </w:tc>
              <w:tc>
                <w:tcPr>
                  <w:tcW w:w="556" w:type="pct"/>
                  <w:tcBorders>
                    <w:tl2br w:val="nil"/>
                    <w:tr2bl w:val="nil"/>
                  </w:tcBorders>
                  <w:vAlign w:val="center"/>
                </w:tcPr>
                <w:p w14:paraId="5A43540A">
                  <w:pPr>
                    <w:pStyle w:val="73"/>
                  </w:pPr>
                  <w:r>
                    <w:rPr>
                      <w:rFonts w:hint="eastAsia"/>
                    </w:rPr>
                    <w:t>2.6</w:t>
                  </w:r>
                </w:p>
              </w:tc>
              <w:tc>
                <w:tcPr>
                  <w:tcW w:w="352" w:type="pct"/>
                  <w:tcBorders>
                    <w:tl2br w:val="nil"/>
                    <w:tr2bl w:val="nil"/>
                  </w:tcBorders>
                  <w:vAlign w:val="center"/>
                </w:tcPr>
                <w:p w14:paraId="4B43B6C2">
                  <w:pPr>
                    <w:pStyle w:val="73"/>
                    <w:rPr>
                      <w:rFonts w:cstheme="minorBidi"/>
                    </w:rPr>
                  </w:pPr>
                  <w:r>
                    <w:rPr>
                      <w:rFonts w:hint="eastAsia"/>
                    </w:rPr>
                    <w:t>10</w:t>
                  </w:r>
                </w:p>
              </w:tc>
              <w:tc>
                <w:tcPr>
                  <w:tcW w:w="319" w:type="pct"/>
                  <w:tcBorders>
                    <w:tl2br w:val="nil"/>
                    <w:tr2bl w:val="nil"/>
                  </w:tcBorders>
                  <w:vAlign w:val="center"/>
                </w:tcPr>
                <w:p w14:paraId="5856D261">
                  <w:pPr>
                    <w:pStyle w:val="73"/>
                    <w:rPr>
                      <w:rFonts w:cstheme="minorBidi"/>
                    </w:rPr>
                  </w:pPr>
                  <w:r>
                    <w:rPr>
                      <w:rFonts w:hint="eastAsia"/>
                    </w:rPr>
                    <w:t>达标</w:t>
                  </w:r>
                </w:p>
              </w:tc>
            </w:tr>
            <w:tr w14:paraId="1021BB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restart"/>
                  <w:tcBorders>
                    <w:tl2br w:val="nil"/>
                    <w:tr2bl w:val="nil"/>
                  </w:tcBorders>
                  <w:vAlign w:val="center"/>
                </w:tcPr>
                <w:p w14:paraId="23944556">
                  <w:pPr>
                    <w:pStyle w:val="73"/>
                  </w:pPr>
                  <w:r>
                    <w:t>DA081</w:t>
                  </w:r>
                </w:p>
                <w:p w14:paraId="1E5C5D06">
                  <w:pPr>
                    <w:pStyle w:val="73"/>
                  </w:pPr>
                  <w:r>
                    <w:t>2#筒仓包装机废气出口2024.03.04</w:t>
                  </w:r>
                </w:p>
              </w:tc>
              <w:tc>
                <w:tcPr>
                  <w:tcW w:w="946" w:type="pct"/>
                  <w:tcBorders>
                    <w:tl2br w:val="nil"/>
                    <w:tr2bl w:val="nil"/>
                  </w:tcBorders>
                  <w:vAlign w:val="center"/>
                </w:tcPr>
                <w:p w14:paraId="54178542">
                  <w:pPr>
                    <w:pStyle w:val="73"/>
                  </w:pPr>
                  <w:r>
                    <w:t>标况排气量</w:t>
                  </w:r>
                </w:p>
              </w:tc>
              <w:tc>
                <w:tcPr>
                  <w:tcW w:w="489" w:type="pct"/>
                  <w:tcBorders>
                    <w:tl2br w:val="nil"/>
                    <w:tr2bl w:val="nil"/>
                  </w:tcBorders>
                  <w:vAlign w:val="center"/>
                </w:tcPr>
                <w:p w14:paraId="0CEFE7CD">
                  <w:pPr>
                    <w:pStyle w:val="73"/>
                  </w:pPr>
                  <w:r>
                    <w:rPr>
                      <w:rFonts w:hint="eastAsia"/>
                    </w:rPr>
                    <w:t>Nm</w:t>
                  </w:r>
                  <w:r>
                    <w:rPr>
                      <w:rFonts w:hint="eastAsia"/>
                      <w:vertAlign w:val="superscript"/>
                    </w:rPr>
                    <w:t>3</w:t>
                  </w:r>
                  <w:r>
                    <w:t>/h</w:t>
                  </w:r>
                </w:p>
              </w:tc>
              <w:tc>
                <w:tcPr>
                  <w:tcW w:w="555" w:type="pct"/>
                  <w:tcBorders>
                    <w:tl2br w:val="nil"/>
                    <w:tr2bl w:val="nil"/>
                  </w:tcBorders>
                  <w:vAlign w:val="center"/>
                </w:tcPr>
                <w:p w14:paraId="40689E29">
                  <w:pPr>
                    <w:pStyle w:val="73"/>
                  </w:pPr>
                  <w:r>
                    <w:t>11494</w:t>
                  </w:r>
                </w:p>
              </w:tc>
              <w:tc>
                <w:tcPr>
                  <w:tcW w:w="555" w:type="pct"/>
                  <w:tcBorders>
                    <w:tl2br w:val="nil"/>
                    <w:tr2bl w:val="nil"/>
                  </w:tcBorders>
                  <w:vAlign w:val="center"/>
                </w:tcPr>
                <w:p w14:paraId="245905C0">
                  <w:pPr>
                    <w:pStyle w:val="73"/>
                  </w:pPr>
                  <w:r>
                    <w:t>11134</w:t>
                  </w:r>
                </w:p>
              </w:tc>
              <w:tc>
                <w:tcPr>
                  <w:tcW w:w="555" w:type="pct"/>
                  <w:tcBorders>
                    <w:tl2br w:val="nil"/>
                    <w:tr2bl w:val="nil"/>
                  </w:tcBorders>
                  <w:vAlign w:val="center"/>
                </w:tcPr>
                <w:p w14:paraId="76D1C0AB">
                  <w:pPr>
                    <w:pStyle w:val="73"/>
                  </w:pPr>
                  <w:r>
                    <w:t>11679</w:t>
                  </w:r>
                </w:p>
              </w:tc>
              <w:tc>
                <w:tcPr>
                  <w:tcW w:w="556" w:type="pct"/>
                  <w:tcBorders>
                    <w:tl2br w:val="nil"/>
                    <w:tr2bl w:val="nil"/>
                  </w:tcBorders>
                  <w:vAlign w:val="center"/>
                </w:tcPr>
                <w:p w14:paraId="4A79906E">
                  <w:pPr>
                    <w:pStyle w:val="73"/>
                  </w:pPr>
                  <w:r>
                    <w:t>/</w:t>
                  </w:r>
                </w:p>
              </w:tc>
              <w:tc>
                <w:tcPr>
                  <w:tcW w:w="352" w:type="pct"/>
                  <w:tcBorders>
                    <w:tl2br w:val="nil"/>
                    <w:tr2bl w:val="nil"/>
                  </w:tcBorders>
                  <w:vAlign w:val="center"/>
                </w:tcPr>
                <w:p w14:paraId="36E52A34">
                  <w:pPr>
                    <w:pStyle w:val="73"/>
                  </w:pPr>
                </w:p>
              </w:tc>
              <w:tc>
                <w:tcPr>
                  <w:tcW w:w="319" w:type="pct"/>
                  <w:tcBorders>
                    <w:tl2br w:val="nil"/>
                    <w:tr2bl w:val="nil"/>
                  </w:tcBorders>
                  <w:vAlign w:val="center"/>
                </w:tcPr>
                <w:p w14:paraId="010E726A">
                  <w:pPr>
                    <w:pStyle w:val="73"/>
                  </w:pPr>
                </w:p>
              </w:tc>
            </w:tr>
            <w:tr w14:paraId="53EC61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45DC8C37">
                  <w:pPr>
                    <w:pStyle w:val="73"/>
                  </w:pPr>
                </w:p>
              </w:tc>
              <w:tc>
                <w:tcPr>
                  <w:tcW w:w="946" w:type="pct"/>
                  <w:tcBorders>
                    <w:tl2br w:val="nil"/>
                    <w:tr2bl w:val="nil"/>
                  </w:tcBorders>
                  <w:vAlign w:val="center"/>
                </w:tcPr>
                <w:p w14:paraId="3D07741D">
                  <w:pPr>
                    <w:pStyle w:val="73"/>
                  </w:pPr>
                  <w:r>
                    <w:t>颗粒物浓度</w:t>
                  </w:r>
                </w:p>
              </w:tc>
              <w:tc>
                <w:tcPr>
                  <w:tcW w:w="489" w:type="pct"/>
                  <w:tcBorders>
                    <w:tl2br w:val="nil"/>
                    <w:tr2bl w:val="nil"/>
                  </w:tcBorders>
                  <w:vAlign w:val="center"/>
                </w:tcPr>
                <w:p w14:paraId="56BDC848">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4038FEFC">
                  <w:pPr>
                    <w:pStyle w:val="73"/>
                  </w:pPr>
                  <w:r>
                    <w:t>2.8</w:t>
                  </w:r>
                </w:p>
              </w:tc>
              <w:tc>
                <w:tcPr>
                  <w:tcW w:w="555" w:type="pct"/>
                  <w:tcBorders>
                    <w:tl2br w:val="nil"/>
                    <w:tr2bl w:val="nil"/>
                  </w:tcBorders>
                  <w:vAlign w:val="center"/>
                </w:tcPr>
                <w:p w14:paraId="444EAD41">
                  <w:pPr>
                    <w:pStyle w:val="73"/>
                  </w:pPr>
                  <w:r>
                    <w:t>2.4</w:t>
                  </w:r>
                </w:p>
              </w:tc>
              <w:tc>
                <w:tcPr>
                  <w:tcW w:w="555" w:type="pct"/>
                  <w:tcBorders>
                    <w:tl2br w:val="nil"/>
                    <w:tr2bl w:val="nil"/>
                  </w:tcBorders>
                  <w:vAlign w:val="center"/>
                </w:tcPr>
                <w:p w14:paraId="445270DE">
                  <w:pPr>
                    <w:pStyle w:val="73"/>
                  </w:pPr>
                  <w:r>
                    <w:t>2.7</w:t>
                  </w:r>
                </w:p>
              </w:tc>
              <w:tc>
                <w:tcPr>
                  <w:tcW w:w="556" w:type="pct"/>
                  <w:tcBorders>
                    <w:tl2br w:val="nil"/>
                    <w:tr2bl w:val="nil"/>
                  </w:tcBorders>
                  <w:vAlign w:val="center"/>
                </w:tcPr>
                <w:p w14:paraId="22229131">
                  <w:pPr>
                    <w:pStyle w:val="73"/>
                  </w:pPr>
                  <w:r>
                    <w:rPr>
                      <w:rFonts w:hint="eastAsia"/>
                    </w:rPr>
                    <w:t>2.8</w:t>
                  </w:r>
                </w:p>
              </w:tc>
              <w:tc>
                <w:tcPr>
                  <w:tcW w:w="352" w:type="pct"/>
                  <w:tcBorders>
                    <w:tl2br w:val="nil"/>
                    <w:tr2bl w:val="nil"/>
                  </w:tcBorders>
                  <w:vAlign w:val="center"/>
                </w:tcPr>
                <w:p w14:paraId="63CBB11D">
                  <w:pPr>
                    <w:pStyle w:val="73"/>
                    <w:rPr>
                      <w:rFonts w:cstheme="minorBidi"/>
                    </w:rPr>
                  </w:pPr>
                  <w:r>
                    <w:rPr>
                      <w:rFonts w:hint="eastAsia"/>
                    </w:rPr>
                    <w:t>10</w:t>
                  </w:r>
                </w:p>
              </w:tc>
              <w:tc>
                <w:tcPr>
                  <w:tcW w:w="319" w:type="pct"/>
                  <w:tcBorders>
                    <w:tl2br w:val="nil"/>
                    <w:tr2bl w:val="nil"/>
                  </w:tcBorders>
                  <w:vAlign w:val="center"/>
                </w:tcPr>
                <w:p w14:paraId="66133099">
                  <w:pPr>
                    <w:pStyle w:val="73"/>
                    <w:rPr>
                      <w:rFonts w:cstheme="minorBidi"/>
                    </w:rPr>
                  </w:pPr>
                  <w:r>
                    <w:rPr>
                      <w:rFonts w:hint="eastAsia"/>
                    </w:rPr>
                    <w:t>达标</w:t>
                  </w:r>
                </w:p>
              </w:tc>
            </w:tr>
            <w:tr w14:paraId="7D6427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restart"/>
                  <w:tcBorders>
                    <w:tl2br w:val="nil"/>
                    <w:tr2bl w:val="nil"/>
                  </w:tcBorders>
                  <w:vAlign w:val="center"/>
                </w:tcPr>
                <w:p w14:paraId="03D6742F">
                  <w:pPr>
                    <w:pStyle w:val="73"/>
                  </w:pPr>
                  <w:r>
                    <w:t>DA0</w:t>
                  </w:r>
                  <w:r>
                    <w:rPr>
                      <w:rFonts w:hint="eastAsia"/>
                    </w:rPr>
                    <w:t xml:space="preserve">83 </w:t>
                  </w:r>
                  <w:r>
                    <w:t>3#筒仓包装机废气出口202</w:t>
                  </w:r>
                  <w:r>
                    <w:rPr>
                      <w:rFonts w:hint="eastAsia"/>
                    </w:rPr>
                    <w:t>4.</w:t>
                  </w:r>
                  <w:r>
                    <w:t>0</w:t>
                  </w:r>
                  <w:r>
                    <w:rPr>
                      <w:rFonts w:hint="eastAsia"/>
                    </w:rPr>
                    <w:t>3</w:t>
                  </w:r>
                  <w:r>
                    <w:t>.</w:t>
                  </w:r>
                  <w:r>
                    <w:rPr>
                      <w:rFonts w:hint="eastAsia"/>
                    </w:rPr>
                    <w:t>02</w:t>
                  </w:r>
                </w:p>
              </w:tc>
              <w:tc>
                <w:tcPr>
                  <w:tcW w:w="946" w:type="pct"/>
                  <w:tcBorders>
                    <w:tl2br w:val="nil"/>
                    <w:tr2bl w:val="nil"/>
                  </w:tcBorders>
                  <w:vAlign w:val="center"/>
                </w:tcPr>
                <w:p w14:paraId="2B34D982">
                  <w:pPr>
                    <w:pStyle w:val="73"/>
                  </w:pPr>
                  <w:r>
                    <w:t>标况排气量</w:t>
                  </w:r>
                </w:p>
              </w:tc>
              <w:tc>
                <w:tcPr>
                  <w:tcW w:w="489" w:type="pct"/>
                  <w:tcBorders>
                    <w:tl2br w:val="nil"/>
                    <w:tr2bl w:val="nil"/>
                  </w:tcBorders>
                  <w:vAlign w:val="center"/>
                </w:tcPr>
                <w:p w14:paraId="54AD2409">
                  <w:pPr>
                    <w:pStyle w:val="73"/>
                  </w:pPr>
                  <w:r>
                    <w:rPr>
                      <w:rFonts w:hint="eastAsia"/>
                    </w:rPr>
                    <w:t>Nm</w:t>
                  </w:r>
                  <w:r>
                    <w:rPr>
                      <w:rFonts w:hint="eastAsia"/>
                      <w:vertAlign w:val="superscript"/>
                    </w:rPr>
                    <w:t>3</w:t>
                  </w:r>
                  <w:r>
                    <w:t>/h</w:t>
                  </w:r>
                </w:p>
              </w:tc>
              <w:tc>
                <w:tcPr>
                  <w:tcW w:w="555" w:type="pct"/>
                  <w:tcBorders>
                    <w:tl2br w:val="nil"/>
                    <w:tr2bl w:val="nil"/>
                  </w:tcBorders>
                  <w:vAlign w:val="center"/>
                </w:tcPr>
                <w:p w14:paraId="44608C72">
                  <w:pPr>
                    <w:pStyle w:val="73"/>
                  </w:pPr>
                  <w:r>
                    <w:t>14394</w:t>
                  </w:r>
                </w:p>
              </w:tc>
              <w:tc>
                <w:tcPr>
                  <w:tcW w:w="555" w:type="pct"/>
                  <w:tcBorders>
                    <w:tl2br w:val="nil"/>
                    <w:tr2bl w:val="nil"/>
                  </w:tcBorders>
                  <w:vAlign w:val="center"/>
                </w:tcPr>
                <w:p w14:paraId="4787B414">
                  <w:pPr>
                    <w:pStyle w:val="73"/>
                  </w:pPr>
                  <w:r>
                    <w:t>14502</w:t>
                  </w:r>
                </w:p>
              </w:tc>
              <w:tc>
                <w:tcPr>
                  <w:tcW w:w="555" w:type="pct"/>
                  <w:tcBorders>
                    <w:tl2br w:val="nil"/>
                    <w:tr2bl w:val="nil"/>
                  </w:tcBorders>
                  <w:vAlign w:val="center"/>
                </w:tcPr>
                <w:p w14:paraId="694A5D22">
                  <w:pPr>
                    <w:pStyle w:val="73"/>
                  </w:pPr>
                  <w:r>
                    <w:t>14557</w:t>
                  </w:r>
                </w:p>
              </w:tc>
              <w:tc>
                <w:tcPr>
                  <w:tcW w:w="556" w:type="pct"/>
                  <w:tcBorders>
                    <w:tl2br w:val="nil"/>
                    <w:tr2bl w:val="nil"/>
                  </w:tcBorders>
                  <w:vAlign w:val="center"/>
                </w:tcPr>
                <w:p w14:paraId="369C41D9">
                  <w:pPr>
                    <w:pStyle w:val="73"/>
                  </w:pPr>
                  <w:r>
                    <w:t>/</w:t>
                  </w:r>
                </w:p>
              </w:tc>
              <w:tc>
                <w:tcPr>
                  <w:tcW w:w="352" w:type="pct"/>
                  <w:tcBorders>
                    <w:tl2br w:val="nil"/>
                    <w:tr2bl w:val="nil"/>
                  </w:tcBorders>
                  <w:vAlign w:val="center"/>
                </w:tcPr>
                <w:p w14:paraId="09D60375">
                  <w:pPr>
                    <w:pStyle w:val="73"/>
                  </w:pPr>
                </w:p>
              </w:tc>
              <w:tc>
                <w:tcPr>
                  <w:tcW w:w="319" w:type="pct"/>
                  <w:tcBorders>
                    <w:tl2br w:val="nil"/>
                    <w:tr2bl w:val="nil"/>
                  </w:tcBorders>
                  <w:vAlign w:val="center"/>
                </w:tcPr>
                <w:p w14:paraId="3C521705">
                  <w:pPr>
                    <w:pStyle w:val="73"/>
                  </w:pPr>
                </w:p>
              </w:tc>
            </w:tr>
            <w:tr w14:paraId="3D831E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2242E6E2">
                  <w:pPr>
                    <w:pStyle w:val="73"/>
                  </w:pPr>
                </w:p>
              </w:tc>
              <w:tc>
                <w:tcPr>
                  <w:tcW w:w="946" w:type="pct"/>
                  <w:tcBorders>
                    <w:tl2br w:val="nil"/>
                    <w:tr2bl w:val="nil"/>
                  </w:tcBorders>
                  <w:vAlign w:val="center"/>
                </w:tcPr>
                <w:p w14:paraId="530DF9F6">
                  <w:pPr>
                    <w:pStyle w:val="73"/>
                  </w:pPr>
                  <w:r>
                    <w:t>颗粒物浓度</w:t>
                  </w:r>
                </w:p>
              </w:tc>
              <w:tc>
                <w:tcPr>
                  <w:tcW w:w="489" w:type="pct"/>
                  <w:tcBorders>
                    <w:tl2br w:val="nil"/>
                    <w:tr2bl w:val="nil"/>
                  </w:tcBorders>
                  <w:vAlign w:val="center"/>
                </w:tcPr>
                <w:p w14:paraId="6A217667">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471D8672">
                  <w:pPr>
                    <w:pStyle w:val="73"/>
                  </w:pPr>
                  <w:r>
                    <w:t>2.6</w:t>
                  </w:r>
                </w:p>
              </w:tc>
              <w:tc>
                <w:tcPr>
                  <w:tcW w:w="555" w:type="pct"/>
                  <w:tcBorders>
                    <w:tl2br w:val="nil"/>
                    <w:tr2bl w:val="nil"/>
                  </w:tcBorders>
                  <w:vAlign w:val="center"/>
                </w:tcPr>
                <w:p w14:paraId="513BD944">
                  <w:pPr>
                    <w:pStyle w:val="73"/>
                  </w:pPr>
                  <w:r>
                    <w:t>2.4</w:t>
                  </w:r>
                </w:p>
              </w:tc>
              <w:tc>
                <w:tcPr>
                  <w:tcW w:w="555" w:type="pct"/>
                  <w:tcBorders>
                    <w:tl2br w:val="nil"/>
                    <w:tr2bl w:val="nil"/>
                  </w:tcBorders>
                  <w:vAlign w:val="center"/>
                </w:tcPr>
                <w:p w14:paraId="1F1BDA3D">
                  <w:pPr>
                    <w:pStyle w:val="73"/>
                  </w:pPr>
                  <w:r>
                    <w:t>2.3</w:t>
                  </w:r>
                </w:p>
              </w:tc>
              <w:tc>
                <w:tcPr>
                  <w:tcW w:w="556" w:type="pct"/>
                  <w:tcBorders>
                    <w:tl2br w:val="nil"/>
                    <w:tr2bl w:val="nil"/>
                  </w:tcBorders>
                  <w:vAlign w:val="center"/>
                </w:tcPr>
                <w:p w14:paraId="77135AA8">
                  <w:pPr>
                    <w:pStyle w:val="73"/>
                  </w:pPr>
                  <w:r>
                    <w:t>2.6</w:t>
                  </w:r>
                </w:p>
              </w:tc>
              <w:tc>
                <w:tcPr>
                  <w:tcW w:w="352" w:type="pct"/>
                  <w:tcBorders>
                    <w:tl2br w:val="nil"/>
                    <w:tr2bl w:val="nil"/>
                  </w:tcBorders>
                  <w:vAlign w:val="center"/>
                </w:tcPr>
                <w:p w14:paraId="5EEA92BE">
                  <w:pPr>
                    <w:pStyle w:val="73"/>
                    <w:rPr>
                      <w:rFonts w:cstheme="minorBidi"/>
                    </w:rPr>
                  </w:pPr>
                  <w:r>
                    <w:rPr>
                      <w:rFonts w:hint="eastAsia"/>
                    </w:rPr>
                    <w:t>10</w:t>
                  </w:r>
                </w:p>
              </w:tc>
              <w:tc>
                <w:tcPr>
                  <w:tcW w:w="319" w:type="pct"/>
                  <w:tcBorders>
                    <w:tl2br w:val="nil"/>
                    <w:tr2bl w:val="nil"/>
                  </w:tcBorders>
                  <w:vAlign w:val="center"/>
                </w:tcPr>
                <w:p w14:paraId="5B429E42">
                  <w:pPr>
                    <w:pStyle w:val="73"/>
                    <w:rPr>
                      <w:rFonts w:cstheme="minorBidi"/>
                    </w:rPr>
                  </w:pPr>
                  <w:r>
                    <w:rPr>
                      <w:rFonts w:hint="eastAsia"/>
                    </w:rPr>
                    <w:t>达标</w:t>
                  </w:r>
                </w:p>
              </w:tc>
            </w:tr>
            <w:tr w14:paraId="319455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restart"/>
                  <w:tcBorders>
                    <w:tl2br w:val="nil"/>
                    <w:tr2bl w:val="nil"/>
                  </w:tcBorders>
                  <w:vAlign w:val="center"/>
                </w:tcPr>
                <w:p w14:paraId="74855E0E">
                  <w:pPr>
                    <w:pStyle w:val="73"/>
                  </w:pPr>
                  <w:r>
                    <w:t>DA0</w:t>
                  </w:r>
                  <w:r>
                    <w:rPr>
                      <w:rFonts w:hint="eastAsia"/>
                    </w:rPr>
                    <w:t xml:space="preserve">43 </w:t>
                  </w:r>
                  <w:r>
                    <w:t>4#筒仓包装机废气出口202</w:t>
                  </w:r>
                  <w:r>
                    <w:rPr>
                      <w:rFonts w:hint="eastAsia"/>
                    </w:rPr>
                    <w:t>4.</w:t>
                  </w:r>
                  <w:r>
                    <w:t>0</w:t>
                  </w:r>
                  <w:r>
                    <w:rPr>
                      <w:rFonts w:hint="eastAsia"/>
                    </w:rPr>
                    <w:t>3</w:t>
                  </w:r>
                  <w:r>
                    <w:t>.</w:t>
                  </w:r>
                  <w:r>
                    <w:rPr>
                      <w:rFonts w:hint="eastAsia"/>
                    </w:rPr>
                    <w:t>02</w:t>
                  </w:r>
                </w:p>
              </w:tc>
              <w:tc>
                <w:tcPr>
                  <w:tcW w:w="946" w:type="pct"/>
                  <w:tcBorders>
                    <w:tl2br w:val="nil"/>
                    <w:tr2bl w:val="nil"/>
                  </w:tcBorders>
                  <w:vAlign w:val="center"/>
                </w:tcPr>
                <w:p w14:paraId="11B51BA3">
                  <w:pPr>
                    <w:pStyle w:val="73"/>
                  </w:pPr>
                  <w:r>
                    <w:t>标况排气量</w:t>
                  </w:r>
                </w:p>
              </w:tc>
              <w:tc>
                <w:tcPr>
                  <w:tcW w:w="489" w:type="pct"/>
                  <w:tcBorders>
                    <w:tl2br w:val="nil"/>
                    <w:tr2bl w:val="nil"/>
                  </w:tcBorders>
                  <w:vAlign w:val="center"/>
                </w:tcPr>
                <w:p w14:paraId="11598D5C">
                  <w:pPr>
                    <w:pStyle w:val="73"/>
                  </w:pPr>
                  <w:r>
                    <w:rPr>
                      <w:rFonts w:hint="eastAsia"/>
                    </w:rPr>
                    <w:t>Nm</w:t>
                  </w:r>
                  <w:r>
                    <w:rPr>
                      <w:rFonts w:hint="eastAsia"/>
                      <w:vertAlign w:val="superscript"/>
                    </w:rPr>
                    <w:t>3</w:t>
                  </w:r>
                  <w:r>
                    <w:t>/h</w:t>
                  </w:r>
                </w:p>
              </w:tc>
              <w:tc>
                <w:tcPr>
                  <w:tcW w:w="555" w:type="pct"/>
                  <w:tcBorders>
                    <w:tl2br w:val="nil"/>
                    <w:tr2bl w:val="nil"/>
                  </w:tcBorders>
                  <w:vAlign w:val="center"/>
                </w:tcPr>
                <w:p w14:paraId="2911DCDD">
                  <w:pPr>
                    <w:pStyle w:val="73"/>
                  </w:pPr>
                  <w:r>
                    <w:t>12721</w:t>
                  </w:r>
                </w:p>
              </w:tc>
              <w:tc>
                <w:tcPr>
                  <w:tcW w:w="555" w:type="pct"/>
                  <w:tcBorders>
                    <w:tl2br w:val="nil"/>
                    <w:tr2bl w:val="nil"/>
                  </w:tcBorders>
                  <w:vAlign w:val="center"/>
                </w:tcPr>
                <w:p w14:paraId="60CCD93B">
                  <w:pPr>
                    <w:pStyle w:val="73"/>
                  </w:pPr>
                  <w:r>
                    <w:t>12821</w:t>
                  </w:r>
                </w:p>
              </w:tc>
              <w:tc>
                <w:tcPr>
                  <w:tcW w:w="555" w:type="pct"/>
                  <w:tcBorders>
                    <w:tl2br w:val="nil"/>
                    <w:tr2bl w:val="nil"/>
                  </w:tcBorders>
                  <w:vAlign w:val="center"/>
                </w:tcPr>
                <w:p w14:paraId="395CF9EA">
                  <w:pPr>
                    <w:pStyle w:val="73"/>
                  </w:pPr>
                  <w:r>
                    <w:t>13061</w:t>
                  </w:r>
                </w:p>
              </w:tc>
              <w:tc>
                <w:tcPr>
                  <w:tcW w:w="556" w:type="pct"/>
                  <w:tcBorders>
                    <w:tl2br w:val="nil"/>
                    <w:tr2bl w:val="nil"/>
                  </w:tcBorders>
                  <w:vAlign w:val="center"/>
                </w:tcPr>
                <w:p w14:paraId="7AE72BFA">
                  <w:pPr>
                    <w:pStyle w:val="73"/>
                  </w:pPr>
                  <w:r>
                    <w:t>/</w:t>
                  </w:r>
                </w:p>
              </w:tc>
              <w:tc>
                <w:tcPr>
                  <w:tcW w:w="352" w:type="pct"/>
                  <w:tcBorders>
                    <w:tl2br w:val="nil"/>
                    <w:tr2bl w:val="nil"/>
                  </w:tcBorders>
                  <w:vAlign w:val="center"/>
                </w:tcPr>
                <w:p w14:paraId="53E08EC1">
                  <w:pPr>
                    <w:pStyle w:val="73"/>
                  </w:pPr>
                </w:p>
              </w:tc>
              <w:tc>
                <w:tcPr>
                  <w:tcW w:w="319" w:type="pct"/>
                  <w:tcBorders>
                    <w:tl2br w:val="nil"/>
                    <w:tr2bl w:val="nil"/>
                  </w:tcBorders>
                  <w:vAlign w:val="center"/>
                </w:tcPr>
                <w:p w14:paraId="5E578391">
                  <w:pPr>
                    <w:pStyle w:val="73"/>
                  </w:pPr>
                </w:p>
              </w:tc>
            </w:tr>
            <w:tr w14:paraId="659BD4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669" w:type="pct"/>
                  <w:vMerge w:val="continue"/>
                  <w:tcBorders>
                    <w:tl2br w:val="nil"/>
                    <w:tr2bl w:val="nil"/>
                  </w:tcBorders>
                  <w:vAlign w:val="center"/>
                </w:tcPr>
                <w:p w14:paraId="246B6B19">
                  <w:pPr>
                    <w:pStyle w:val="73"/>
                  </w:pPr>
                </w:p>
              </w:tc>
              <w:tc>
                <w:tcPr>
                  <w:tcW w:w="946" w:type="pct"/>
                  <w:tcBorders>
                    <w:tl2br w:val="nil"/>
                    <w:tr2bl w:val="nil"/>
                  </w:tcBorders>
                  <w:vAlign w:val="center"/>
                </w:tcPr>
                <w:p w14:paraId="2A03826D">
                  <w:pPr>
                    <w:pStyle w:val="73"/>
                  </w:pPr>
                  <w:r>
                    <w:t>颗粒物浓度</w:t>
                  </w:r>
                </w:p>
              </w:tc>
              <w:tc>
                <w:tcPr>
                  <w:tcW w:w="489" w:type="pct"/>
                  <w:tcBorders>
                    <w:tl2br w:val="nil"/>
                    <w:tr2bl w:val="nil"/>
                  </w:tcBorders>
                  <w:vAlign w:val="center"/>
                </w:tcPr>
                <w:p w14:paraId="5D10E802">
                  <w:pPr>
                    <w:pStyle w:val="73"/>
                  </w:pPr>
                  <w:r>
                    <w:t>mg</w:t>
                  </w:r>
                  <w:r>
                    <w:rPr>
                      <w:rFonts w:hint="eastAsia"/>
                    </w:rPr>
                    <w:t>/m</w:t>
                  </w:r>
                  <w:r>
                    <w:rPr>
                      <w:rFonts w:hint="eastAsia"/>
                      <w:vertAlign w:val="superscript"/>
                    </w:rPr>
                    <w:t>3</w:t>
                  </w:r>
                </w:p>
              </w:tc>
              <w:tc>
                <w:tcPr>
                  <w:tcW w:w="555" w:type="pct"/>
                  <w:tcBorders>
                    <w:tl2br w:val="nil"/>
                    <w:tr2bl w:val="nil"/>
                  </w:tcBorders>
                  <w:vAlign w:val="center"/>
                </w:tcPr>
                <w:p w14:paraId="7112CC1E">
                  <w:pPr>
                    <w:pStyle w:val="73"/>
                  </w:pPr>
                  <w:r>
                    <w:t>2.3</w:t>
                  </w:r>
                </w:p>
              </w:tc>
              <w:tc>
                <w:tcPr>
                  <w:tcW w:w="555" w:type="pct"/>
                  <w:tcBorders>
                    <w:tl2br w:val="nil"/>
                    <w:tr2bl w:val="nil"/>
                  </w:tcBorders>
                  <w:vAlign w:val="center"/>
                </w:tcPr>
                <w:p w14:paraId="30A78117">
                  <w:pPr>
                    <w:pStyle w:val="73"/>
                  </w:pPr>
                  <w:r>
                    <w:t>2.6</w:t>
                  </w:r>
                </w:p>
              </w:tc>
              <w:tc>
                <w:tcPr>
                  <w:tcW w:w="555" w:type="pct"/>
                  <w:tcBorders>
                    <w:tl2br w:val="nil"/>
                    <w:tr2bl w:val="nil"/>
                  </w:tcBorders>
                  <w:vAlign w:val="center"/>
                </w:tcPr>
                <w:p w14:paraId="0B45D62A">
                  <w:pPr>
                    <w:pStyle w:val="73"/>
                  </w:pPr>
                  <w:r>
                    <w:t>2.8</w:t>
                  </w:r>
                </w:p>
              </w:tc>
              <w:tc>
                <w:tcPr>
                  <w:tcW w:w="556" w:type="pct"/>
                  <w:tcBorders>
                    <w:tl2br w:val="nil"/>
                    <w:tr2bl w:val="nil"/>
                  </w:tcBorders>
                  <w:vAlign w:val="center"/>
                </w:tcPr>
                <w:p w14:paraId="54CCB143">
                  <w:pPr>
                    <w:pStyle w:val="73"/>
                  </w:pPr>
                  <w:r>
                    <w:t>2.8</w:t>
                  </w:r>
                </w:p>
              </w:tc>
              <w:tc>
                <w:tcPr>
                  <w:tcW w:w="352" w:type="pct"/>
                  <w:tcBorders>
                    <w:tl2br w:val="nil"/>
                    <w:tr2bl w:val="nil"/>
                  </w:tcBorders>
                  <w:vAlign w:val="center"/>
                </w:tcPr>
                <w:p w14:paraId="46DF0830">
                  <w:pPr>
                    <w:pStyle w:val="73"/>
                    <w:rPr>
                      <w:rFonts w:cstheme="minorBidi"/>
                    </w:rPr>
                  </w:pPr>
                  <w:r>
                    <w:rPr>
                      <w:rFonts w:hint="eastAsia"/>
                    </w:rPr>
                    <w:t>10</w:t>
                  </w:r>
                </w:p>
              </w:tc>
              <w:tc>
                <w:tcPr>
                  <w:tcW w:w="319" w:type="pct"/>
                  <w:tcBorders>
                    <w:tl2br w:val="nil"/>
                    <w:tr2bl w:val="nil"/>
                  </w:tcBorders>
                  <w:vAlign w:val="center"/>
                </w:tcPr>
                <w:p w14:paraId="58096208">
                  <w:pPr>
                    <w:pStyle w:val="73"/>
                    <w:rPr>
                      <w:rFonts w:cstheme="minorBidi"/>
                    </w:rPr>
                  </w:pPr>
                  <w:r>
                    <w:rPr>
                      <w:rFonts w:hint="eastAsia"/>
                    </w:rPr>
                    <w:t>达标</w:t>
                  </w:r>
                </w:p>
              </w:tc>
            </w:tr>
          </w:tbl>
          <w:p w14:paraId="389C746D">
            <w:pPr>
              <w:autoSpaceDE w:val="0"/>
              <w:autoSpaceDN w:val="0"/>
              <w:adjustRightInd w:val="0"/>
              <w:snapToGrid w:val="0"/>
              <w:spacing w:line="480" w:lineRule="exact"/>
              <w:jc w:val="center"/>
              <w:rPr>
                <w:rFonts w:eastAsia="黑体" w:cs="宋体"/>
                <w:color w:val="000000"/>
                <w:kern w:val="0"/>
                <w:szCs w:val="21"/>
              </w:rPr>
            </w:pPr>
            <w:r>
              <w:rPr>
                <w:rFonts w:hint="eastAsia" w:eastAsia="黑体" w:cs="宋体"/>
                <w:color w:val="000000"/>
                <w:kern w:val="0"/>
                <w:szCs w:val="21"/>
              </w:rPr>
              <w:t>表</w:t>
            </w:r>
            <w:r>
              <w:rPr>
                <w:rFonts w:eastAsia="黑体" w:cs="宋体"/>
                <w:color w:val="000000"/>
                <w:kern w:val="0"/>
                <w:szCs w:val="21"/>
              </w:rPr>
              <w:t xml:space="preserve">2.5  </w:t>
            </w:r>
            <w:r>
              <w:rPr>
                <w:rFonts w:hint="eastAsia" w:eastAsia="黑体" w:cs="宋体"/>
                <w:color w:val="000000"/>
                <w:kern w:val="0"/>
                <w:szCs w:val="21"/>
              </w:rPr>
              <w:t>文丰新材料现有工程废气污染物达标排放情况一览表-无组织废气</w:t>
            </w:r>
          </w:p>
          <w:tbl>
            <w:tblPr>
              <w:tblStyle w:val="2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94"/>
              <w:gridCol w:w="1244"/>
              <w:gridCol w:w="1199"/>
              <w:gridCol w:w="1411"/>
              <w:gridCol w:w="1214"/>
              <w:gridCol w:w="1079"/>
            </w:tblGrid>
            <w:tr w14:paraId="67D169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7" w:type="pct"/>
                  <w:vMerge w:val="restart"/>
                  <w:shd w:val="clear" w:color="auto" w:fill="auto"/>
                  <w:vAlign w:val="center"/>
                </w:tcPr>
                <w:p w14:paraId="57604080">
                  <w:pPr>
                    <w:pStyle w:val="73"/>
                  </w:pPr>
                  <w:r>
                    <w:rPr>
                      <w:rFonts w:hint="eastAsia"/>
                    </w:rPr>
                    <w:t>厂区</w:t>
                  </w:r>
                </w:p>
              </w:tc>
              <w:tc>
                <w:tcPr>
                  <w:tcW w:w="737" w:type="pct"/>
                  <w:shd w:val="clear" w:color="auto" w:fill="auto"/>
                  <w:vAlign w:val="center"/>
                </w:tcPr>
                <w:p w14:paraId="2AB87841">
                  <w:pPr>
                    <w:pStyle w:val="73"/>
                  </w:pPr>
                  <w:r>
                    <w:rPr>
                      <w:rFonts w:hint="eastAsia"/>
                    </w:rPr>
                    <w:t>污染因子</w:t>
                  </w:r>
                </w:p>
              </w:tc>
              <w:tc>
                <w:tcPr>
                  <w:tcW w:w="710" w:type="pct"/>
                  <w:shd w:val="clear" w:color="auto" w:fill="auto"/>
                  <w:vAlign w:val="center"/>
                </w:tcPr>
                <w:p w14:paraId="04FCF904">
                  <w:pPr>
                    <w:pStyle w:val="73"/>
                  </w:pPr>
                  <w:r>
                    <w:rPr>
                      <w:rFonts w:hint="eastAsia"/>
                    </w:rPr>
                    <w:t>单位</w:t>
                  </w:r>
                </w:p>
              </w:tc>
              <w:tc>
                <w:tcPr>
                  <w:tcW w:w="835" w:type="pct"/>
                  <w:shd w:val="clear" w:color="auto" w:fill="auto"/>
                  <w:vAlign w:val="center"/>
                </w:tcPr>
                <w:p w14:paraId="6CD1386F">
                  <w:pPr>
                    <w:pStyle w:val="73"/>
                  </w:pPr>
                  <w:r>
                    <w:t>监测结果</w:t>
                  </w:r>
                </w:p>
              </w:tc>
              <w:tc>
                <w:tcPr>
                  <w:tcW w:w="719" w:type="pct"/>
                  <w:shd w:val="clear" w:color="auto" w:fill="auto"/>
                  <w:vAlign w:val="center"/>
                </w:tcPr>
                <w:p w14:paraId="4CBDEF80">
                  <w:pPr>
                    <w:pStyle w:val="73"/>
                  </w:pPr>
                  <w:r>
                    <w:rPr>
                      <w:rFonts w:hint="eastAsia"/>
                    </w:rPr>
                    <w:t>排放标准</w:t>
                  </w:r>
                </w:p>
              </w:tc>
              <w:tc>
                <w:tcPr>
                  <w:tcW w:w="639" w:type="pct"/>
                  <w:shd w:val="clear" w:color="auto" w:fill="auto"/>
                  <w:vAlign w:val="center"/>
                </w:tcPr>
                <w:p w14:paraId="77C0DE93">
                  <w:pPr>
                    <w:pStyle w:val="73"/>
                  </w:pPr>
                  <w:r>
                    <w:t>达标情况</w:t>
                  </w:r>
                </w:p>
              </w:tc>
            </w:tr>
            <w:tr w14:paraId="5505BC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7" w:type="pct"/>
                  <w:vMerge w:val="continue"/>
                  <w:shd w:val="clear" w:color="auto" w:fill="auto"/>
                  <w:vAlign w:val="center"/>
                </w:tcPr>
                <w:p w14:paraId="5010BFA1">
                  <w:pPr>
                    <w:pStyle w:val="73"/>
                  </w:pPr>
                </w:p>
              </w:tc>
              <w:tc>
                <w:tcPr>
                  <w:tcW w:w="737" w:type="pct"/>
                  <w:shd w:val="clear" w:color="auto" w:fill="auto"/>
                  <w:vAlign w:val="center"/>
                </w:tcPr>
                <w:p w14:paraId="321A9058">
                  <w:pPr>
                    <w:pStyle w:val="73"/>
                  </w:pPr>
                  <w:r>
                    <w:rPr>
                      <w:rFonts w:hint="eastAsia"/>
                    </w:rPr>
                    <w:t>颗粒物</w:t>
                  </w:r>
                </w:p>
              </w:tc>
              <w:tc>
                <w:tcPr>
                  <w:tcW w:w="710" w:type="pct"/>
                  <w:shd w:val="clear" w:color="auto" w:fill="auto"/>
                  <w:vAlign w:val="center"/>
                </w:tcPr>
                <w:p w14:paraId="19A0F90C">
                  <w:pPr>
                    <w:pStyle w:val="73"/>
                  </w:pPr>
                  <w:r>
                    <w:rPr>
                      <w:rFonts w:hint="eastAsia"/>
                    </w:rPr>
                    <w:t>mg/m</w:t>
                  </w:r>
                  <w:r>
                    <w:rPr>
                      <w:rFonts w:hint="eastAsia"/>
                      <w:vertAlign w:val="superscript"/>
                    </w:rPr>
                    <w:t>3</w:t>
                  </w:r>
                </w:p>
              </w:tc>
              <w:tc>
                <w:tcPr>
                  <w:tcW w:w="835" w:type="pct"/>
                  <w:shd w:val="clear" w:color="auto" w:fill="auto"/>
                  <w:vAlign w:val="center"/>
                </w:tcPr>
                <w:p w14:paraId="509FEBBD">
                  <w:pPr>
                    <w:pStyle w:val="73"/>
                  </w:pPr>
                  <w:r>
                    <w:rPr>
                      <w:rFonts w:hint="eastAsia"/>
                    </w:rPr>
                    <w:t>0.144</w:t>
                  </w:r>
                </w:p>
              </w:tc>
              <w:tc>
                <w:tcPr>
                  <w:tcW w:w="719" w:type="pct"/>
                  <w:shd w:val="clear" w:color="auto" w:fill="auto"/>
                  <w:vAlign w:val="center"/>
                </w:tcPr>
                <w:p w14:paraId="33B9D89C">
                  <w:pPr>
                    <w:pStyle w:val="73"/>
                  </w:pPr>
                  <w:r>
                    <w:rPr>
                      <w:rFonts w:hint="eastAsia"/>
                    </w:rPr>
                    <w:t>1</w:t>
                  </w:r>
                  <w:r>
                    <w:t>.0</w:t>
                  </w:r>
                </w:p>
              </w:tc>
              <w:tc>
                <w:tcPr>
                  <w:tcW w:w="639" w:type="pct"/>
                  <w:shd w:val="clear" w:color="auto" w:fill="auto"/>
                  <w:vAlign w:val="center"/>
                </w:tcPr>
                <w:p w14:paraId="5048E148">
                  <w:pPr>
                    <w:pStyle w:val="73"/>
                  </w:pPr>
                  <w:r>
                    <w:t>达标</w:t>
                  </w:r>
                </w:p>
              </w:tc>
            </w:tr>
            <w:tr w14:paraId="778883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7" w:type="pct"/>
                  <w:vMerge w:val="continue"/>
                  <w:shd w:val="clear" w:color="auto" w:fill="auto"/>
                  <w:vAlign w:val="center"/>
                </w:tcPr>
                <w:p w14:paraId="2715EF3F">
                  <w:pPr>
                    <w:pStyle w:val="73"/>
                  </w:pPr>
                </w:p>
              </w:tc>
              <w:tc>
                <w:tcPr>
                  <w:tcW w:w="737" w:type="pct"/>
                  <w:shd w:val="clear" w:color="auto" w:fill="auto"/>
                  <w:vAlign w:val="center"/>
                </w:tcPr>
                <w:p w14:paraId="12F9797B">
                  <w:pPr>
                    <w:pStyle w:val="73"/>
                  </w:pPr>
                  <w:r>
                    <w:rPr>
                      <w:rFonts w:hint="eastAsia"/>
                    </w:rPr>
                    <w:t>硫酸雾</w:t>
                  </w:r>
                </w:p>
              </w:tc>
              <w:tc>
                <w:tcPr>
                  <w:tcW w:w="710" w:type="pct"/>
                  <w:shd w:val="clear" w:color="auto" w:fill="auto"/>
                  <w:vAlign w:val="center"/>
                </w:tcPr>
                <w:p w14:paraId="50F036BD">
                  <w:pPr>
                    <w:pStyle w:val="73"/>
                  </w:pPr>
                  <w:r>
                    <w:rPr>
                      <w:rFonts w:hint="eastAsia"/>
                    </w:rPr>
                    <w:t>mg/m</w:t>
                  </w:r>
                  <w:r>
                    <w:rPr>
                      <w:rFonts w:hint="eastAsia"/>
                      <w:vertAlign w:val="superscript"/>
                    </w:rPr>
                    <w:t>3</w:t>
                  </w:r>
                </w:p>
              </w:tc>
              <w:tc>
                <w:tcPr>
                  <w:tcW w:w="835" w:type="pct"/>
                  <w:shd w:val="clear" w:color="auto" w:fill="auto"/>
                  <w:vAlign w:val="center"/>
                </w:tcPr>
                <w:p w14:paraId="10CB6369">
                  <w:pPr>
                    <w:pStyle w:val="73"/>
                  </w:pPr>
                  <w:r>
                    <w:rPr>
                      <w:rFonts w:hint="eastAsia"/>
                    </w:rPr>
                    <w:t>N</w:t>
                  </w:r>
                  <w:r>
                    <w:t>D</w:t>
                  </w:r>
                </w:p>
              </w:tc>
              <w:tc>
                <w:tcPr>
                  <w:tcW w:w="719" w:type="pct"/>
                  <w:shd w:val="clear" w:color="auto" w:fill="auto"/>
                  <w:vAlign w:val="center"/>
                </w:tcPr>
                <w:p w14:paraId="2634D2F9">
                  <w:pPr>
                    <w:pStyle w:val="73"/>
                  </w:pPr>
                  <w:r>
                    <w:rPr>
                      <w:rFonts w:hint="eastAsia"/>
                    </w:rPr>
                    <w:t>0</w:t>
                  </w:r>
                  <w:r>
                    <w:t>.</w:t>
                  </w:r>
                  <w:r>
                    <w:rPr>
                      <w:rFonts w:hint="eastAsia"/>
                    </w:rPr>
                    <w:t>3</w:t>
                  </w:r>
                </w:p>
              </w:tc>
              <w:tc>
                <w:tcPr>
                  <w:tcW w:w="639" w:type="pct"/>
                  <w:shd w:val="clear" w:color="auto" w:fill="auto"/>
                  <w:vAlign w:val="center"/>
                </w:tcPr>
                <w:p w14:paraId="466949C2">
                  <w:pPr>
                    <w:pStyle w:val="73"/>
                  </w:pPr>
                  <w:r>
                    <w:t>达标</w:t>
                  </w:r>
                </w:p>
              </w:tc>
            </w:tr>
            <w:tr w14:paraId="0E4CC2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7" w:type="pct"/>
                  <w:vMerge w:val="continue"/>
                  <w:shd w:val="clear" w:color="auto" w:fill="auto"/>
                  <w:vAlign w:val="center"/>
                </w:tcPr>
                <w:p w14:paraId="3B41AF71">
                  <w:pPr>
                    <w:pStyle w:val="73"/>
                  </w:pPr>
                </w:p>
              </w:tc>
              <w:tc>
                <w:tcPr>
                  <w:tcW w:w="737" w:type="pct"/>
                  <w:shd w:val="clear" w:color="auto" w:fill="auto"/>
                  <w:vAlign w:val="center"/>
                </w:tcPr>
                <w:p w14:paraId="4DE13F3F">
                  <w:pPr>
                    <w:pStyle w:val="73"/>
                  </w:pPr>
                  <w:r>
                    <w:rPr>
                      <w:rFonts w:hint="eastAsia"/>
                    </w:rPr>
                    <w:t>氨</w:t>
                  </w:r>
                </w:p>
              </w:tc>
              <w:tc>
                <w:tcPr>
                  <w:tcW w:w="710" w:type="pct"/>
                  <w:shd w:val="clear" w:color="auto" w:fill="auto"/>
                  <w:vAlign w:val="center"/>
                </w:tcPr>
                <w:p w14:paraId="2C1BF50F">
                  <w:pPr>
                    <w:pStyle w:val="73"/>
                  </w:pPr>
                  <w:r>
                    <w:rPr>
                      <w:rFonts w:hint="eastAsia"/>
                    </w:rPr>
                    <w:t>mg/m</w:t>
                  </w:r>
                  <w:r>
                    <w:rPr>
                      <w:rFonts w:hint="eastAsia"/>
                      <w:vertAlign w:val="superscript"/>
                    </w:rPr>
                    <w:t>3</w:t>
                  </w:r>
                </w:p>
              </w:tc>
              <w:tc>
                <w:tcPr>
                  <w:tcW w:w="835" w:type="pct"/>
                  <w:shd w:val="clear" w:color="auto" w:fill="auto"/>
                  <w:vAlign w:val="center"/>
                </w:tcPr>
                <w:p w14:paraId="6A528582">
                  <w:pPr>
                    <w:pStyle w:val="73"/>
                  </w:pPr>
                  <w:r>
                    <w:rPr>
                      <w:rFonts w:hint="eastAsia"/>
                    </w:rPr>
                    <w:t>0</w:t>
                  </w:r>
                  <w:r>
                    <w:t>.06</w:t>
                  </w:r>
                </w:p>
              </w:tc>
              <w:tc>
                <w:tcPr>
                  <w:tcW w:w="719" w:type="pct"/>
                  <w:shd w:val="clear" w:color="auto" w:fill="auto"/>
                  <w:vAlign w:val="center"/>
                </w:tcPr>
                <w:p w14:paraId="37D17C13">
                  <w:pPr>
                    <w:pStyle w:val="73"/>
                  </w:pPr>
                  <w:r>
                    <w:rPr>
                      <w:rFonts w:hint="eastAsia"/>
                    </w:rPr>
                    <w:t>0.3</w:t>
                  </w:r>
                </w:p>
              </w:tc>
              <w:tc>
                <w:tcPr>
                  <w:tcW w:w="639" w:type="pct"/>
                  <w:shd w:val="clear" w:color="auto" w:fill="auto"/>
                  <w:vAlign w:val="center"/>
                </w:tcPr>
                <w:p w14:paraId="768ACD3C">
                  <w:pPr>
                    <w:pStyle w:val="73"/>
                  </w:pPr>
                  <w:r>
                    <w:t>达标</w:t>
                  </w:r>
                </w:p>
              </w:tc>
            </w:tr>
            <w:tr w14:paraId="2F43A7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7" w:type="pct"/>
                  <w:vMerge w:val="continue"/>
                  <w:shd w:val="clear" w:color="auto" w:fill="auto"/>
                  <w:vAlign w:val="center"/>
                </w:tcPr>
                <w:p w14:paraId="37EEB756">
                  <w:pPr>
                    <w:pStyle w:val="73"/>
                  </w:pPr>
                </w:p>
              </w:tc>
              <w:tc>
                <w:tcPr>
                  <w:tcW w:w="737" w:type="pct"/>
                  <w:shd w:val="clear" w:color="auto" w:fill="auto"/>
                  <w:vAlign w:val="center"/>
                </w:tcPr>
                <w:p w14:paraId="515103F1">
                  <w:pPr>
                    <w:pStyle w:val="73"/>
                  </w:pPr>
                  <w:r>
                    <w:rPr>
                      <w:rFonts w:hint="eastAsia"/>
                    </w:rPr>
                    <w:t>硫化氢</w:t>
                  </w:r>
                </w:p>
              </w:tc>
              <w:tc>
                <w:tcPr>
                  <w:tcW w:w="710" w:type="pct"/>
                  <w:shd w:val="clear" w:color="auto" w:fill="auto"/>
                  <w:vAlign w:val="center"/>
                </w:tcPr>
                <w:p w14:paraId="252C20C1">
                  <w:pPr>
                    <w:pStyle w:val="73"/>
                  </w:pPr>
                  <w:r>
                    <w:rPr>
                      <w:rFonts w:hint="eastAsia"/>
                    </w:rPr>
                    <w:t>mg/m</w:t>
                  </w:r>
                  <w:r>
                    <w:rPr>
                      <w:rFonts w:hint="eastAsia"/>
                      <w:vertAlign w:val="superscript"/>
                    </w:rPr>
                    <w:t>3</w:t>
                  </w:r>
                </w:p>
              </w:tc>
              <w:tc>
                <w:tcPr>
                  <w:tcW w:w="835" w:type="pct"/>
                  <w:shd w:val="clear" w:color="auto" w:fill="auto"/>
                  <w:vAlign w:val="center"/>
                </w:tcPr>
                <w:p w14:paraId="164471F8">
                  <w:pPr>
                    <w:pStyle w:val="73"/>
                  </w:pPr>
                  <w:r>
                    <w:rPr>
                      <w:rFonts w:hint="eastAsia"/>
                    </w:rPr>
                    <w:t>0</w:t>
                  </w:r>
                  <w:r>
                    <w:t>.00</w:t>
                  </w:r>
                  <w:r>
                    <w:rPr>
                      <w:rFonts w:hint="eastAsia"/>
                    </w:rPr>
                    <w:t>7</w:t>
                  </w:r>
                </w:p>
              </w:tc>
              <w:tc>
                <w:tcPr>
                  <w:tcW w:w="719" w:type="pct"/>
                  <w:shd w:val="clear" w:color="auto" w:fill="auto"/>
                  <w:vAlign w:val="center"/>
                </w:tcPr>
                <w:p w14:paraId="34B31C91">
                  <w:pPr>
                    <w:pStyle w:val="73"/>
                  </w:pPr>
                  <w:r>
                    <w:rPr>
                      <w:rFonts w:hint="eastAsia"/>
                    </w:rPr>
                    <w:t>0</w:t>
                  </w:r>
                  <w:r>
                    <w:t>.0</w:t>
                  </w:r>
                  <w:r>
                    <w:rPr>
                      <w:rFonts w:hint="eastAsia"/>
                    </w:rPr>
                    <w:t>3</w:t>
                  </w:r>
                </w:p>
              </w:tc>
              <w:tc>
                <w:tcPr>
                  <w:tcW w:w="639" w:type="pct"/>
                  <w:shd w:val="clear" w:color="auto" w:fill="auto"/>
                  <w:vAlign w:val="center"/>
                </w:tcPr>
                <w:p w14:paraId="198C272C">
                  <w:pPr>
                    <w:pStyle w:val="73"/>
                  </w:pPr>
                  <w:r>
                    <w:t>达标</w:t>
                  </w:r>
                </w:p>
              </w:tc>
            </w:tr>
            <w:tr w14:paraId="1B663C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7" w:type="pct"/>
                  <w:vMerge w:val="continue"/>
                  <w:shd w:val="clear" w:color="auto" w:fill="auto"/>
                  <w:vAlign w:val="center"/>
                </w:tcPr>
                <w:p w14:paraId="12F84384">
                  <w:pPr>
                    <w:pStyle w:val="73"/>
                  </w:pPr>
                </w:p>
              </w:tc>
              <w:tc>
                <w:tcPr>
                  <w:tcW w:w="737" w:type="pct"/>
                  <w:shd w:val="clear" w:color="auto" w:fill="auto"/>
                  <w:vAlign w:val="center"/>
                </w:tcPr>
                <w:p w14:paraId="366C0E51">
                  <w:pPr>
                    <w:pStyle w:val="73"/>
                  </w:pPr>
                  <w:r>
                    <w:rPr>
                      <w:rFonts w:hint="eastAsia"/>
                    </w:rPr>
                    <w:t>臭气浓度</w:t>
                  </w:r>
                </w:p>
              </w:tc>
              <w:tc>
                <w:tcPr>
                  <w:tcW w:w="710" w:type="pct"/>
                  <w:shd w:val="clear" w:color="auto" w:fill="auto"/>
                  <w:vAlign w:val="center"/>
                </w:tcPr>
                <w:p w14:paraId="5AE6FD65">
                  <w:pPr>
                    <w:pStyle w:val="73"/>
                  </w:pPr>
                  <w:r>
                    <w:rPr>
                      <w:rFonts w:hint="eastAsia"/>
                    </w:rPr>
                    <w:t>无量纲</w:t>
                  </w:r>
                </w:p>
              </w:tc>
              <w:tc>
                <w:tcPr>
                  <w:tcW w:w="835" w:type="pct"/>
                  <w:shd w:val="clear" w:color="auto" w:fill="auto"/>
                  <w:vAlign w:val="center"/>
                </w:tcPr>
                <w:p w14:paraId="05B4EC2C">
                  <w:pPr>
                    <w:pStyle w:val="73"/>
                  </w:pPr>
                  <w:r>
                    <w:rPr>
                      <w:rFonts w:hint="eastAsia"/>
                    </w:rPr>
                    <w:t>18</w:t>
                  </w:r>
                </w:p>
              </w:tc>
              <w:tc>
                <w:tcPr>
                  <w:tcW w:w="719" w:type="pct"/>
                  <w:shd w:val="clear" w:color="auto" w:fill="auto"/>
                  <w:vAlign w:val="center"/>
                </w:tcPr>
                <w:p w14:paraId="50FF1127">
                  <w:pPr>
                    <w:pStyle w:val="73"/>
                  </w:pPr>
                  <w:r>
                    <w:rPr>
                      <w:rFonts w:hint="eastAsia"/>
                    </w:rPr>
                    <w:t>2</w:t>
                  </w:r>
                  <w:r>
                    <w:t>0</w:t>
                  </w:r>
                </w:p>
              </w:tc>
              <w:tc>
                <w:tcPr>
                  <w:tcW w:w="639" w:type="pct"/>
                  <w:shd w:val="clear" w:color="auto" w:fill="auto"/>
                  <w:vAlign w:val="center"/>
                </w:tcPr>
                <w:p w14:paraId="604A5912">
                  <w:pPr>
                    <w:pStyle w:val="73"/>
                  </w:pPr>
                  <w:r>
                    <w:t>达标</w:t>
                  </w:r>
                </w:p>
              </w:tc>
            </w:tr>
            <w:tr w14:paraId="3C764A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7" w:type="pct"/>
                  <w:shd w:val="clear" w:color="auto" w:fill="auto"/>
                  <w:vAlign w:val="center"/>
                </w:tcPr>
                <w:p w14:paraId="12AE85FA">
                  <w:pPr>
                    <w:pStyle w:val="73"/>
                  </w:pPr>
                  <w:r>
                    <w:rPr>
                      <w:rFonts w:hint="eastAsia"/>
                    </w:rPr>
                    <w:t>一般工业固体废物处置场</w:t>
                  </w:r>
                </w:p>
              </w:tc>
              <w:tc>
                <w:tcPr>
                  <w:tcW w:w="737" w:type="pct"/>
                  <w:shd w:val="clear" w:color="auto" w:fill="auto"/>
                  <w:vAlign w:val="center"/>
                </w:tcPr>
                <w:p w14:paraId="30B2EA62">
                  <w:pPr>
                    <w:pStyle w:val="73"/>
                  </w:pPr>
                  <w:r>
                    <w:rPr>
                      <w:rFonts w:hint="eastAsia"/>
                    </w:rPr>
                    <w:t>颗粒物</w:t>
                  </w:r>
                </w:p>
              </w:tc>
              <w:tc>
                <w:tcPr>
                  <w:tcW w:w="710" w:type="pct"/>
                  <w:shd w:val="clear" w:color="auto" w:fill="auto"/>
                  <w:vAlign w:val="center"/>
                </w:tcPr>
                <w:p w14:paraId="1E650959">
                  <w:pPr>
                    <w:pStyle w:val="73"/>
                  </w:pPr>
                  <w:r>
                    <w:rPr>
                      <w:rFonts w:hint="eastAsia"/>
                    </w:rPr>
                    <w:t>mg/m</w:t>
                  </w:r>
                  <w:r>
                    <w:rPr>
                      <w:rFonts w:hint="eastAsia"/>
                      <w:vertAlign w:val="superscript"/>
                    </w:rPr>
                    <w:t>3</w:t>
                  </w:r>
                </w:p>
              </w:tc>
              <w:tc>
                <w:tcPr>
                  <w:tcW w:w="835" w:type="pct"/>
                  <w:shd w:val="clear" w:color="auto" w:fill="auto"/>
                  <w:vAlign w:val="center"/>
                </w:tcPr>
                <w:p w14:paraId="667B8CBF">
                  <w:pPr>
                    <w:pStyle w:val="73"/>
                  </w:pPr>
                  <w:r>
                    <w:rPr>
                      <w:rFonts w:hint="eastAsia"/>
                    </w:rPr>
                    <w:t>0.135</w:t>
                  </w:r>
                </w:p>
              </w:tc>
              <w:tc>
                <w:tcPr>
                  <w:tcW w:w="719" w:type="pct"/>
                  <w:shd w:val="clear" w:color="auto" w:fill="auto"/>
                  <w:vAlign w:val="center"/>
                </w:tcPr>
                <w:p w14:paraId="7FDD6BFE">
                  <w:pPr>
                    <w:pStyle w:val="73"/>
                  </w:pPr>
                  <w:r>
                    <w:rPr>
                      <w:rFonts w:hint="eastAsia"/>
                    </w:rPr>
                    <w:t>1</w:t>
                  </w:r>
                  <w:r>
                    <w:t>.0</w:t>
                  </w:r>
                </w:p>
              </w:tc>
              <w:tc>
                <w:tcPr>
                  <w:tcW w:w="639" w:type="pct"/>
                  <w:shd w:val="clear" w:color="auto" w:fill="auto"/>
                  <w:vAlign w:val="center"/>
                </w:tcPr>
                <w:p w14:paraId="6505CF9C">
                  <w:pPr>
                    <w:pStyle w:val="73"/>
                  </w:pPr>
                  <w:r>
                    <w:t>达标</w:t>
                  </w:r>
                </w:p>
              </w:tc>
            </w:tr>
          </w:tbl>
          <w:p w14:paraId="5214795E">
            <w:pPr>
              <w:adjustRightInd w:val="0"/>
              <w:snapToGrid w:val="0"/>
              <w:spacing w:line="480" w:lineRule="exact"/>
              <w:ind w:firstLine="480" w:firstLineChars="200"/>
              <w:rPr>
                <w:bCs/>
                <w:color w:val="000000"/>
                <w:szCs w:val="21"/>
              </w:rPr>
            </w:pPr>
            <w:r>
              <w:rPr>
                <w:rFonts w:hint="eastAsia"/>
                <w:bCs/>
                <w:color w:val="000000"/>
                <w:szCs w:val="21"/>
              </w:rPr>
              <w:t>由分析结果可以看出，文丰新材料现有工程各废气污染物均满足相应排放标准要求。</w:t>
            </w:r>
          </w:p>
          <w:p w14:paraId="1F967D96">
            <w:pPr>
              <w:adjustRightInd w:val="0"/>
              <w:snapToGrid w:val="0"/>
              <w:spacing w:line="480" w:lineRule="exact"/>
              <w:ind w:firstLine="480" w:firstLineChars="200"/>
              <w:rPr>
                <w:bCs/>
                <w:color w:val="000000"/>
                <w:szCs w:val="21"/>
              </w:rPr>
            </w:pPr>
            <w:r>
              <w:rPr>
                <w:rFonts w:hint="eastAsia"/>
                <w:bCs/>
                <w:color w:val="000000"/>
                <w:szCs w:val="21"/>
              </w:rPr>
              <w:t>②废水</w:t>
            </w:r>
          </w:p>
          <w:p w14:paraId="0E16E791">
            <w:pPr>
              <w:adjustRightInd w:val="0"/>
              <w:snapToGrid w:val="0"/>
              <w:spacing w:line="480" w:lineRule="exact"/>
              <w:ind w:firstLine="480" w:firstLineChars="200"/>
              <w:rPr>
                <w:bCs/>
                <w:color w:val="000000"/>
                <w:szCs w:val="21"/>
              </w:rPr>
            </w:pPr>
            <w:r>
              <w:rPr>
                <w:rFonts w:hint="eastAsia"/>
                <w:bCs/>
                <w:color w:val="000000"/>
                <w:szCs w:val="21"/>
              </w:rPr>
              <w:t>厂区现有工程全部回用不外排。</w:t>
            </w:r>
          </w:p>
          <w:p w14:paraId="43391519">
            <w:pPr>
              <w:adjustRightInd w:val="0"/>
              <w:snapToGrid w:val="0"/>
              <w:spacing w:line="480" w:lineRule="exact"/>
              <w:ind w:firstLine="480" w:firstLineChars="200"/>
              <w:rPr>
                <w:bCs/>
                <w:color w:val="000000"/>
                <w:szCs w:val="21"/>
              </w:rPr>
            </w:pPr>
            <w:r>
              <w:rPr>
                <w:rFonts w:hint="eastAsia"/>
                <w:bCs/>
                <w:color w:val="000000"/>
                <w:szCs w:val="21"/>
              </w:rPr>
              <w:t>③噪声</w:t>
            </w:r>
          </w:p>
          <w:p w14:paraId="2C413DE7">
            <w:pPr>
              <w:adjustRightInd w:val="0"/>
              <w:snapToGrid w:val="0"/>
              <w:spacing w:line="480" w:lineRule="exact"/>
              <w:ind w:firstLine="480" w:firstLineChars="200"/>
              <w:rPr>
                <w:bCs/>
                <w:color w:val="000000"/>
                <w:szCs w:val="21"/>
              </w:rPr>
            </w:pPr>
            <w:r>
              <w:rPr>
                <w:rFonts w:hint="eastAsia"/>
                <w:bCs/>
                <w:color w:val="000000"/>
                <w:szCs w:val="21"/>
              </w:rPr>
              <w:t>根据文丰新材料自行监测结果，厂区厂界昼间噪声监测值范围为55~58dB（A），夜间噪声监测值范围为48~50dB（A），一般工业固体废物处置场厂界昼间噪声监测值范围为53~55dB（A），夜间噪声监测值范围为46~47dB（A），各监测点昼、夜间噪声监测结果均满足《工业企业厂界环境噪声排放标准》（GB12348-2008）中3类区标准要求。</w:t>
            </w:r>
          </w:p>
          <w:p w14:paraId="2A911D3E">
            <w:pPr>
              <w:adjustRightInd w:val="0"/>
              <w:snapToGrid w:val="0"/>
              <w:spacing w:line="480" w:lineRule="exact"/>
              <w:ind w:firstLine="480" w:firstLineChars="200"/>
              <w:rPr>
                <w:bCs/>
                <w:color w:val="000000"/>
                <w:szCs w:val="21"/>
              </w:rPr>
            </w:pPr>
            <w:r>
              <w:rPr>
                <w:rFonts w:hint="eastAsia"/>
                <w:bCs/>
                <w:color w:val="000000"/>
                <w:szCs w:val="21"/>
              </w:rPr>
              <w:t>④固体废物</w:t>
            </w:r>
          </w:p>
          <w:p w14:paraId="33D65266">
            <w:pPr>
              <w:adjustRightInd w:val="0"/>
              <w:snapToGrid w:val="0"/>
              <w:spacing w:line="480" w:lineRule="exact"/>
              <w:ind w:firstLine="480" w:firstLineChars="200"/>
              <w:rPr>
                <w:bCs/>
                <w:color w:val="000000"/>
                <w:szCs w:val="21"/>
              </w:rPr>
            </w:pPr>
            <w:r>
              <w:rPr>
                <w:rFonts w:hint="eastAsia"/>
                <w:bCs/>
                <w:color w:val="000000"/>
                <w:szCs w:val="21"/>
              </w:rPr>
              <w:t>文丰新材料现有1座占地面积为252m</w:t>
            </w:r>
            <w:r>
              <w:rPr>
                <w:rFonts w:hint="eastAsia"/>
                <w:bCs/>
                <w:color w:val="000000"/>
                <w:szCs w:val="21"/>
                <w:vertAlign w:val="superscript"/>
              </w:rPr>
              <w:t>2</w:t>
            </w:r>
            <w:r>
              <w:rPr>
                <w:rFonts w:hint="eastAsia"/>
                <w:bCs/>
                <w:color w:val="000000"/>
                <w:szCs w:val="21"/>
              </w:rPr>
              <w:t>的危险废物暂存库及配套2350亩一般工业固体废物处置场。现有工程产生的工业固体废物主要为一般工业固体废物及危险废物，危险废物主要包括废催化剂</w:t>
            </w:r>
            <w:r>
              <w:rPr>
                <w:bCs/>
                <w:color w:val="000000"/>
                <w:szCs w:val="21"/>
              </w:rPr>
              <w:t>HW</w:t>
            </w:r>
            <w:r>
              <w:rPr>
                <w:rFonts w:hint="eastAsia"/>
                <w:bCs/>
                <w:color w:val="000000"/>
                <w:szCs w:val="21"/>
              </w:rPr>
              <w:t>50、</w:t>
            </w:r>
            <w:r>
              <w:rPr>
                <w:rFonts w:hint="eastAsia"/>
              </w:rPr>
              <w:t>草酸盐（未经苛化无害化处理）</w:t>
            </w:r>
            <w:r>
              <w:rPr>
                <w:bCs/>
                <w:color w:val="000000"/>
                <w:szCs w:val="21"/>
              </w:rPr>
              <w:t>HW</w:t>
            </w:r>
            <w:r>
              <w:rPr>
                <w:rFonts w:hint="eastAsia"/>
                <w:bCs/>
                <w:color w:val="000000"/>
                <w:szCs w:val="21"/>
              </w:rPr>
              <w:t>35、废机油和废机油桶HW08类，均交由有资质单位处理。现有工程工业固体废物外委处置情况见下表。</w:t>
            </w:r>
          </w:p>
          <w:p w14:paraId="370B2464">
            <w:pPr>
              <w:autoSpaceDE w:val="0"/>
              <w:autoSpaceDN w:val="0"/>
              <w:adjustRightInd w:val="0"/>
              <w:snapToGrid w:val="0"/>
              <w:spacing w:line="480" w:lineRule="exact"/>
              <w:jc w:val="center"/>
              <w:rPr>
                <w:rFonts w:eastAsia="黑体" w:cs="宋体"/>
                <w:color w:val="000000"/>
                <w:kern w:val="0"/>
                <w:szCs w:val="21"/>
              </w:rPr>
            </w:pPr>
            <w:r>
              <w:rPr>
                <w:rFonts w:hint="eastAsia" w:eastAsia="黑体" w:cs="宋体"/>
                <w:color w:val="000000"/>
                <w:kern w:val="0"/>
                <w:szCs w:val="21"/>
              </w:rPr>
              <w:t>表</w:t>
            </w:r>
            <w:r>
              <w:rPr>
                <w:rFonts w:eastAsia="黑体" w:cs="宋体"/>
                <w:color w:val="000000"/>
                <w:kern w:val="0"/>
                <w:szCs w:val="21"/>
              </w:rPr>
              <w:t xml:space="preserve">2.8  </w:t>
            </w:r>
            <w:r>
              <w:rPr>
                <w:rFonts w:hint="eastAsia" w:eastAsia="黑体" w:cs="宋体"/>
                <w:color w:val="000000"/>
                <w:kern w:val="0"/>
                <w:szCs w:val="21"/>
              </w:rPr>
              <w:t>文丰新材料现有工程工业固体废物产生及处置情况一览表</w:t>
            </w:r>
          </w:p>
          <w:tbl>
            <w:tblPr>
              <w:tblStyle w:val="28"/>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78"/>
              <w:gridCol w:w="532"/>
              <w:gridCol w:w="802"/>
              <w:gridCol w:w="2100"/>
              <w:gridCol w:w="1045"/>
              <w:gridCol w:w="3284"/>
            </w:tblGrid>
            <w:tr w14:paraId="2DFA871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01" w:type="pct"/>
                  <w:shd w:val="clear" w:color="auto" w:fill="auto"/>
                  <w:noWrap/>
                  <w:vAlign w:val="center"/>
                </w:tcPr>
                <w:p w14:paraId="3D730F29">
                  <w:pPr>
                    <w:pStyle w:val="73"/>
                  </w:pPr>
                  <w:r>
                    <w:rPr>
                      <w:rFonts w:hint="eastAsia"/>
                    </w:rPr>
                    <w:t>序号</w:t>
                  </w:r>
                </w:p>
              </w:tc>
              <w:tc>
                <w:tcPr>
                  <w:tcW w:w="2034" w:type="pct"/>
                  <w:gridSpan w:val="3"/>
                  <w:shd w:val="clear" w:color="auto" w:fill="auto"/>
                  <w:vAlign w:val="center"/>
                </w:tcPr>
                <w:p w14:paraId="18152CBB">
                  <w:pPr>
                    <w:pStyle w:val="73"/>
                  </w:pPr>
                  <w:r>
                    <w:rPr>
                      <w:rFonts w:hint="eastAsia"/>
                    </w:rPr>
                    <w:t>固废类别</w:t>
                  </w:r>
                </w:p>
              </w:tc>
              <w:tc>
                <w:tcPr>
                  <w:tcW w:w="619" w:type="pct"/>
                  <w:shd w:val="clear" w:color="auto" w:fill="auto"/>
                  <w:noWrap/>
                  <w:vAlign w:val="center"/>
                </w:tcPr>
                <w:p w14:paraId="1DC4CFE6">
                  <w:pPr>
                    <w:pStyle w:val="73"/>
                  </w:pPr>
                  <w:r>
                    <w:rPr>
                      <w:rFonts w:hint="eastAsia"/>
                    </w:rPr>
                    <w:t>产生量（t/a）</w:t>
                  </w:r>
                </w:p>
              </w:tc>
              <w:tc>
                <w:tcPr>
                  <w:tcW w:w="1945" w:type="pct"/>
                  <w:shd w:val="clear" w:color="auto" w:fill="auto"/>
                  <w:vAlign w:val="center"/>
                </w:tcPr>
                <w:p w14:paraId="31146984">
                  <w:pPr>
                    <w:pStyle w:val="73"/>
                  </w:pPr>
                  <w:r>
                    <w:rPr>
                      <w:rFonts w:hint="eastAsia"/>
                    </w:rPr>
                    <w:t>处置措施及去向</w:t>
                  </w:r>
                </w:p>
              </w:tc>
            </w:tr>
            <w:tr w14:paraId="1190F04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01" w:type="pct"/>
                  <w:shd w:val="clear" w:color="auto" w:fill="auto"/>
                  <w:noWrap/>
                  <w:vAlign w:val="center"/>
                </w:tcPr>
                <w:p w14:paraId="214DF15F">
                  <w:pPr>
                    <w:pStyle w:val="73"/>
                  </w:pPr>
                  <w:r>
                    <w:rPr>
                      <w:rFonts w:hint="eastAsia"/>
                    </w:rPr>
                    <w:t>1</w:t>
                  </w:r>
                </w:p>
              </w:tc>
              <w:tc>
                <w:tcPr>
                  <w:tcW w:w="315" w:type="pct"/>
                  <w:vMerge w:val="restart"/>
                  <w:tcBorders>
                    <w:right w:val="single" w:color="auto" w:sz="4" w:space="0"/>
                  </w:tcBorders>
                  <w:shd w:val="clear" w:color="auto" w:fill="auto"/>
                  <w:vAlign w:val="center"/>
                </w:tcPr>
                <w:p w14:paraId="4B6BFE99">
                  <w:pPr>
                    <w:pStyle w:val="73"/>
                  </w:pPr>
                  <w:r>
                    <w:rPr>
                      <w:rFonts w:hint="eastAsia"/>
                    </w:rPr>
                    <w:t>危险废物</w:t>
                  </w:r>
                </w:p>
              </w:tc>
              <w:tc>
                <w:tcPr>
                  <w:tcW w:w="475" w:type="pct"/>
                  <w:tcBorders>
                    <w:left w:val="single" w:color="auto" w:sz="4" w:space="0"/>
                  </w:tcBorders>
                  <w:shd w:val="clear" w:color="auto" w:fill="auto"/>
                  <w:vAlign w:val="center"/>
                </w:tcPr>
                <w:p w14:paraId="16044426">
                  <w:pPr>
                    <w:pStyle w:val="73"/>
                  </w:pPr>
                  <w:r>
                    <w:rPr>
                      <w:bCs/>
                      <w:color w:val="000000"/>
                      <w:szCs w:val="21"/>
                    </w:rPr>
                    <w:t>HW</w:t>
                  </w:r>
                  <w:r>
                    <w:rPr>
                      <w:rFonts w:hint="eastAsia"/>
                      <w:bCs/>
                      <w:color w:val="000000"/>
                      <w:szCs w:val="21"/>
                    </w:rPr>
                    <w:t>50</w:t>
                  </w:r>
                </w:p>
              </w:tc>
              <w:tc>
                <w:tcPr>
                  <w:tcW w:w="1243" w:type="pct"/>
                  <w:shd w:val="clear" w:color="auto" w:fill="auto"/>
                  <w:noWrap/>
                  <w:vAlign w:val="center"/>
                </w:tcPr>
                <w:p w14:paraId="50F6A8DC">
                  <w:pPr>
                    <w:pStyle w:val="73"/>
                  </w:pPr>
                  <w:r>
                    <w:rPr>
                      <w:rFonts w:hint="eastAsia"/>
                      <w:bCs/>
                      <w:color w:val="000000"/>
                      <w:szCs w:val="21"/>
                    </w:rPr>
                    <w:t>废催化剂</w:t>
                  </w:r>
                </w:p>
              </w:tc>
              <w:tc>
                <w:tcPr>
                  <w:tcW w:w="619" w:type="pct"/>
                  <w:shd w:val="clear" w:color="auto" w:fill="auto"/>
                  <w:noWrap/>
                  <w:vAlign w:val="center"/>
                </w:tcPr>
                <w:p w14:paraId="50A4E8A9">
                  <w:pPr>
                    <w:pStyle w:val="73"/>
                  </w:pPr>
                  <w:r>
                    <w:rPr>
                      <w:rFonts w:hint="eastAsia"/>
                    </w:rPr>
                    <w:t>12</w:t>
                  </w:r>
                </w:p>
              </w:tc>
              <w:tc>
                <w:tcPr>
                  <w:tcW w:w="1945" w:type="pct"/>
                  <w:vMerge w:val="restart"/>
                  <w:shd w:val="clear" w:color="auto" w:fill="auto"/>
                  <w:vAlign w:val="center"/>
                </w:tcPr>
                <w:p w14:paraId="02BD0544">
                  <w:pPr>
                    <w:pStyle w:val="73"/>
                  </w:pPr>
                  <w:r>
                    <w:rPr>
                      <w:rFonts w:hint="eastAsia"/>
                    </w:rPr>
                    <w:t>厂内暂存，委托有资质单位处理</w:t>
                  </w:r>
                </w:p>
              </w:tc>
            </w:tr>
            <w:tr w14:paraId="3431094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01" w:type="pct"/>
                  <w:shd w:val="clear" w:color="auto" w:fill="auto"/>
                  <w:noWrap/>
                  <w:vAlign w:val="center"/>
                </w:tcPr>
                <w:p w14:paraId="0A8BF862">
                  <w:pPr>
                    <w:pStyle w:val="73"/>
                  </w:pPr>
                  <w:r>
                    <w:rPr>
                      <w:rFonts w:hint="eastAsia"/>
                    </w:rPr>
                    <w:t>2</w:t>
                  </w:r>
                </w:p>
              </w:tc>
              <w:tc>
                <w:tcPr>
                  <w:tcW w:w="315" w:type="pct"/>
                  <w:vMerge w:val="continue"/>
                  <w:tcBorders>
                    <w:right w:val="single" w:color="auto" w:sz="4" w:space="0"/>
                  </w:tcBorders>
                  <w:shd w:val="clear" w:color="auto" w:fill="auto"/>
                  <w:vAlign w:val="center"/>
                </w:tcPr>
                <w:p w14:paraId="77D87C0F">
                  <w:pPr>
                    <w:pStyle w:val="73"/>
                  </w:pPr>
                </w:p>
              </w:tc>
              <w:tc>
                <w:tcPr>
                  <w:tcW w:w="475" w:type="pct"/>
                  <w:tcBorders>
                    <w:left w:val="single" w:color="auto" w:sz="4" w:space="0"/>
                  </w:tcBorders>
                  <w:shd w:val="clear" w:color="auto" w:fill="auto"/>
                  <w:vAlign w:val="center"/>
                </w:tcPr>
                <w:p w14:paraId="5A996985">
                  <w:pPr>
                    <w:pStyle w:val="73"/>
                  </w:pPr>
                  <w:r>
                    <w:t>HW</w:t>
                  </w:r>
                  <w:r>
                    <w:rPr>
                      <w:rFonts w:hint="eastAsia"/>
                    </w:rPr>
                    <w:t>35</w:t>
                  </w:r>
                </w:p>
              </w:tc>
              <w:tc>
                <w:tcPr>
                  <w:tcW w:w="1243" w:type="pct"/>
                  <w:shd w:val="clear" w:color="auto" w:fill="auto"/>
                  <w:noWrap/>
                  <w:vAlign w:val="center"/>
                </w:tcPr>
                <w:p w14:paraId="0D5D63CD">
                  <w:pPr>
                    <w:pStyle w:val="73"/>
                  </w:pPr>
                  <w:r>
                    <w:rPr>
                      <w:rFonts w:hint="eastAsia"/>
                    </w:rPr>
                    <w:t>草酸盐（未经苛化无害化处理）</w:t>
                  </w:r>
                </w:p>
              </w:tc>
              <w:tc>
                <w:tcPr>
                  <w:tcW w:w="619" w:type="pct"/>
                  <w:shd w:val="clear" w:color="auto" w:fill="auto"/>
                  <w:noWrap/>
                  <w:vAlign w:val="center"/>
                </w:tcPr>
                <w:p w14:paraId="3656A02F">
                  <w:pPr>
                    <w:pStyle w:val="73"/>
                  </w:pPr>
                  <w:r>
                    <w:rPr>
                      <w:rFonts w:hint="eastAsia"/>
                    </w:rPr>
                    <w:t>8000</w:t>
                  </w:r>
                </w:p>
              </w:tc>
              <w:tc>
                <w:tcPr>
                  <w:tcW w:w="1945" w:type="pct"/>
                  <w:vMerge w:val="continue"/>
                  <w:shd w:val="clear" w:color="auto" w:fill="auto"/>
                  <w:vAlign w:val="center"/>
                </w:tcPr>
                <w:p w14:paraId="265E32D5">
                  <w:pPr>
                    <w:pStyle w:val="73"/>
                  </w:pPr>
                </w:p>
              </w:tc>
            </w:tr>
            <w:tr w14:paraId="3B03A52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01" w:type="pct"/>
                  <w:shd w:val="clear" w:color="auto" w:fill="auto"/>
                  <w:noWrap/>
                  <w:vAlign w:val="center"/>
                </w:tcPr>
                <w:p w14:paraId="6CC89273">
                  <w:pPr>
                    <w:pStyle w:val="73"/>
                  </w:pPr>
                  <w:r>
                    <w:rPr>
                      <w:rFonts w:hint="eastAsia"/>
                    </w:rPr>
                    <w:t>3</w:t>
                  </w:r>
                </w:p>
              </w:tc>
              <w:tc>
                <w:tcPr>
                  <w:tcW w:w="315" w:type="pct"/>
                  <w:vMerge w:val="continue"/>
                  <w:tcBorders>
                    <w:right w:val="single" w:color="auto" w:sz="4" w:space="0"/>
                  </w:tcBorders>
                  <w:shd w:val="clear" w:color="auto" w:fill="auto"/>
                  <w:vAlign w:val="center"/>
                </w:tcPr>
                <w:p w14:paraId="011CB8EB">
                  <w:pPr>
                    <w:pStyle w:val="73"/>
                  </w:pPr>
                </w:p>
              </w:tc>
              <w:tc>
                <w:tcPr>
                  <w:tcW w:w="475" w:type="pct"/>
                  <w:tcBorders>
                    <w:left w:val="single" w:color="auto" w:sz="4" w:space="0"/>
                  </w:tcBorders>
                  <w:shd w:val="clear" w:color="auto" w:fill="auto"/>
                  <w:vAlign w:val="center"/>
                </w:tcPr>
                <w:p w14:paraId="1FB97569">
                  <w:pPr>
                    <w:pStyle w:val="73"/>
                  </w:pPr>
                  <w:r>
                    <w:t>HW</w:t>
                  </w:r>
                  <w:r>
                    <w:rPr>
                      <w:rFonts w:hint="eastAsia"/>
                    </w:rPr>
                    <w:t>08</w:t>
                  </w:r>
                </w:p>
              </w:tc>
              <w:tc>
                <w:tcPr>
                  <w:tcW w:w="1243" w:type="pct"/>
                  <w:shd w:val="clear" w:color="auto" w:fill="auto"/>
                  <w:noWrap/>
                  <w:vAlign w:val="center"/>
                </w:tcPr>
                <w:p w14:paraId="1602C51D">
                  <w:pPr>
                    <w:pStyle w:val="73"/>
                  </w:pPr>
                  <w:r>
                    <w:rPr>
                      <w:rFonts w:hint="eastAsia"/>
                      <w:bCs/>
                      <w:color w:val="000000"/>
                      <w:szCs w:val="21"/>
                    </w:rPr>
                    <w:t>废机油及废机油桶</w:t>
                  </w:r>
                </w:p>
              </w:tc>
              <w:tc>
                <w:tcPr>
                  <w:tcW w:w="619" w:type="pct"/>
                  <w:shd w:val="clear" w:color="auto" w:fill="auto"/>
                  <w:noWrap/>
                  <w:vAlign w:val="center"/>
                </w:tcPr>
                <w:p w14:paraId="26CA4ADC">
                  <w:pPr>
                    <w:pStyle w:val="73"/>
                  </w:pPr>
                  <w:r>
                    <w:rPr>
                      <w:rFonts w:hint="eastAsia"/>
                    </w:rPr>
                    <w:t>16</w:t>
                  </w:r>
                </w:p>
              </w:tc>
              <w:tc>
                <w:tcPr>
                  <w:tcW w:w="1945" w:type="pct"/>
                  <w:vMerge w:val="continue"/>
                  <w:shd w:val="clear" w:color="auto" w:fill="auto"/>
                  <w:vAlign w:val="center"/>
                </w:tcPr>
                <w:p w14:paraId="5D7763E7">
                  <w:pPr>
                    <w:pStyle w:val="73"/>
                  </w:pPr>
                </w:p>
              </w:tc>
            </w:tr>
            <w:tr w14:paraId="2DF2CA2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01" w:type="pct"/>
                  <w:shd w:val="clear" w:color="auto" w:fill="auto"/>
                  <w:noWrap/>
                  <w:vAlign w:val="center"/>
                </w:tcPr>
                <w:p w14:paraId="655694C0">
                  <w:pPr>
                    <w:pStyle w:val="73"/>
                  </w:pPr>
                  <w:r>
                    <w:rPr>
                      <w:rFonts w:hint="eastAsia"/>
                    </w:rPr>
                    <w:t>4</w:t>
                  </w:r>
                </w:p>
              </w:tc>
              <w:tc>
                <w:tcPr>
                  <w:tcW w:w="790" w:type="pct"/>
                  <w:gridSpan w:val="2"/>
                  <w:vMerge w:val="restart"/>
                  <w:shd w:val="clear" w:color="auto" w:fill="auto"/>
                  <w:vAlign w:val="center"/>
                </w:tcPr>
                <w:p w14:paraId="3E2A1BFC">
                  <w:pPr>
                    <w:pStyle w:val="73"/>
                  </w:pPr>
                  <w:r>
                    <w:rPr>
                      <w:rFonts w:hint="eastAsia"/>
                    </w:rPr>
                    <w:t>一般固废</w:t>
                  </w:r>
                </w:p>
              </w:tc>
              <w:tc>
                <w:tcPr>
                  <w:tcW w:w="1243" w:type="pct"/>
                  <w:shd w:val="clear" w:color="auto" w:fill="auto"/>
                  <w:noWrap/>
                  <w:vAlign w:val="center"/>
                </w:tcPr>
                <w:p w14:paraId="2D72A66B">
                  <w:pPr>
                    <w:pStyle w:val="73"/>
                  </w:pPr>
                  <w:r>
                    <w:rPr>
                      <w:rFonts w:hint="eastAsia"/>
                      <w:color w:val="000000" w:themeColor="text1"/>
                    </w:rPr>
                    <w:t>废包装材料</w:t>
                  </w:r>
                </w:p>
              </w:tc>
              <w:tc>
                <w:tcPr>
                  <w:tcW w:w="619" w:type="pct"/>
                  <w:shd w:val="clear" w:color="auto" w:fill="auto"/>
                  <w:noWrap/>
                  <w:vAlign w:val="center"/>
                </w:tcPr>
                <w:p w14:paraId="5388B310">
                  <w:pPr>
                    <w:pStyle w:val="73"/>
                  </w:pPr>
                  <w:r>
                    <w:rPr>
                      <w:rFonts w:hint="eastAsia"/>
                    </w:rPr>
                    <w:t>16.5</w:t>
                  </w:r>
                </w:p>
              </w:tc>
              <w:tc>
                <w:tcPr>
                  <w:tcW w:w="1945" w:type="pct"/>
                  <w:shd w:val="clear" w:color="auto" w:fill="auto"/>
                  <w:vAlign w:val="center"/>
                </w:tcPr>
                <w:p w14:paraId="4110A949">
                  <w:pPr>
                    <w:pStyle w:val="73"/>
                  </w:pPr>
                  <w:r>
                    <w:rPr>
                      <w:rFonts w:hint="eastAsia"/>
                      <w:color w:val="000000" w:themeColor="text1"/>
                    </w:rPr>
                    <w:t>外售综合利用</w:t>
                  </w:r>
                </w:p>
              </w:tc>
            </w:tr>
            <w:tr w14:paraId="7D2425C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01" w:type="pct"/>
                  <w:shd w:val="clear" w:color="auto" w:fill="auto"/>
                  <w:noWrap/>
                  <w:vAlign w:val="center"/>
                </w:tcPr>
                <w:p w14:paraId="1421523E">
                  <w:pPr>
                    <w:pStyle w:val="73"/>
                  </w:pPr>
                  <w:r>
                    <w:rPr>
                      <w:rFonts w:hint="eastAsia"/>
                    </w:rPr>
                    <w:t>5</w:t>
                  </w:r>
                </w:p>
              </w:tc>
              <w:tc>
                <w:tcPr>
                  <w:tcW w:w="790" w:type="pct"/>
                  <w:gridSpan w:val="2"/>
                  <w:vMerge w:val="continue"/>
                  <w:shd w:val="clear" w:color="auto" w:fill="auto"/>
                  <w:vAlign w:val="center"/>
                </w:tcPr>
                <w:p w14:paraId="2E16B338">
                  <w:pPr>
                    <w:pStyle w:val="73"/>
                  </w:pPr>
                </w:p>
              </w:tc>
              <w:tc>
                <w:tcPr>
                  <w:tcW w:w="1243" w:type="pct"/>
                  <w:shd w:val="clear" w:color="auto" w:fill="auto"/>
                  <w:noWrap/>
                  <w:vAlign w:val="center"/>
                </w:tcPr>
                <w:p w14:paraId="1D7C979F">
                  <w:pPr>
                    <w:pStyle w:val="73"/>
                    <w:rPr>
                      <w:color w:val="000000" w:themeColor="text1"/>
                    </w:rPr>
                  </w:pPr>
                  <w:r>
                    <w:rPr>
                      <w:rFonts w:hint="eastAsia"/>
                      <w:color w:val="000000" w:themeColor="text1"/>
                    </w:rPr>
                    <w:t>废包装容器</w:t>
                  </w:r>
                </w:p>
              </w:tc>
              <w:tc>
                <w:tcPr>
                  <w:tcW w:w="619" w:type="pct"/>
                  <w:shd w:val="clear" w:color="auto" w:fill="auto"/>
                  <w:noWrap/>
                  <w:vAlign w:val="center"/>
                </w:tcPr>
                <w:p w14:paraId="3C918366">
                  <w:pPr>
                    <w:pStyle w:val="73"/>
                  </w:pPr>
                  <w:r>
                    <w:rPr>
                      <w:rFonts w:hint="eastAsia"/>
                    </w:rPr>
                    <w:t>0.11</w:t>
                  </w:r>
                </w:p>
              </w:tc>
              <w:tc>
                <w:tcPr>
                  <w:tcW w:w="1945" w:type="pct"/>
                  <w:shd w:val="clear" w:color="auto" w:fill="auto"/>
                  <w:vAlign w:val="center"/>
                </w:tcPr>
                <w:p w14:paraId="06978BE8">
                  <w:pPr>
                    <w:pStyle w:val="73"/>
                    <w:rPr>
                      <w:color w:val="000000" w:themeColor="text1"/>
                    </w:rPr>
                  </w:pPr>
                  <w:r>
                    <w:rPr>
                      <w:rFonts w:hint="eastAsia"/>
                      <w:color w:val="000000" w:themeColor="text1"/>
                    </w:rPr>
                    <w:t>按照实验室管理要求进行清洗后回用</w:t>
                  </w:r>
                </w:p>
              </w:tc>
            </w:tr>
            <w:tr w14:paraId="6B20B00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01" w:type="pct"/>
                  <w:shd w:val="clear" w:color="auto" w:fill="auto"/>
                  <w:noWrap/>
                  <w:vAlign w:val="center"/>
                </w:tcPr>
                <w:p w14:paraId="085A49E9">
                  <w:pPr>
                    <w:pStyle w:val="73"/>
                  </w:pPr>
                  <w:r>
                    <w:rPr>
                      <w:rFonts w:hint="eastAsia"/>
                    </w:rPr>
                    <w:t>6</w:t>
                  </w:r>
                </w:p>
              </w:tc>
              <w:tc>
                <w:tcPr>
                  <w:tcW w:w="790" w:type="pct"/>
                  <w:gridSpan w:val="2"/>
                  <w:vMerge w:val="continue"/>
                  <w:shd w:val="clear" w:color="auto" w:fill="auto"/>
                  <w:vAlign w:val="center"/>
                </w:tcPr>
                <w:p w14:paraId="68099FD1">
                  <w:pPr>
                    <w:pStyle w:val="73"/>
                  </w:pPr>
                </w:p>
              </w:tc>
              <w:tc>
                <w:tcPr>
                  <w:tcW w:w="1243" w:type="pct"/>
                  <w:shd w:val="clear" w:color="auto" w:fill="auto"/>
                  <w:noWrap/>
                  <w:vAlign w:val="center"/>
                </w:tcPr>
                <w:p w14:paraId="474E8B4F">
                  <w:pPr>
                    <w:pStyle w:val="73"/>
                  </w:pPr>
                  <w:r>
                    <w:rPr>
                      <w:rFonts w:hint="eastAsia"/>
                    </w:rPr>
                    <w:t>废布袋</w:t>
                  </w:r>
                </w:p>
              </w:tc>
              <w:tc>
                <w:tcPr>
                  <w:tcW w:w="619" w:type="pct"/>
                  <w:shd w:val="clear" w:color="auto" w:fill="auto"/>
                  <w:noWrap/>
                  <w:vAlign w:val="center"/>
                </w:tcPr>
                <w:p w14:paraId="7BB54F96">
                  <w:pPr>
                    <w:pStyle w:val="73"/>
                  </w:pPr>
                  <w:r>
                    <w:rPr>
                      <w:rFonts w:hint="eastAsia"/>
                    </w:rPr>
                    <w:t>3</w:t>
                  </w:r>
                </w:p>
              </w:tc>
              <w:tc>
                <w:tcPr>
                  <w:tcW w:w="1945" w:type="pct"/>
                  <w:shd w:val="clear" w:color="auto" w:fill="auto"/>
                  <w:vAlign w:val="center"/>
                </w:tcPr>
                <w:p w14:paraId="2A8B40BA">
                  <w:pPr>
                    <w:pStyle w:val="73"/>
                  </w:pPr>
                  <w:r>
                    <w:rPr>
                      <w:rFonts w:hint="eastAsia"/>
                    </w:rPr>
                    <w:t>外售综合利用</w:t>
                  </w:r>
                </w:p>
              </w:tc>
            </w:tr>
            <w:tr w14:paraId="6156F7C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01" w:type="pct"/>
                  <w:shd w:val="clear" w:color="auto" w:fill="auto"/>
                  <w:noWrap/>
                  <w:vAlign w:val="center"/>
                </w:tcPr>
                <w:p w14:paraId="57943CF0">
                  <w:pPr>
                    <w:pStyle w:val="73"/>
                  </w:pPr>
                  <w:r>
                    <w:rPr>
                      <w:rFonts w:hint="eastAsia"/>
                    </w:rPr>
                    <w:t>7</w:t>
                  </w:r>
                </w:p>
              </w:tc>
              <w:tc>
                <w:tcPr>
                  <w:tcW w:w="790" w:type="pct"/>
                  <w:gridSpan w:val="2"/>
                  <w:vMerge w:val="continue"/>
                  <w:shd w:val="clear" w:color="auto" w:fill="auto"/>
                  <w:vAlign w:val="center"/>
                </w:tcPr>
                <w:p w14:paraId="7B32B49D">
                  <w:pPr>
                    <w:pStyle w:val="73"/>
                  </w:pPr>
                </w:p>
              </w:tc>
              <w:tc>
                <w:tcPr>
                  <w:tcW w:w="1243" w:type="pct"/>
                  <w:shd w:val="clear" w:color="auto" w:fill="auto"/>
                  <w:noWrap/>
                  <w:vAlign w:val="center"/>
                </w:tcPr>
                <w:p w14:paraId="2CDEBFC7">
                  <w:pPr>
                    <w:pStyle w:val="73"/>
                  </w:pPr>
                  <w:r>
                    <w:rPr>
                      <w:rFonts w:hint="eastAsia"/>
                    </w:rPr>
                    <w:t>废耐火材料</w:t>
                  </w:r>
                </w:p>
              </w:tc>
              <w:tc>
                <w:tcPr>
                  <w:tcW w:w="619" w:type="pct"/>
                  <w:shd w:val="clear" w:color="auto" w:fill="auto"/>
                  <w:noWrap/>
                  <w:vAlign w:val="center"/>
                </w:tcPr>
                <w:p w14:paraId="2EB31439">
                  <w:pPr>
                    <w:pStyle w:val="73"/>
                  </w:pPr>
                  <w:r>
                    <w:rPr>
                      <w:rFonts w:hint="eastAsia"/>
                    </w:rPr>
                    <w:t>15（t/次）</w:t>
                  </w:r>
                </w:p>
              </w:tc>
              <w:tc>
                <w:tcPr>
                  <w:tcW w:w="1945" w:type="pct"/>
                  <w:shd w:val="clear" w:color="auto" w:fill="auto"/>
                  <w:vAlign w:val="center"/>
                </w:tcPr>
                <w:p w14:paraId="5D78455B">
                  <w:pPr>
                    <w:pStyle w:val="73"/>
                  </w:pPr>
                  <w:r>
                    <w:rPr>
                      <w:rFonts w:hint="eastAsia"/>
                    </w:rPr>
                    <w:t>厂家回收或综合利用</w:t>
                  </w:r>
                </w:p>
              </w:tc>
            </w:tr>
            <w:tr w14:paraId="441591E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01" w:type="pct"/>
                  <w:shd w:val="clear" w:color="auto" w:fill="auto"/>
                  <w:noWrap/>
                  <w:vAlign w:val="center"/>
                </w:tcPr>
                <w:p w14:paraId="3029FE59">
                  <w:pPr>
                    <w:pStyle w:val="73"/>
                  </w:pPr>
                  <w:r>
                    <w:rPr>
                      <w:rFonts w:hint="eastAsia"/>
                    </w:rPr>
                    <w:t>8</w:t>
                  </w:r>
                </w:p>
              </w:tc>
              <w:tc>
                <w:tcPr>
                  <w:tcW w:w="790" w:type="pct"/>
                  <w:gridSpan w:val="2"/>
                  <w:vMerge w:val="continue"/>
                  <w:shd w:val="clear" w:color="auto" w:fill="auto"/>
                  <w:vAlign w:val="center"/>
                </w:tcPr>
                <w:p w14:paraId="04014DCE">
                  <w:pPr>
                    <w:pStyle w:val="73"/>
                  </w:pPr>
                </w:p>
              </w:tc>
              <w:tc>
                <w:tcPr>
                  <w:tcW w:w="1243" w:type="pct"/>
                  <w:shd w:val="clear" w:color="auto" w:fill="auto"/>
                  <w:noWrap/>
                  <w:vAlign w:val="center"/>
                </w:tcPr>
                <w:p w14:paraId="1C7B9A30">
                  <w:pPr>
                    <w:pStyle w:val="73"/>
                  </w:pPr>
                  <w:r>
                    <w:rPr>
                      <w:rFonts w:hint="eastAsia"/>
                    </w:rPr>
                    <w:t>化灰渣</w:t>
                  </w:r>
                </w:p>
              </w:tc>
              <w:tc>
                <w:tcPr>
                  <w:tcW w:w="619" w:type="pct"/>
                  <w:shd w:val="clear" w:color="auto" w:fill="auto"/>
                  <w:noWrap/>
                  <w:vAlign w:val="center"/>
                </w:tcPr>
                <w:p w14:paraId="2A56A0EF">
                  <w:pPr>
                    <w:pStyle w:val="73"/>
                  </w:pPr>
                  <w:r>
                    <w:rPr>
                      <w:rFonts w:hint="eastAsia"/>
                    </w:rPr>
                    <w:t>7012</w:t>
                  </w:r>
                </w:p>
              </w:tc>
              <w:tc>
                <w:tcPr>
                  <w:tcW w:w="1945" w:type="pct"/>
                  <w:vMerge w:val="restart"/>
                  <w:shd w:val="clear" w:color="auto" w:fill="auto"/>
                  <w:vAlign w:val="center"/>
                </w:tcPr>
                <w:p w14:paraId="6B7D29CA">
                  <w:pPr>
                    <w:pStyle w:val="73"/>
                  </w:pPr>
                  <w:r>
                    <w:rPr>
                      <w:rFonts w:hint="eastAsia"/>
                    </w:rPr>
                    <w:t>送处置场堆存或赤泥综合利用项目资源化利用</w:t>
                  </w:r>
                </w:p>
              </w:tc>
            </w:tr>
            <w:tr w14:paraId="5952DE5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01" w:type="pct"/>
                  <w:shd w:val="clear" w:color="auto" w:fill="auto"/>
                  <w:noWrap/>
                  <w:vAlign w:val="center"/>
                </w:tcPr>
                <w:p w14:paraId="01391EAA">
                  <w:pPr>
                    <w:pStyle w:val="73"/>
                  </w:pPr>
                  <w:r>
                    <w:rPr>
                      <w:rFonts w:hint="eastAsia"/>
                    </w:rPr>
                    <w:t>9</w:t>
                  </w:r>
                </w:p>
              </w:tc>
              <w:tc>
                <w:tcPr>
                  <w:tcW w:w="790" w:type="pct"/>
                  <w:gridSpan w:val="2"/>
                  <w:vMerge w:val="continue"/>
                  <w:shd w:val="clear" w:color="auto" w:fill="auto"/>
                  <w:vAlign w:val="center"/>
                </w:tcPr>
                <w:p w14:paraId="35EEF161">
                  <w:pPr>
                    <w:pStyle w:val="73"/>
                  </w:pPr>
                </w:p>
              </w:tc>
              <w:tc>
                <w:tcPr>
                  <w:tcW w:w="1243" w:type="pct"/>
                  <w:shd w:val="clear" w:color="auto" w:fill="auto"/>
                  <w:noWrap/>
                  <w:vAlign w:val="center"/>
                </w:tcPr>
                <w:p w14:paraId="4C21A8ED">
                  <w:pPr>
                    <w:pStyle w:val="73"/>
                  </w:pPr>
                  <w:r>
                    <w:rPr>
                      <w:rFonts w:hint="eastAsia"/>
                    </w:rPr>
                    <w:t>赤泥</w:t>
                  </w:r>
                </w:p>
              </w:tc>
              <w:tc>
                <w:tcPr>
                  <w:tcW w:w="619" w:type="pct"/>
                  <w:shd w:val="clear" w:color="auto" w:fill="auto"/>
                  <w:noWrap/>
                  <w:vAlign w:val="center"/>
                </w:tcPr>
                <w:p w14:paraId="36F20B07">
                  <w:pPr>
                    <w:pStyle w:val="73"/>
                  </w:pPr>
                  <w:r>
                    <w:rPr>
                      <w:rFonts w:hint="eastAsia"/>
                    </w:rPr>
                    <w:t>219万</w:t>
                  </w:r>
                </w:p>
              </w:tc>
              <w:tc>
                <w:tcPr>
                  <w:tcW w:w="1945" w:type="pct"/>
                  <w:vMerge w:val="continue"/>
                  <w:shd w:val="clear" w:color="auto" w:fill="auto"/>
                  <w:vAlign w:val="center"/>
                </w:tcPr>
                <w:p w14:paraId="764A3F48">
                  <w:pPr>
                    <w:pStyle w:val="73"/>
                  </w:pPr>
                </w:p>
              </w:tc>
            </w:tr>
            <w:tr w14:paraId="1BBFB93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01" w:type="pct"/>
                  <w:shd w:val="clear" w:color="auto" w:fill="auto"/>
                  <w:noWrap/>
                  <w:vAlign w:val="center"/>
                </w:tcPr>
                <w:p w14:paraId="6203DA13">
                  <w:pPr>
                    <w:pStyle w:val="73"/>
                  </w:pPr>
                  <w:r>
                    <w:rPr>
                      <w:rFonts w:hint="eastAsia"/>
                    </w:rPr>
                    <w:t>10</w:t>
                  </w:r>
                </w:p>
              </w:tc>
              <w:tc>
                <w:tcPr>
                  <w:tcW w:w="2034" w:type="pct"/>
                  <w:gridSpan w:val="3"/>
                  <w:shd w:val="clear" w:color="auto" w:fill="auto"/>
                  <w:vAlign w:val="center"/>
                </w:tcPr>
                <w:p w14:paraId="3F602CD0">
                  <w:pPr>
                    <w:pStyle w:val="73"/>
                  </w:pPr>
                  <w:r>
                    <w:rPr>
                      <w:rFonts w:hint="eastAsia"/>
                    </w:rPr>
                    <w:t>生活垃圾</w:t>
                  </w:r>
                </w:p>
              </w:tc>
              <w:tc>
                <w:tcPr>
                  <w:tcW w:w="619" w:type="pct"/>
                  <w:shd w:val="clear" w:color="auto" w:fill="auto"/>
                  <w:noWrap/>
                  <w:vAlign w:val="center"/>
                </w:tcPr>
                <w:p w14:paraId="4D5CBEAE">
                  <w:pPr>
                    <w:pStyle w:val="73"/>
                  </w:pPr>
                  <w:r>
                    <w:rPr>
                      <w:rFonts w:hint="eastAsia"/>
                    </w:rPr>
                    <w:t>258.5</w:t>
                  </w:r>
                </w:p>
              </w:tc>
              <w:tc>
                <w:tcPr>
                  <w:tcW w:w="1945" w:type="pct"/>
                  <w:shd w:val="clear" w:color="auto" w:fill="auto"/>
                  <w:vAlign w:val="center"/>
                </w:tcPr>
                <w:p w14:paraId="2F235B83">
                  <w:pPr>
                    <w:pStyle w:val="73"/>
                  </w:pPr>
                  <w:r>
                    <w:rPr>
                      <w:rFonts w:hint="eastAsia"/>
                    </w:rPr>
                    <w:t>交由环卫部门统一清运</w:t>
                  </w:r>
                </w:p>
              </w:tc>
            </w:tr>
          </w:tbl>
          <w:p w14:paraId="1C362BC0">
            <w:pPr>
              <w:adjustRightInd w:val="0"/>
              <w:snapToGrid w:val="0"/>
              <w:spacing w:line="480" w:lineRule="exact"/>
              <w:ind w:firstLine="480" w:firstLineChars="200"/>
              <w:rPr>
                <w:bCs/>
                <w:color w:val="000000"/>
                <w:szCs w:val="21"/>
              </w:rPr>
            </w:pPr>
            <w:r>
              <w:rPr>
                <w:rFonts w:hint="eastAsia"/>
                <w:bCs/>
                <w:color w:val="000000"/>
                <w:szCs w:val="21"/>
              </w:rPr>
              <w:t>由分析结果可以看出，现有工程产生的固体废物均得到妥善处置。</w:t>
            </w:r>
          </w:p>
          <w:p w14:paraId="7AD41416">
            <w:pPr>
              <w:adjustRightInd w:val="0"/>
              <w:snapToGrid w:val="0"/>
              <w:spacing w:line="480" w:lineRule="exact"/>
              <w:ind w:firstLine="482" w:firstLineChars="200"/>
              <w:rPr>
                <w:b/>
                <w:color w:val="000000"/>
                <w:szCs w:val="21"/>
              </w:rPr>
            </w:pPr>
            <w:r>
              <w:rPr>
                <w:b/>
                <w:color w:val="000000"/>
                <w:szCs w:val="21"/>
              </w:rPr>
              <w:t>3</w:t>
            </w:r>
            <w:r>
              <w:rPr>
                <w:rFonts w:hint="eastAsia"/>
                <w:b/>
                <w:color w:val="000000"/>
                <w:szCs w:val="21"/>
              </w:rPr>
              <w:t>、现有工程污染物实际排放总量</w:t>
            </w:r>
          </w:p>
          <w:p w14:paraId="1BD5BCE7">
            <w:pPr>
              <w:adjustRightInd w:val="0"/>
              <w:snapToGrid w:val="0"/>
              <w:spacing w:line="480" w:lineRule="exact"/>
              <w:ind w:firstLine="480" w:firstLineChars="200"/>
              <w:rPr>
                <w:bCs/>
                <w:color w:val="000000"/>
                <w:szCs w:val="21"/>
              </w:rPr>
            </w:pPr>
            <w:r>
              <w:rPr>
                <w:rFonts w:hint="eastAsia"/>
                <w:lang w:val="zh-CN"/>
              </w:rPr>
              <w:t>根据</w:t>
            </w:r>
            <w:r>
              <w:rPr>
                <w:rFonts w:hint="eastAsia"/>
              </w:rPr>
              <w:t>2024年度排污许可执行报告及无组织排放量核算</w:t>
            </w:r>
            <w:r>
              <w:rPr>
                <w:rFonts w:hint="eastAsia"/>
                <w:lang w:val="zh-CN"/>
              </w:rPr>
              <w:t>，</w:t>
            </w:r>
            <w:r>
              <w:rPr>
                <w:rFonts w:hint="eastAsia"/>
                <w:bCs/>
                <w:color w:val="000000"/>
                <w:szCs w:val="21"/>
              </w:rPr>
              <w:t>文丰新材料现有工程废气主要污染物排放情况见下表。</w:t>
            </w:r>
          </w:p>
          <w:p w14:paraId="0CF256CC">
            <w:pPr>
              <w:autoSpaceDE w:val="0"/>
              <w:autoSpaceDN w:val="0"/>
              <w:adjustRightInd w:val="0"/>
              <w:snapToGrid w:val="0"/>
              <w:spacing w:line="480" w:lineRule="exact"/>
              <w:jc w:val="center"/>
              <w:rPr>
                <w:rFonts w:eastAsia="黑体" w:cs="宋体"/>
                <w:color w:val="000000"/>
                <w:kern w:val="0"/>
                <w:szCs w:val="21"/>
              </w:rPr>
            </w:pPr>
            <w:r>
              <w:rPr>
                <w:rFonts w:hint="eastAsia" w:eastAsia="黑体" w:cs="宋体"/>
                <w:color w:val="000000"/>
                <w:kern w:val="0"/>
                <w:szCs w:val="21"/>
              </w:rPr>
              <w:t>表</w:t>
            </w:r>
            <w:r>
              <w:rPr>
                <w:rFonts w:eastAsia="黑体" w:cs="宋体"/>
                <w:color w:val="000000"/>
                <w:kern w:val="0"/>
                <w:szCs w:val="21"/>
              </w:rPr>
              <w:t xml:space="preserve">2.10  </w:t>
            </w:r>
            <w:r>
              <w:rPr>
                <w:rFonts w:hint="eastAsia" w:eastAsia="黑体" w:cs="宋体"/>
                <w:color w:val="000000"/>
                <w:kern w:val="0"/>
                <w:szCs w:val="21"/>
              </w:rPr>
              <w:t>现有工程主要废气污染物排放情况一览表</w:t>
            </w:r>
          </w:p>
          <w:tbl>
            <w:tblPr>
              <w:tblStyle w:val="2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11"/>
              <w:gridCol w:w="2109"/>
              <w:gridCol w:w="2109"/>
              <w:gridCol w:w="2112"/>
            </w:tblGrid>
            <w:tr w14:paraId="42BCB3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4"/>
                  <w:shd w:val="clear" w:color="auto" w:fill="auto"/>
                  <w:noWrap/>
                  <w:vAlign w:val="center"/>
                </w:tcPr>
                <w:p w14:paraId="15529AFD">
                  <w:pPr>
                    <w:widowControl/>
                    <w:jc w:val="center"/>
                    <w:rPr>
                      <w:rFonts w:eastAsia="黑体"/>
                      <w:kern w:val="0"/>
                      <w:sz w:val="21"/>
                      <w:szCs w:val="20"/>
                    </w:rPr>
                  </w:pPr>
                  <w:r>
                    <w:rPr>
                      <w:rFonts w:hint="eastAsia" w:eastAsia="黑体" w:cs="宋体"/>
                      <w:color w:val="000000"/>
                      <w:kern w:val="0"/>
                      <w:sz w:val="21"/>
                      <w:szCs w:val="22"/>
                    </w:rPr>
                    <w:t>污染物排放量（t/a）</w:t>
                  </w:r>
                </w:p>
              </w:tc>
            </w:tr>
            <w:tr w14:paraId="724950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1" w:type="pct"/>
                  <w:shd w:val="clear" w:color="auto" w:fill="auto"/>
                  <w:noWrap/>
                  <w:vAlign w:val="center"/>
                </w:tcPr>
                <w:p w14:paraId="3BD734A8">
                  <w:pPr>
                    <w:widowControl/>
                    <w:jc w:val="center"/>
                    <w:rPr>
                      <w:rFonts w:eastAsia="黑体" w:cs="宋体"/>
                      <w:color w:val="000000"/>
                      <w:kern w:val="0"/>
                      <w:sz w:val="21"/>
                      <w:szCs w:val="22"/>
                    </w:rPr>
                  </w:pPr>
                  <w:r>
                    <w:rPr>
                      <w:rFonts w:hint="eastAsia" w:eastAsia="黑体" w:cs="宋体"/>
                      <w:color w:val="000000"/>
                      <w:kern w:val="0"/>
                      <w:sz w:val="21"/>
                      <w:szCs w:val="22"/>
                    </w:rPr>
                    <w:t>SO</w:t>
                  </w:r>
                  <w:r>
                    <w:rPr>
                      <w:rFonts w:hint="eastAsia" w:eastAsia="黑体" w:cs="宋体"/>
                      <w:color w:val="000000"/>
                      <w:kern w:val="0"/>
                      <w:sz w:val="21"/>
                      <w:szCs w:val="22"/>
                      <w:vertAlign w:val="subscript"/>
                    </w:rPr>
                    <w:t>2</w:t>
                  </w:r>
                </w:p>
              </w:tc>
              <w:tc>
                <w:tcPr>
                  <w:tcW w:w="1249" w:type="pct"/>
                  <w:shd w:val="clear" w:color="auto" w:fill="auto"/>
                  <w:noWrap/>
                  <w:vAlign w:val="center"/>
                </w:tcPr>
                <w:p w14:paraId="32F02E01">
                  <w:pPr>
                    <w:widowControl/>
                    <w:jc w:val="center"/>
                    <w:rPr>
                      <w:rFonts w:eastAsia="黑体" w:cs="宋体"/>
                      <w:color w:val="000000"/>
                      <w:kern w:val="0"/>
                      <w:sz w:val="21"/>
                      <w:szCs w:val="22"/>
                    </w:rPr>
                  </w:pPr>
                  <w:r>
                    <w:rPr>
                      <w:rFonts w:hint="eastAsia" w:eastAsia="黑体" w:cs="宋体"/>
                      <w:color w:val="000000"/>
                      <w:kern w:val="0"/>
                      <w:sz w:val="21"/>
                      <w:szCs w:val="22"/>
                    </w:rPr>
                    <w:t>NOx</w:t>
                  </w:r>
                </w:p>
              </w:tc>
              <w:tc>
                <w:tcPr>
                  <w:tcW w:w="1249" w:type="pct"/>
                  <w:shd w:val="clear" w:color="auto" w:fill="auto"/>
                  <w:noWrap/>
                  <w:vAlign w:val="center"/>
                </w:tcPr>
                <w:p w14:paraId="199D9BE9">
                  <w:pPr>
                    <w:widowControl/>
                    <w:jc w:val="center"/>
                    <w:rPr>
                      <w:rFonts w:eastAsia="黑体" w:cs="宋体"/>
                      <w:color w:val="000000"/>
                      <w:kern w:val="0"/>
                      <w:sz w:val="21"/>
                      <w:szCs w:val="22"/>
                    </w:rPr>
                  </w:pPr>
                  <w:r>
                    <w:rPr>
                      <w:rFonts w:hint="eastAsia" w:eastAsia="黑体" w:cs="宋体"/>
                      <w:color w:val="000000"/>
                      <w:kern w:val="0"/>
                      <w:sz w:val="21"/>
                      <w:szCs w:val="22"/>
                    </w:rPr>
                    <w:t>颗粒物</w:t>
                  </w:r>
                </w:p>
              </w:tc>
              <w:tc>
                <w:tcPr>
                  <w:tcW w:w="1251" w:type="pct"/>
                  <w:shd w:val="clear" w:color="auto" w:fill="auto"/>
                  <w:noWrap/>
                  <w:vAlign w:val="center"/>
                </w:tcPr>
                <w:p w14:paraId="7FAC50D9">
                  <w:pPr>
                    <w:widowControl/>
                    <w:jc w:val="center"/>
                    <w:rPr>
                      <w:rFonts w:eastAsia="黑体" w:cs="宋体"/>
                      <w:color w:val="000000"/>
                      <w:kern w:val="0"/>
                      <w:sz w:val="21"/>
                      <w:szCs w:val="22"/>
                    </w:rPr>
                  </w:pPr>
                  <w:r>
                    <w:rPr>
                      <w:rFonts w:hint="eastAsia" w:eastAsia="黑体" w:cs="宋体"/>
                      <w:color w:val="000000"/>
                      <w:kern w:val="0"/>
                      <w:sz w:val="21"/>
                      <w:szCs w:val="22"/>
                    </w:rPr>
                    <w:t>VOCs</w:t>
                  </w:r>
                </w:p>
              </w:tc>
            </w:tr>
            <w:tr w14:paraId="6A0128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1" w:type="pct"/>
                  <w:shd w:val="clear" w:color="auto" w:fill="auto"/>
                  <w:noWrap/>
                  <w:vAlign w:val="center"/>
                </w:tcPr>
                <w:p w14:paraId="1539397E">
                  <w:pPr>
                    <w:widowControl/>
                    <w:jc w:val="center"/>
                    <w:rPr>
                      <w:rFonts w:eastAsia="黑体" w:cs="宋体"/>
                      <w:color w:val="000000"/>
                      <w:kern w:val="0"/>
                      <w:sz w:val="21"/>
                      <w:szCs w:val="22"/>
                    </w:rPr>
                  </w:pPr>
                  <w:r>
                    <w:rPr>
                      <w:rFonts w:hint="eastAsia" w:eastAsia="黑体"/>
                    </w:rPr>
                    <w:t>4.494</w:t>
                  </w:r>
                </w:p>
              </w:tc>
              <w:tc>
                <w:tcPr>
                  <w:tcW w:w="1249" w:type="pct"/>
                  <w:shd w:val="clear" w:color="auto" w:fill="auto"/>
                  <w:noWrap/>
                  <w:vAlign w:val="center"/>
                </w:tcPr>
                <w:p w14:paraId="63B495A0">
                  <w:pPr>
                    <w:widowControl/>
                    <w:jc w:val="center"/>
                    <w:rPr>
                      <w:rFonts w:eastAsia="黑体" w:cs="宋体"/>
                      <w:color w:val="000000"/>
                      <w:kern w:val="0"/>
                      <w:sz w:val="21"/>
                      <w:szCs w:val="22"/>
                    </w:rPr>
                  </w:pPr>
                  <w:r>
                    <w:rPr>
                      <w:rFonts w:hint="eastAsia" w:eastAsia="黑体"/>
                    </w:rPr>
                    <w:t>106.441</w:t>
                  </w:r>
                </w:p>
              </w:tc>
              <w:tc>
                <w:tcPr>
                  <w:tcW w:w="1249" w:type="pct"/>
                  <w:shd w:val="clear" w:color="auto" w:fill="auto"/>
                  <w:noWrap/>
                  <w:vAlign w:val="center"/>
                </w:tcPr>
                <w:p w14:paraId="265A8844">
                  <w:pPr>
                    <w:widowControl/>
                    <w:jc w:val="center"/>
                    <w:rPr>
                      <w:rFonts w:eastAsia="黑体" w:cs="宋体"/>
                      <w:color w:val="000000"/>
                      <w:kern w:val="0"/>
                      <w:sz w:val="21"/>
                      <w:szCs w:val="22"/>
                    </w:rPr>
                  </w:pPr>
                  <w:r>
                    <w:rPr>
                      <w:rFonts w:hint="eastAsia" w:eastAsia="黑体"/>
                    </w:rPr>
                    <w:t>43.477</w:t>
                  </w:r>
                </w:p>
              </w:tc>
              <w:tc>
                <w:tcPr>
                  <w:tcW w:w="1251" w:type="pct"/>
                  <w:shd w:val="clear" w:color="auto" w:fill="auto"/>
                  <w:noWrap/>
                  <w:vAlign w:val="center"/>
                </w:tcPr>
                <w:p w14:paraId="4DA419BB">
                  <w:pPr>
                    <w:widowControl/>
                    <w:jc w:val="center"/>
                    <w:rPr>
                      <w:rFonts w:eastAsia="黑体" w:cs="宋体"/>
                      <w:color w:val="000000"/>
                      <w:kern w:val="0"/>
                      <w:sz w:val="21"/>
                      <w:szCs w:val="22"/>
                    </w:rPr>
                  </w:pPr>
                  <w:r>
                    <w:rPr>
                      <w:rFonts w:hint="eastAsia" w:eastAsia="黑体" w:cs="宋体"/>
                      <w:color w:val="000000"/>
                      <w:kern w:val="0"/>
                      <w:sz w:val="21"/>
                      <w:szCs w:val="22"/>
                    </w:rPr>
                    <w:t>0</w:t>
                  </w:r>
                </w:p>
              </w:tc>
            </w:tr>
          </w:tbl>
          <w:p w14:paraId="5AF235C4">
            <w:pPr>
              <w:adjustRightInd w:val="0"/>
              <w:snapToGrid w:val="0"/>
              <w:spacing w:line="480" w:lineRule="exact"/>
              <w:ind w:firstLine="482" w:firstLineChars="200"/>
              <w:rPr>
                <w:b/>
                <w:color w:val="000000"/>
                <w:szCs w:val="21"/>
              </w:rPr>
            </w:pPr>
            <w:r>
              <w:rPr>
                <w:b/>
                <w:color w:val="000000"/>
                <w:szCs w:val="21"/>
              </w:rPr>
              <w:t>4</w:t>
            </w:r>
            <w:r>
              <w:rPr>
                <w:rFonts w:hint="eastAsia"/>
                <w:b/>
                <w:color w:val="000000"/>
                <w:szCs w:val="21"/>
              </w:rPr>
              <w:t>、现有工程主要污染物总量控制指标及许可排放量</w:t>
            </w:r>
          </w:p>
          <w:p w14:paraId="0DBF4083">
            <w:pPr>
              <w:adjustRightInd w:val="0"/>
              <w:snapToGrid w:val="0"/>
              <w:spacing w:line="480" w:lineRule="exact"/>
              <w:ind w:firstLine="480" w:firstLineChars="200"/>
              <w:rPr>
                <w:bCs/>
                <w:color w:val="000000"/>
                <w:szCs w:val="21"/>
              </w:rPr>
            </w:pPr>
            <w:r>
              <w:rPr>
                <w:rFonts w:hint="eastAsia"/>
                <w:bCs/>
                <w:color w:val="000000"/>
                <w:szCs w:val="21"/>
              </w:rPr>
              <w:t>（1）污染物总量控制指标</w:t>
            </w:r>
          </w:p>
          <w:p w14:paraId="2C6DC0FD">
            <w:pPr>
              <w:adjustRightInd w:val="0"/>
              <w:snapToGrid w:val="0"/>
              <w:spacing w:line="480" w:lineRule="exact"/>
              <w:ind w:firstLine="480" w:firstLineChars="200"/>
              <w:rPr>
                <w:bCs/>
                <w:color w:val="000000"/>
                <w:szCs w:val="21"/>
              </w:rPr>
            </w:pPr>
            <w:r>
              <w:rPr>
                <w:rFonts w:hint="eastAsia"/>
                <w:bCs/>
                <w:color w:val="000000"/>
                <w:szCs w:val="21"/>
              </w:rPr>
              <w:t>现有总量指标为二氧化硫44.428t/a、氮氧化物191.368t/a、COD</w:t>
            </w:r>
            <w:r>
              <w:rPr>
                <w:bCs/>
                <w:color w:val="000000"/>
                <w:szCs w:val="21"/>
              </w:rPr>
              <w:t xml:space="preserve"> </w:t>
            </w:r>
            <w:r>
              <w:rPr>
                <w:rFonts w:hint="eastAsia"/>
                <w:bCs/>
                <w:color w:val="000000"/>
                <w:szCs w:val="21"/>
              </w:rPr>
              <w:t>0t/a、氨氮 0t/a。</w:t>
            </w:r>
          </w:p>
          <w:p w14:paraId="4BB79C15">
            <w:pPr>
              <w:adjustRightInd w:val="0"/>
              <w:snapToGrid w:val="0"/>
              <w:spacing w:line="480" w:lineRule="exact"/>
              <w:ind w:firstLine="480" w:firstLineChars="200"/>
              <w:rPr>
                <w:bCs/>
                <w:color w:val="000000"/>
                <w:szCs w:val="21"/>
              </w:rPr>
            </w:pPr>
            <w:r>
              <w:rPr>
                <w:rFonts w:hint="eastAsia"/>
                <w:bCs/>
                <w:color w:val="000000"/>
                <w:szCs w:val="21"/>
              </w:rPr>
              <w:t>（2）许可排放量</w:t>
            </w:r>
          </w:p>
          <w:p w14:paraId="62BA5EA0">
            <w:pPr>
              <w:adjustRightInd w:val="0"/>
              <w:snapToGrid w:val="0"/>
              <w:spacing w:line="480" w:lineRule="exact"/>
              <w:ind w:firstLine="480" w:firstLineChars="200"/>
              <w:rPr>
                <w:bCs/>
                <w:color w:val="000000"/>
                <w:szCs w:val="21"/>
              </w:rPr>
            </w:pPr>
            <w:r>
              <w:rPr>
                <w:rFonts w:hint="eastAsia"/>
                <w:bCs/>
                <w:color w:val="000000"/>
                <w:szCs w:val="21"/>
              </w:rPr>
              <w:t>根据文丰新材料排污许可证，各污染物许可排放总量为COD</w:t>
            </w:r>
            <w:r>
              <w:rPr>
                <w:bCs/>
                <w:color w:val="000000"/>
                <w:szCs w:val="21"/>
              </w:rPr>
              <w:t xml:space="preserve"> </w:t>
            </w:r>
            <w:r>
              <w:rPr>
                <w:rFonts w:hint="eastAsia"/>
                <w:bCs/>
                <w:color w:val="000000"/>
                <w:szCs w:val="21"/>
              </w:rPr>
              <w:t>0吨、氨氮 0吨、氮氧化物 191.368吨、二氧化硫44.428吨、颗粒物 105.6吨。</w:t>
            </w:r>
          </w:p>
          <w:p w14:paraId="1395996C">
            <w:pPr>
              <w:adjustRightInd w:val="0"/>
              <w:snapToGrid w:val="0"/>
              <w:spacing w:line="480" w:lineRule="exact"/>
              <w:ind w:firstLine="482" w:firstLineChars="200"/>
              <w:rPr>
                <w:b/>
                <w:color w:val="000000"/>
                <w:szCs w:val="21"/>
              </w:rPr>
            </w:pPr>
            <w:r>
              <w:rPr>
                <w:rFonts w:hint="eastAsia"/>
                <w:b/>
                <w:color w:val="000000"/>
                <w:szCs w:val="21"/>
              </w:rPr>
              <w:t>5、现有工程存在的环境问题及整改措施</w:t>
            </w:r>
          </w:p>
          <w:p w14:paraId="569BE514">
            <w:pPr>
              <w:adjustRightInd w:val="0"/>
              <w:snapToGrid w:val="0"/>
              <w:spacing w:line="480" w:lineRule="exact"/>
              <w:ind w:firstLine="480" w:firstLineChars="200"/>
              <w:rPr>
                <w:bCs/>
                <w:color w:val="000000"/>
                <w:szCs w:val="21"/>
              </w:rPr>
            </w:pPr>
            <w:r>
              <w:rPr>
                <w:rFonts w:hint="eastAsia"/>
                <w:bCs/>
                <w:color w:val="000000"/>
                <w:szCs w:val="21"/>
              </w:rPr>
              <w:t>目前，文丰新材料各污染物实际排放量均不超过现有污染物总量控制指标及许可排放量。同时，现有工程废气污染物、废水污染物及噪声排放均满足相应排放标准限值要求，全厂产生草酸盐量较大，现有危废间无法满足其暂存需求，固本次环评拟建1座危废间专门暂存草酸盐，其他固体废物均得到妥善处置。</w:t>
            </w:r>
          </w:p>
          <w:p w14:paraId="6DC5E93E">
            <w:pPr>
              <w:adjustRightInd w:val="0"/>
              <w:snapToGrid w:val="0"/>
              <w:spacing w:line="480" w:lineRule="exact"/>
              <w:ind w:firstLine="480" w:firstLineChars="200"/>
              <w:rPr>
                <w:bCs/>
                <w:color w:val="000000"/>
                <w:szCs w:val="21"/>
              </w:rPr>
            </w:pPr>
          </w:p>
          <w:p w14:paraId="24EC5076">
            <w:pPr>
              <w:adjustRightInd w:val="0"/>
              <w:snapToGrid w:val="0"/>
              <w:spacing w:line="480" w:lineRule="exact"/>
              <w:ind w:firstLine="480" w:firstLineChars="200"/>
              <w:rPr>
                <w:bCs/>
                <w:color w:val="000000"/>
                <w:szCs w:val="21"/>
              </w:rPr>
            </w:pPr>
          </w:p>
        </w:tc>
      </w:tr>
    </w:tbl>
    <w:p w14:paraId="638FF889">
      <w:pPr>
        <w:pStyle w:val="24"/>
        <w:jc w:val="center"/>
        <w:rPr>
          <w:rFonts w:ascii="黑体" w:hAnsi="黑体" w:eastAsia="黑体"/>
          <w:snapToGrid w:val="0"/>
          <w:color w:val="000000"/>
          <w:sz w:val="36"/>
          <w:szCs w:val="36"/>
        </w:rPr>
        <w:sectPr>
          <w:footerReference r:id="rId7" w:type="default"/>
          <w:pgSz w:w="11906" w:h="16838"/>
          <w:pgMar w:top="1701" w:right="1531" w:bottom="1701" w:left="1531" w:header="851" w:footer="851" w:gutter="0"/>
          <w:cols w:space="720" w:num="1"/>
          <w:docGrid w:linePitch="312" w:charSpace="0"/>
        </w:sectPr>
      </w:pPr>
    </w:p>
    <w:p w14:paraId="1DC4E7E1">
      <w:pPr>
        <w:pStyle w:val="24"/>
        <w:jc w:val="center"/>
        <w:outlineLvl w:val="0"/>
        <w:rPr>
          <w:rFonts w:ascii="黑体" w:hAnsi="黑体" w:eastAsia="黑体"/>
          <w:snapToGrid w:val="0"/>
          <w:color w:val="000000"/>
          <w:sz w:val="30"/>
          <w:szCs w:val="30"/>
        </w:rPr>
      </w:pPr>
      <w:r>
        <w:rPr>
          <w:rFonts w:hint="eastAsia" w:ascii="黑体" w:hAnsi="黑体" w:eastAsia="黑体"/>
          <w:snapToGrid w:val="0"/>
          <w:color w:val="000000"/>
          <w:sz w:val="30"/>
          <w:szCs w:val="30"/>
        </w:rPr>
        <w:t>三、区域环境质量现状、环境保护目标及评价标准</w:t>
      </w:r>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8190"/>
      </w:tblGrid>
      <w:tr w14:paraId="727DCE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6" w:hRule="atLeast"/>
          <w:jc w:val="center"/>
        </w:trPr>
        <w:tc>
          <w:tcPr>
            <w:tcW w:w="800" w:type="dxa"/>
            <w:vAlign w:val="center"/>
          </w:tcPr>
          <w:p w14:paraId="1FC56D3F">
            <w:pPr>
              <w:adjustRightInd w:val="0"/>
              <w:snapToGrid w:val="0"/>
              <w:jc w:val="center"/>
              <w:rPr>
                <w:rFonts w:ascii="宋体" w:hAnsi="宋体" w:cs="宋体"/>
                <w:color w:val="000000"/>
                <w:kern w:val="0"/>
                <w:szCs w:val="21"/>
              </w:rPr>
            </w:pPr>
            <w:r>
              <w:rPr>
                <w:rFonts w:hint="eastAsia" w:ascii="宋体" w:hAnsi="宋体" w:cs="宋体"/>
                <w:color w:val="000000"/>
                <w:kern w:val="0"/>
                <w:szCs w:val="21"/>
              </w:rPr>
              <w:t>区域环境质量现状</w:t>
            </w:r>
          </w:p>
        </w:tc>
        <w:tc>
          <w:tcPr>
            <w:tcW w:w="8190" w:type="dxa"/>
          </w:tcPr>
          <w:p w14:paraId="6210469A">
            <w:pPr>
              <w:adjustRightInd w:val="0"/>
              <w:snapToGrid w:val="0"/>
              <w:spacing w:line="480" w:lineRule="exact"/>
              <w:ind w:firstLine="482" w:firstLineChars="200"/>
              <w:rPr>
                <w:rFonts w:cs="宋体"/>
                <w:b/>
                <w:bCs/>
                <w:color w:val="000000"/>
                <w:kern w:val="0"/>
                <w:szCs w:val="21"/>
              </w:rPr>
            </w:pPr>
            <w:r>
              <w:rPr>
                <w:rFonts w:cs="宋体"/>
                <w:b/>
                <w:bCs/>
                <w:color w:val="000000"/>
                <w:kern w:val="0"/>
                <w:szCs w:val="21"/>
              </w:rPr>
              <w:t>1</w:t>
            </w:r>
            <w:r>
              <w:rPr>
                <w:rFonts w:hint="eastAsia" w:cs="宋体"/>
                <w:b/>
                <w:bCs/>
                <w:color w:val="000000"/>
                <w:kern w:val="0"/>
                <w:szCs w:val="21"/>
              </w:rPr>
              <w:t>、环境空气</w:t>
            </w:r>
          </w:p>
          <w:p w14:paraId="397EDAA8">
            <w:pPr>
              <w:adjustRightInd w:val="0"/>
              <w:snapToGrid w:val="0"/>
              <w:spacing w:line="480" w:lineRule="exact"/>
              <w:ind w:firstLine="480" w:firstLineChars="200"/>
              <w:rPr>
                <w:rFonts w:cs="宋体"/>
                <w:color w:val="000000"/>
                <w:kern w:val="0"/>
                <w:szCs w:val="21"/>
              </w:rPr>
            </w:pPr>
            <w:r>
              <w:rPr>
                <w:rFonts w:hint="eastAsia" w:cs="宋体"/>
                <w:color w:val="000000"/>
                <w:kern w:val="0"/>
                <w:szCs w:val="21"/>
              </w:rPr>
              <w:t>（</w:t>
            </w:r>
            <w:r>
              <w:rPr>
                <w:rFonts w:cs="宋体"/>
                <w:color w:val="000000"/>
                <w:kern w:val="0"/>
                <w:szCs w:val="21"/>
              </w:rPr>
              <w:t>1</w:t>
            </w:r>
            <w:r>
              <w:rPr>
                <w:rFonts w:hint="eastAsia" w:cs="宋体"/>
                <w:color w:val="000000"/>
                <w:kern w:val="0"/>
                <w:szCs w:val="21"/>
              </w:rPr>
              <w:t>）常规污染物环境空气质量现状情况</w:t>
            </w:r>
          </w:p>
          <w:p w14:paraId="602F92A6">
            <w:pPr>
              <w:adjustRightInd w:val="0"/>
              <w:snapToGrid w:val="0"/>
              <w:spacing w:line="480" w:lineRule="exact"/>
              <w:ind w:firstLine="480" w:firstLineChars="200"/>
              <w:rPr>
                <w:rFonts w:cs="宋体"/>
                <w:color w:val="000000"/>
                <w:kern w:val="0"/>
                <w:szCs w:val="21"/>
              </w:rPr>
            </w:pPr>
            <w:r>
              <w:rPr>
                <w:rFonts w:hint="eastAsia" w:cs="宋体"/>
                <w:color w:val="000000"/>
                <w:kern w:val="0"/>
                <w:szCs w:val="21"/>
              </w:rPr>
              <w:t>根据《</w:t>
            </w:r>
            <w:r>
              <w:rPr>
                <w:color w:val="000000" w:themeColor="text1"/>
              </w:rPr>
              <w:t>202</w:t>
            </w:r>
            <w:r>
              <w:rPr>
                <w:rFonts w:hint="eastAsia"/>
                <w:color w:val="000000" w:themeColor="text1"/>
              </w:rPr>
              <w:t>3</w:t>
            </w:r>
            <w:r>
              <w:rPr>
                <w:color w:val="000000" w:themeColor="text1"/>
              </w:rPr>
              <w:t>年</w:t>
            </w:r>
            <w:r>
              <w:rPr>
                <w:rFonts w:hint="eastAsia"/>
                <w:color w:val="000000" w:themeColor="text1"/>
              </w:rPr>
              <w:t>唐山市环境状况公报</w:t>
            </w:r>
            <w:r>
              <w:rPr>
                <w:rFonts w:hint="eastAsia" w:cs="宋体"/>
                <w:color w:val="000000"/>
                <w:kern w:val="0"/>
                <w:szCs w:val="21"/>
              </w:rPr>
              <w:t>》，常规污染物环境空气质量情况见下表。</w:t>
            </w:r>
          </w:p>
          <w:p w14:paraId="059677B8">
            <w:pPr>
              <w:autoSpaceDE w:val="0"/>
              <w:autoSpaceDN w:val="0"/>
              <w:adjustRightInd w:val="0"/>
              <w:snapToGrid w:val="0"/>
              <w:spacing w:line="480" w:lineRule="exact"/>
              <w:jc w:val="center"/>
              <w:rPr>
                <w:rFonts w:eastAsia="黑体" w:cs="宋体"/>
                <w:color w:val="000000"/>
                <w:kern w:val="0"/>
                <w:szCs w:val="21"/>
              </w:rPr>
            </w:pPr>
            <w:r>
              <w:rPr>
                <w:rFonts w:hint="eastAsia" w:eastAsia="黑体" w:cs="宋体"/>
                <w:color w:val="000000"/>
                <w:kern w:val="0"/>
                <w:szCs w:val="21"/>
              </w:rPr>
              <w:t>表</w:t>
            </w:r>
            <w:r>
              <w:rPr>
                <w:rFonts w:eastAsia="黑体" w:cs="宋体"/>
                <w:color w:val="000000"/>
                <w:kern w:val="0"/>
                <w:szCs w:val="21"/>
              </w:rPr>
              <w:t xml:space="preserve">3.1  </w:t>
            </w:r>
            <w:r>
              <w:rPr>
                <w:rFonts w:hint="eastAsia" w:eastAsia="黑体" w:cs="宋体"/>
                <w:color w:val="000000"/>
                <w:kern w:val="0"/>
                <w:szCs w:val="21"/>
              </w:rPr>
              <w:t>常规污染物环境空气质量现状情况一览表</w:t>
            </w:r>
          </w:p>
          <w:tbl>
            <w:tblPr>
              <w:tblStyle w:val="28"/>
              <w:tblW w:w="5000" w:type="pct"/>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1052"/>
              <w:gridCol w:w="2289"/>
              <w:gridCol w:w="1096"/>
              <w:gridCol w:w="1239"/>
              <w:gridCol w:w="1458"/>
              <w:gridCol w:w="840"/>
            </w:tblGrid>
            <w:tr w14:paraId="7FFC29C9">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60" w:type="pct"/>
                  <w:vMerge w:val="restart"/>
                  <w:vAlign w:val="center"/>
                </w:tcPr>
                <w:p w14:paraId="10A3AD5C">
                  <w:pPr>
                    <w:pStyle w:val="73"/>
                  </w:pPr>
                  <w:r>
                    <w:rPr>
                      <w:lang w:val="zh-CN"/>
                    </w:rPr>
                    <w:t>污染物</w:t>
                  </w:r>
                </w:p>
              </w:tc>
              <w:tc>
                <w:tcPr>
                  <w:tcW w:w="1435" w:type="pct"/>
                  <w:vMerge w:val="restart"/>
                  <w:vAlign w:val="center"/>
                </w:tcPr>
                <w:p w14:paraId="7E70F36B">
                  <w:pPr>
                    <w:pStyle w:val="73"/>
                    <w:rPr>
                      <w:lang w:val="zh-CN"/>
                    </w:rPr>
                  </w:pPr>
                  <w:r>
                    <w:rPr>
                      <w:lang w:val="zh-CN"/>
                    </w:rPr>
                    <w:t>年评价指标</w:t>
                  </w:r>
                </w:p>
              </w:tc>
              <w:tc>
                <w:tcPr>
                  <w:tcW w:w="687" w:type="pct"/>
                  <w:vMerge w:val="restart"/>
                  <w:vAlign w:val="center"/>
                </w:tcPr>
                <w:p w14:paraId="5D8E9FD9">
                  <w:pPr>
                    <w:pStyle w:val="73"/>
                  </w:pPr>
                  <w:r>
                    <w:rPr>
                      <w:lang w:val="zh-CN"/>
                    </w:rPr>
                    <w:t>浓度</w:t>
                  </w:r>
                  <w:r>
                    <w:t>μg/m</w:t>
                  </w:r>
                  <w:r>
                    <w:rPr>
                      <w:vertAlign w:val="superscript"/>
                    </w:rPr>
                    <w:t>3</w:t>
                  </w:r>
                </w:p>
              </w:tc>
              <w:tc>
                <w:tcPr>
                  <w:tcW w:w="777" w:type="pct"/>
                  <w:vMerge w:val="restart"/>
                  <w:vAlign w:val="center"/>
                </w:tcPr>
                <w:p w14:paraId="728BA691">
                  <w:pPr>
                    <w:pStyle w:val="73"/>
                  </w:pPr>
                  <w:r>
                    <w:rPr>
                      <w:lang w:val="zh-CN"/>
                    </w:rPr>
                    <w:t>标准</w:t>
                  </w:r>
                  <w:r>
                    <w:t>μg/m</w:t>
                  </w:r>
                  <w:r>
                    <w:rPr>
                      <w:vertAlign w:val="superscript"/>
                    </w:rPr>
                    <w:t>3</w:t>
                  </w:r>
                </w:p>
              </w:tc>
              <w:tc>
                <w:tcPr>
                  <w:tcW w:w="914" w:type="pct"/>
                  <w:vMerge w:val="restart"/>
                  <w:vAlign w:val="center"/>
                </w:tcPr>
                <w:p w14:paraId="7353EF52">
                  <w:pPr>
                    <w:pStyle w:val="73"/>
                  </w:pPr>
                  <w:r>
                    <w:t>占标率/%</w:t>
                  </w:r>
                </w:p>
              </w:tc>
              <w:tc>
                <w:tcPr>
                  <w:tcW w:w="527" w:type="pct"/>
                  <w:vMerge w:val="restart"/>
                  <w:vAlign w:val="center"/>
                </w:tcPr>
                <w:p w14:paraId="59B41F59">
                  <w:pPr>
                    <w:pStyle w:val="73"/>
                  </w:pPr>
                  <w:r>
                    <w:t>达标</w:t>
                  </w:r>
                </w:p>
                <w:p w14:paraId="176DFF26">
                  <w:pPr>
                    <w:pStyle w:val="73"/>
                  </w:pPr>
                  <w:r>
                    <w:t>情况</w:t>
                  </w:r>
                </w:p>
              </w:tc>
            </w:tr>
            <w:tr w14:paraId="3624A778">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60" w:type="pct"/>
                  <w:vMerge w:val="continue"/>
                  <w:vAlign w:val="center"/>
                </w:tcPr>
                <w:p w14:paraId="7D94A498">
                  <w:pPr>
                    <w:pStyle w:val="73"/>
                    <w:rPr>
                      <w:lang w:val="zh-CN"/>
                    </w:rPr>
                  </w:pPr>
                </w:p>
              </w:tc>
              <w:tc>
                <w:tcPr>
                  <w:tcW w:w="1435" w:type="pct"/>
                  <w:vMerge w:val="continue"/>
                  <w:vAlign w:val="center"/>
                </w:tcPr>
                <w:p w14:paraId="5390652D">
                  <w:pPr>
                    <w:pStyle w:val="73"/>
                    <w:rPr>
                      <w:lang w:val="zh-CN"/>
                    </w:rPr>
                  </w:pPr>
                </w:p>
              </w:tc>
              <w:tc>
                <w:tcPr>
                  <w:tcW w:w="687" w:type="pct"/>
                  <w:vMerge w:val="continue"/>
                  <w:vAlign w:val="center"/>
                </w:tcPr>
                <w:p w14:paraId="3D33BEC5">
                  <w:pPr>
                    <w:pStyle w:val="73"/>
                    <w:rPr>
                      <w:lang w:val="zh-CN"/>
                    </w:rPr>
                  </w:pPr>
                </w:p>
              </w:tc>
              <w:tc>
                <w:tcPr>
                  <w:tcW w:w="777" w:type="pct"/>
                  <w:vMerge w:val="continue"/>
                  <w:vAlign w:val="center"/>
                </w:tcPr>
                <w:p w14:paraId="4AD20500">
                  <w:pPr>
                    <w:pStyle w:val="73"/>
                    <w:rPr>
                      <w:lang w:val="zh-CN"/>
                    </w:rPr>
                  </w:pPr>
                </w:p>
              </w:tc>
              <w:tc>
                <w:tcPr>
                  <w:tcW w:w="914" w:type="pct"/>
                  <w:vMerge w:val="continue"/>
                  <w:vAlign w:val="center"/>
                </w:tcPr>
                <w:p w14:paraId="31B32792">
                  <w:pPr>
                    <w:pStyle w:val="73"/>
                  </w:pPr>
                </w:p>
              </w:tc>
              <w:tc>
                <w:tcPr>
                  <w:tcW w:w="527" w:type="pct"/>
                  <w:vMerge w:val="continue"/>
                  <w:vAlign w:val="center"/>
                </w:tcPr>
                <w:p w14:paraId="4F3EEEBF">
                  <w:pPr>
                    <w:pStyle w:val="73"/>
                  </w:pPr>
                </w:p>
              </w:tc>
            </w:tr>
            <w:tr w14:paraId="186D03BB">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60" w:type="pct"/>
                  <w:vAlign w:val="center"/>
                </w:tcPr>
                <w:p w14:paraId="53BC5D93">
                  <w:pPr>
                    <w:pStyle w:val="73"/>
                  </w:pPr>
                  <w:r>
                    <w:t>SO</w:t>
                  </w:r>
                  <w:r>
                    <w:rPr>
                      <w:vertAlign w:val="subscript"/>
                    </w:rPr>
                    <w:t>2</w:t>
                  </w:r>
                </w:p>
              </w:tc>
              <w:tc>
                <w:tcPr>
                  <w:tcW w:w="1435" w:type="pct"/>
                  <w:vAlign w:val="center"/>
                </w:tcPr>
                <w:p w14:paraId="03D06E6C">
                  <w:pPr>
                    <w:pStyle w:val="73"/>
                  </w:pPr>
                  <w:r>
                    <w:t>年平均质量浓度</w:t>
                  </w:r>
                </w:p>
              </w:tc>
              <w:tc>
                <w:tcPr>
                  <w:tcW w:w="687" w:type="pct"/>
                  <w:vAlign w:val="center"/>
                </w:tcPr>
                <w:p w14:paraId="553A53EF">
                  <w:pPr>
                    <w:pStyle w:val="73"/>
                  </w:pPr>
                  <w:r>
                    <w:rPr>
                      <w:rFonts w:hint="eastAsia"/>
                    </w:rPr>
                    <w:t>11</w:t>
                  </w:r>
                </w:p>
              </w:tc>
              <w:tc>
                <w:tcPr>
                  <w:tcW w:w="777" w:type="pct"/>
                  <w:vAlign w:val="center"/>
                </w:tcPr>
                <w:p w14:paraId="2766562C">
                  <w:pPr>
                    <w:pStyle w:val="73"/>
                  </w:pPr>
                  <w:r>
                    <w:rPr>
                      <w:lang w:eastAsia="en-US"/>
                    </w:rPr>
                    <w:t>60</w:t>
                  </w:r>
                </w:p>
              </w:tc>
              <w:tc>
                <w:tcPr>
                  <w:tcW w:w="914" w:type="pct"/>
                  <w:vAlign w:val="center"/>
                </w:tcPr>
                <w:p w14:paraId="5A50DFF1">
                  <w:pPr>
                    <w:pStyle w:val="73"/>
                  </w:pPr>
                  <w:r>
                    <w:rPr>
                      <w:rFonts w:hint="eastAsia"/>
                    </w:rPr>
                    <w:t>18.3</w:t>
                  </w:r>
                </w:p>
              </w:tc>
              <w:tc>
                <w:tcPr>
                  <w:tcW w:w="527" w:type="pct"/>
                  <w:vAlign w:val="center"/>
                </w:tcPr>
                <w:p w14:paraId="6AE4D5D5">
                  <w:pPr>
                    <w:pStyle w:val="73"/>
                  </w:pPr>
                  <w:r>
                    <w:rPr>
                      <w:rFonts w:hint="eastAsia"/>
                    </w:rPr>
                    <w:t>达标</w:t>
                  </w:r>
                </w:p>
              </w:tc>
            </w:tr>
            <w:tr w14:paraId="6671C993">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60" w:type="pct"/>
                  <w:vAlign w:val="center"/>
                </w:tcPr>
                <w:p w14:paraId="7E903F6F">
                  <w:pPr>
                    <w:pStyle w:val="73"/>
                  </w:pPr>
                  <w:r>
                    <w:t>NO</w:t>
                  </w:r>
                  <w:r>
                    <w:rPr>
                      <w:vertAlign w:val="subscript"/>
                    </w:rPr>
                    <w:t>2</w:t>
                  </w:r>
                </w:p>
              </w:tc>
              <w:tc>
                <w:tcPr>
                  <w:tcW w:w="1435" w:type="pct"/>
                  <w:vAlign w:val="center"/>
                </w:tcPr>
                <w:p w14:paraId="69C58DE5">
                  <w:pPr>
                    <w:pStyle w:val="73"/>
                  </w:pPr>
                  <w:r>
                    <w:t>年平均质量浓度</w:t>
                  </w:r>
                </w:p>
              </w:tc>
              <w:tc>
                <w:tcPr>
                  <w:tcW w:w="687" w:type="pct"/>
                  <w:vAlign w:val="center"/>
                </w:tcPr>
                <w:p w14:paraId="59EA2470">
                  <w:pPr>
                    <w:pStyle w:val="73"/>
                  </w:pPr>
                  <w:r>
                    <w:rPr>
                      <w:rFonts w:hint="eastAsia"/>
                    </w:rPr>
                    <w:t>31</w:t>
                  </w:r>
                </w:p>
              </w:tc>
              <w:tc>
                <w:tcPr>
                  <w:tcW w:w="777" w:type="pct"/>
                  <w:vAlign w:val="center"/>
                </w:tcPr>
                <w:p w14:paraId="71279A54">
                  <w:pPr>
                    <w:pStyle w:val="73"/>
                  </w:pPr>
                  <w:r>
                    <w:rPr>
                      <w:lang w:eastAsia="en-US"/>
                    </w:rPr>
                    <w:t>40</w:t>
                  </w:r>
                </w:p>
              </w:tc>
              <w:tc>
                <w:tcPr>
                  <w:tcW w:w="914" w:type="pct"/>
                  <w:vAlign w:val="center"/>
                </w:tcPr>
                <w:p w14:paraId="0FD66295">
                  <w:pPr>
                    <w:pStyle w:val="73"/>
                  </w:pPr>
                  <w:r>
                    <w:rPr>
                      <w:rFonts w:hint="eastAsia"/>
                    </w:rPr>
                    <w:t>77.5</w:t>
                  </w:r>
                </w:p>
              </w:tc>
              <w:tc>
                <w:tcPr>
                  <w:tcW w:w="527" w:type="pct"/>
                  <w:vAlign w:val="center"/>
                </w:tcPr>
                <w:p w14:paraId="7994B359">
                  <w:pPr>
                    <w:pStyle w:val="73"/>
                  </w:pPr>
                  <w:r>
                    <w:rPr>
                      <w:rFonts w:hint="eastAsia"/>
                    </w:rPr>
                    <w:t>达标</w:t>
                  </w:r>
                </w:p>
              </w:tc>
            </w:tr>
            <w:tr w14:paraId="37F8022B">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60" w:type="pct"/>
                  <w:vAlign w:val="center"/>
                </w:tcPr>
                <w:p w14:paraId="431A956E">
                  <w:pPr>
                    <w:pStyle w:val="73"/>
                  </w:pPr>
                  <w:r>
                    <w:t>PM</w:t>
                  </w:r>
                  <w:r>
                    <w:rPr>
                      <w:vertAlign w:val="subscript"/>
                    </w:rPr>
                    <w:t>10</w:t>
                  </w:r>
                </w:p>
              </w:tc>
              <w:tc>
                <w:tcPr>
                  <w:tcW w:w="1435" w:type="pct"/>
                  <w:vAlign w:val="center"/>
                </w:tcPr>
                <w:p w14:paraId="7963157C">
                  <w:pPr>
                    <w:pStyle w:val="73"/>
                  </w:pPr>
                  <w:r>
                    <w:t>年平均质量浓度</w:t>
                  </w:r>
                </w:p>
              </w:tc>
              <w:tc>
                <w:tcPr>
                  <w:tcW w:w="687" w:type="pct"/>
                  <w:vAlign w:val="center"/>
                </w:tcPr>
                <w:p w14:paraId="6C052B88">
                  <w:pPr>
                    <w:pStyle w:val="73"/>
                  </w:pPr>
                  <w:r>
                    <w:rPr>
                      <w:rFonts w:hint="eastAsia"/>
                    </w:rPr>
                    <w:t>76</w:t>
                  </w:r>
                </w:p>
              </w:tc>
              <w:tc>
                <w:tcPr>
                  <w:tcW w:w="777" w:type="pct"/>
                  <w:vAlign w:val="center"/>
                </w:tcPr>
                <w:p w14:paraId="6DEBC4D8">
                  <w:pPr>
                    <w:pStyle w:val="73"/>
                  </w:pPr>
                  <w:r>
                    <w:rPr>
                      <w:lang w:eastAsia="en-US"/>
                    </w:rPr>
                    <w:t>70</w:t>
                  </w:r>
                </w:p>
              </w:tc>
              <w:tc>
                <w:tcPr>
                  <w:tcW w:w="914" w:type="pct"/>
                  <w:vAlign w:val="center"/>
                </w:tcPr>
                <w:p w14:paraId="0B7671CA">
                  <w:pPr>
                    <w:pStyle w:val="73"/>
                  </w:pPr>
                  <w:r>
                    <w:rPr>
                      <w:rFonts w:hint="eastAsia"/>
                    </w:rPr>
                    <w:t>108.6</w:t>
                  </w:r>
                </w:p>
              </w:tc>
              <w:tc>
                <w:tcPr>
                  <w:tcW w:w="527" w:type="pct"/>
                  <w:vAlign w:val="center"/>
                </w:tcPr>
                <w:p w14:paraId="50E50691">
                  <w:pPr>
                    <w:pStyle w:val="73"/>
                  </w:pPr>
                  <w:r>
                    <w:rPr>
                      <w:rFonts w:hint="eastAsia"/>
                    </w:rPr>
                    <w:t>不达标</w:t>
                  </w:r>
                </w:p>
              </w:tc>
            </w:tr>
            <w:tr w14:paraId="1D3994F8">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60" w:type="pct"/>
                  <w:vAlign w:val="center"/>
                </w:tcPr>
                <w:p w14:paraId="2284EC45">
                  <w:pPr>
                    <w:pStyle w:val="73"/>
                  </w:pPr>
                  <w:r>
                    <w:t>PM</w:t>
                  </w:r>
                  <w:r>
                    <w:rPr>
                      <w:vertAlign w:val="subscript"/>
                    </w:rPr>
                    <w:t>2.5</w:t>
                  </w:r>
                </w:p>
              </w:tc>
              <w:tc>
                <w:tcPr>
                  <w:tcW w:w="1435" w:type="pct"/>
                  <w:vAlign w:val="center"/>
                </w:tcPr>
                <w:p w14:paraId="24662E81">
                  <w:pPr>
                    <w:pStyle w:val="73"/>
                  </w:pPr>
                  <w:r>
                    <w:t>年平均质量浓度</w:t>
                  </w:r>
                </w:p>
              </w:tc>
              <w:tc>
                <w:tcPr>
                  <w:tcW w:w="687" w:type="pct"/>
                  <w:vAlign w:val="center"/>
                </w:tcPr>
                <w:p w14:paraId="27ADAB1F">
                  <w:pPr>
                    <w:pStyle w:val="73"/>
                  </w:pPr>
                  <w:r>
                    <w:rPr>
                      <w:rFonts w:hint="eastAsia"/>
                    </w:rPr>
                    <w:t>33</w:t>
                  </w:r>
                </w:p>
              </w:tc>
              <w:tc>
                <w:tcPr>
                  <w:tcW w:w="777" w:type="pct"/>
                  <w:vAlign w:val="center"/>
                </w:tcPr>
                <w:p w14:paraId="76674C7F">
                  <w:pPr>
                    <w:pStyle w:val="73"/>
                  </w:pPr>
                  <w:r>
                    <w:rPr>
                      <w:lang w:eastAsia="en-US"/>
                    </w:rPr>
                    <w:t>35</w:t>
                  </w:r>
                </w:p>
              </w:tc>
              <w:tc>
                <w:tcPr>
                  <w:tcW w:w="914" w:type="pct"/>
                  <w:vAlign w:val="center"/>
                </w:tcPr>
                <w:p w14:paraId="46883D40">
                  <w:pPr>
                    <w:pStyle w:val="73"/>
                  </w:pPr>
                  <w:r>
                    <w:rPr>
                      <w:rFonts w:hint="eastAsia"/>
                    </w:rPr>
                    <w:t>94.3</w:t>
                  </w:r>
                </w:p>
              </w:tc>
              <w:tc>
                <w:tcPr>
                  <w:tcW w:w="527" w:type="pct"/>
                  <w:vAlign w:val="center"/>
                </w:tcPr>
                <w:p w14:paraId="0799D388">
                  <w:pPr>
                    <w:pStyle w:val="73"/>
                  </w:pPr>
                  <w:r>
                    <w:rPr>
                      <w:rFonts w:hint="eastAsia"/>
                    </w:rPr>
                    <w:t>达标</w:t>
                  </w:r>
                </w:p>
              </w:tc>
            </w:tr>
            <w:tr w14:paraId="5B40C1AF">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60" w:type="pct"/>
                  <w:vAlign w:val="center"/>
                </w:tcPr>
                <w:p w14:paraId="05466D9C">
                  <w:pPr>
                    <w:pStyle w:val="73"/>
                  </w:pPr>
                  <w:r>
                    <w:t>O</w:t>
                  </w:r>
                  <w:r>
                    <w:rPr>
                      <w:vertAlign w:val="subscript"/>
                    </w:rPr>
                    <w:t>3</w:t>
                  </w:r>
                </w:p>
              </w:tc>
              <w:tc>
                <w:tcPr>
                  <w:tcW w:w="1435" w:type="pct"/>
                  <w:vAlign w:val="center"/>
                </w:tcPr>
                <w:p w14:paraId="7B3D7E81">
                  <w:pPr>
                    <w:pStyle w:val="73"/>
                  </w:pPr>
                  <w:r>
                    <w:t>日最大8小时平均第90百分位</w:t>
                  </w:r>
                  <w:r>
                    <w:rPr>
                      <w:rFonts w:hint="eastAsia"/>
                    </w:rPr>
                    <w:t>浓度</w:t>
                  </w:r>
                </w:p>
              </w:tc>
              <w:tc>
                <w:tcPr>
                  <w:tcW w:w="687" w:type="pct"/>
                  <w:vAlign w:val="center"/>
                </w:tcPr>
                <w:p w14:paraId="2AD14C90">
                  <w:pPr>
                    <w:pStyle w:val="73"/>
                  </w:pPr>
                  <w:r>
                    <w:rPr>
                      <w:rFonts w:hint="eastAsia"/>
                    </w:rPr>
                    <w:t>183</w:t>
                  </w:r>
                </w:p>
              </w:tc>
              <w:tc>
                <w:tcPr>
                  <w:tcW w:w="777" w:type="pct"/>
                  <w:vAlign w:val="center"/>
                </w:tcPr>
                <w:p w14:paraId="4778D899">
                  <w:pPr>
                    <w:pStyle w:val="73"/>
                  </w:pPr>
                  <w:r>
                    <w:t>160</w:t>
                  </w:r>
                </w:p>
              </w:tc>
              <w:tc>
                <w:tcPr>
                  <w:tcW w:w="914" w:type="pct"/>
                  <w:vAlign w:val="center"/>
                </w:tcPr>
                <w:p w14:paraId="294FE276">
                  <w:pPr>
                    <w:pStyle w:val="73"/>
                  </w:pPr>
                  <w:r>
                    <w:rPr>
                      <w:rFonts w:hint="eastAsia"/>
                    </w:rPr>
                    <w:t>114.4</w:t>
                  </w:r>
                </w:p>
              </w:tc>
              <w:tc>
                <w:tcPr>
                  <w:tcW w:w="527" w:type="pct"/>
                  <w:vAlign w:val="center"/>
                </w:tcPr>
                <w:p w14:paraId="27F2B683">
                  <w:pPr>
                    <w:pStyle w:val="73"/>
                  </w:pPr>
                  <w:r>
                    <w:rPr>
                      <w:rFonts w:hint="eastAsia"/>
                    </w:rPr>
                    <w:t>不达标</w:t>
                  </w:r>
                </w:p>
              </w:tc>
            </w:tr>
            <w:tr w14:paraId="23DE30C4">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660" w:type="pct"/>
                  <w:vAlign w:val="center"/>
                </w:tcPr>
                <w:p w14:paraId="73354AC8">
                  <w:pPr>
                    <w:pStyle w:val="73"/>
                  </w:pPr>
                  <w:r>
                    <w:t>CO</w:t>
                  </w:r>
                </w:p>
              </w:tc>
              <w:tc>
                <w:tcPr>
                  <w:tcW w:w="1435" w:type="pct"/>
                  <w:vAlign w:val="center"/>
                </w:tcPr>
                <w:p w14:paraId="08306422">
                  <w:pPr>
                    <w:pStyle w:val="73"/>
                  </w:pPr>
                  <w:r>
                    <w:rPr>
                      <w:rFonts w:hint="eastAsia"/>
                    </w:rPr>
                    <w:t>日均值第</w:t>
                  </w:r>
                  <w:r>
                    <w:t>95百分位浓度</w:t>
                  </w:r>
                </w:p>
              </w:tc>
              <w:tc>
                <w:tcPr>
                  <w:tcW w:w="687" w:type="pct"/>
                  <w:vAlign w:val="center"/>
                </w:tcPr>
                <w:p w14:paraId="1116FCA0">
                  <w:pPr>
                    <w:pStyle w:val="73"/>
                  </w:pPr>
                  <w:r>
                    <w:rPr>
                      <w:rFonts w:hint="eastAsia"/>
                    </w:rPr>
                    <w:t>1800</w:t>
                  </w:r>
                </w:p>
              </w:tc>
              <w:tc>
                <w:tcPr>
                  <w:tcW w:w="777" w:type="pct"/>
                  <w:vAlign w:val="center"/>
                </w:tcPr>
                <w:p w14:paraId="6C0ABB22">
                  <w:pPr>
                    <w:pStyle w:val="73"/>
                  </w:pPr>
                  <w:r>
                    <w:t>4</w:t>
                  </w:r>
                  <w:r>
                    <w:rPr>
                      <w:rFonts w:hint="eastAsia"/>
                    </w:rPr>
                    <w:t>000</w:t>
                  </w:r>
                </w:p>
              </w:tc>
              <w:tc>
                <w:tcPr>
                  <w:tcW w:w="914" w:type="pct"/>
                  <w:vAlign w:val="center"/>
                </w:tcPr>
                <w:p w14:paraId="3F336631">
                  <w:pPr>
                    <w:pStyle w:val="73"/>
                  </w:pPr>
                  <w:r>
                    <w:rPr>
                      <w:rFonts w:hint="eastAsia"/>
                    </w:rPr>
                    <w:t>45.0</w:t>
                  </w:r>
                </w:p>
              </w:tc>
              <w:tc>
                <w:tcPr>
                  <w:tcW w:w="527" w:type="pct"/>
                  <w:vAlign w:val="center"/>
                </w:tcPr>
                <w:p w14:paraId="2B089202">
                  <w:pPr>
                    <w:pStyle w:val="73"/>
                  </w:pPr>
                  <w:r>
                    <w:rPr>
                      <w:rFonts w:hint="eastAsia"/>
                    </w:rPr>
                    <w:t>达标</w:t>
                  </w:r>
                </w:p>
              </w:tc>
            </w:tr>
          </w:tbl>
          <w:p w14:paraId="5AF6D33F">
            <w:pPr>
              <w:adjustRightInd w:val="0"/>
              <w:snapToGrid w:val="0"/>
              <w:spacing w:line="480" w:lineRule="exact"/>
              <w:ind w:firstLine="480" w:firstLineChars="200"/>
              <w:rPr>
                <w:rFonts w:cs="宋体"/>
                <w:color w:val="000000"/>
                <w:kern w:val="0"/>
                <w:szCs w:val="21"/>
              </w:rPr>
            </w:pPr>
            <w:r>
              <w:rPr>
                <w:color w:val="000000"/>
              </w:rPr>
              <w:t>由上表分析可知，</w:t>
            </w:r>
            <w:r>
              <w:rPr>
                <w:rFonts w:hint="eastAsia"/>
                <w:color w:val="000000"/>
              </w:rPr>
              <w:t>项目所在区域SO</w:t>
            </w:r>
            <w:r>
              <w:rPr>
                <w:rFonts w:hint="eastAsia"/>
                <w:color w:val="000000"/>
                <w:vertAlign w:val="subscript"/>
              </w:rPr>
              <w:t>2</w:t>
            </w:r>
            <w:r>
              <w:rPr>
                <w:rFonts w:hint="eastAsia"/>
                <w:color w:val="000000"/>
              </w:rPr>
              <w:t>、NO</w:t>
            </w:r>
            <w:r>
              <w:rPr>
                <w:rFonts w:hint="eastAsia"/>
                <w:color w:val="000000"/>
                <w:vertAlign w:val="subscript"/>
              </w:rPr>
              <w:t>2</w:t>
            </w:r>
            <w:r>
              <w:rPr>
                <w:rFonts w:hint="eastAsia"/>
                <w:color w:val="000000"/>
              </w:rPr>
              <w:t>、</w:t>
            </w:r>
            <w:r>
              <w:t>PM</w:t>
            </w:r>
            <w:r>
              <w:rPr>
                <w:rFonts w:hint="eastAsia"/>
                <w:vertAlign w:val="subscript"/>
              </w:rPr>
              <w:t>2.5</w:t>
            </w:r>
            <w:r>
              <w:rPr>
                <w:rFonts w:hint="eastAsia"/>
                <w:color w:val="000000"/>
              </w:rPr>
              <w:t>年均质量浓度、CO日均值第95百分位浓度满足《环境空气质量标准》（GB3095-2012）中二级标准要求，PM</w:t>
            </w:r>
            <w:r>
              <w:rPr>
                <w:rFonts w:hint="eastAsia"/>
                <w:color w:val="000000"/>
                <w:vertAlign w:val="subscript"/>
              </w:rPr>
              <w:t>10</w:t>
            </w:r>
            <w:r>
              <w:rPr>
                <w:rFonts w:hint="eastAsia"/>
                <w:color w:val="000000"/>
              </w:rPr>
              <w:t>年均质量浓度、O</w:t>
            </w:r>
            <w:r>
              <w:rPr>
                <w:color w:val="000000"/>
                <w:vertAlign w:val="subscript"/>
              </w:rPr>
              <w:t>3</w:t>
            </w:r>
            <w:r>
              <w:rPr>
                <w:rFonts w:hint="eastAsia"/>
                <w:color w:val="000000"/>
              </w:rPr>
              <w:t>日最大8小时平均第90百分位浓度超标。</w:t>
            </w:r>
          </w:p>
          <w:p w14:paraId="43BCF690">
            <w:pPr>
              <w:adjustRightInd w:val="0"/>
              <w:snapToGrid w:val="0"/>
              <w:spacing w:line="480" w:lineRule="exact"/>
              <w:ind w:firstLine="482" w:firstLineChars="200"/>
              <w:rPr>
                <w:rFonts w:cs="宋体"/>
                <w:b/>
                <w:bCs/>
                <w:color w:val="000000"/>
                <w:kern w:val="0"/>
                <w:szCs w:val="21"/>
              </w:rPr>
            </w:pPr>
            <w:r>
              <w:rPr>
                <w:rFonts w:hint="eastAsia" w:cs="宋体"/>
                <w:b/>
                <w:bCs/>
                <w:color w:val="000000"/>
                <w:kern w:val="0"/>
                <w:szCs w:val="21"/>
              </w:rPr>
              <w:t>2、声环境</w:t>
            </w:r>
          </w:p>
          <w:p w14:paraId="16A20A87">
            <w:pPr>
              <w:adjustRightInd w:val="0"/>
              <w:snapToGrid w:val="0"/>
              <w:spacing w:line="480" w:lineRule="exact"/>
              <w:ind w:firstLine="480" w:firstLineChars="200"/>
              <w:rPr>
                <w:rFonts w:cs="宋体"/>
                <w:color w:val="000000"/>
                <w:kern w:val="0"/>
                <w:szCs w:val="21"/>
              </w:rPr>
            </w:pPr>
            <w:r>
              <w:rPr>
                <w:rFonts w:hint="eastAsia" w:cs="宋体"/>
                <w:color w:val="000000"/>
                <w:kern w:val="0"/>
                <w:szCs w:val="21"/>
              </w:rPr>
              <w:t>本项目厂界外5</w:t>
            </w:r>
            <w:r>
              <w:rPr>
                <w:rFonts w:cs="宋体"/>
                <w:color w:val="000000"/>
                <w:kern w:val="0"/>
                <w:szCs w:val="21"/>
              </w:rPr>
              <w:t>0</w:t>
            </w:r>
            <w:r>
              <w:rPr>
                <w:rFonts w:hint="eastAsia" w:cs="宋体"/>
                <w:color w:val="000000"/>
                <w:kern w:val="0"/>
                <w:szCs w:val="21"/>
              </w:rPr>
              <w:t>m范围内无声环境保护目标。</w:t>
            </w:r>
          </w:p>
          <w:p w14:paraId="550E7AEB">
            <w:pPr>
              <w:adjustRightInd w:val="0"/>
              <w:snapToGrid w:val="0"/>
              <w:spacing w:line="480" w:lineRule="exact"/>
              <w:ind w:firstLine="482" w:firstLineChars="200"/>
              <w:rPr>
                <w:rFonts w:cs="宋体"/>
                <w:b/>
                <w:bCs/>
                <w:color w:val="000000"/>
                <w:kern w:val="0"/>
                <w:szCs w:val="21"/>
              </w:rPr>
            </w:pPr>
            <w:r>
              <w:rPr>
                <w:rFonts w:hint="eastAsia" w:cs="宋体"/>
                <w:b/>
                <w:bCs/>
                <w:color w:val="000000"/>
                <w:kern w:val="0"/>
                <w:szCs w:val="21"/>
              </w:rPr>
              <w:t>3、地表水环境</w:t>
            </w:r>
          </w:p>
          <w:p w14:paraId="6E57C9C4">
            <w:pPr>
              <w:adjustRightInd w:val="0"/>
              <w:snapToGrid w:val="0"/>
              <w:spacing w:line="480" w:lineRule="exact"/>
              <w:ind w:firstLine="480" w:firstLineChars="200"/>
              <w:rPr>
                <w:rFonts w:cs="宋体"/>
                <w:color w:val="000000"/>
                <w:kern w:val="0"/>
                <w:szCs w:val="21"/>
              </w:rPr>
            </w:pPr>
            <w:r>
              <w:rPr>
                <w:rFonts w:hint="eastAsia" w:cs="宋体"/>
                <w:color w:val="000000"/>
                <w:kern w:val="0"/>
                <w:szCs w:val="21"/>
              </w:rPr>
              <w:t>厂区废水不外排，不涉及。</w:t>
            </w:r>
          </w:p>
          <w:p w14:paraId="02B0D7EA">
            <w:pPr>
              <w:adjustRightInd w:val="0"/>
              <w:snapToGrid w:val="0"/>
              <w:spacing w:line="480" w:lineRule="exact"/>
              <w:ind w:firstLine="482" w:firstLineChars="200"/>
              <w:rPr>
                <w:rFonts w:cs="宋体"/>
                <w:b/>
                <w:bCs/>
                <w:color w:val="000000"/>
                <w:kern w:val="0"/>
                <w:szCs w:val="21"/>
              </w:rPr>
            </w:pPr>
            <w:r>
              <w:rPr>
                <w:rFonts w:hint="eastAsia" w:cs="宋体"/>
                <w:b/>
                <w:bCs/>
                <w:color w:val="000000"/>
                <w:kern w:val="0"/>
                <w:szCs w:val="21"/>
              </w:rPr>
              <w:t>4、生态环境</w:t>
            </w:r>
          </w:p>
          <w:p w14:paraId="1E1B11E4">
            <w:pPr>
              <w:adjustRightInd w:val="0"/>
              <w:snapToGrid w:val="0"/>
              <w:spacing w:line="480" w:lineRule="exact"/>
              <w:ind w:firstLine="480" w:firstLineChars="200"/>
              <w:rPr>
                <w:rFonts w:cs="宋体"/>
                <w:color w:val="000000"/>
                <w:kern w:val="0"/>
                <w:szCs w:val="21"/>
              </w:rPr>
            </w:pPr>
            <w:r>
              <w:rPr>
                <w:rFonts w:hint="eastAsia" w:cs="宋体"/>
                <w:color w:val="000000"/>
                <w:kern w:val="0"/>
                <w:szCs w:val="21"/>
              </w:rPr>
              <w:t>本项目位于中小企业园区文丰新材料现有厂区内，不新增占地，不涉及。</w:t>
            </w:r>
          </w:p>
          <w:p w14:paraId="7AE8D1D0">
            <w:pPr>
              <w:adjustRightInd w:val="0"/>
              <w:snapToGrid w:val="0"/>
              <w:spacing w:line="480" w:lineRule="exact"/>
              <w:ind w:firstLine="482" w:firstLineChars="200"/>
              <w:rPr>
                <w:rFonts w:cs="宋体"/>
                <w:b/>
                <w:bCs/>
                <w:color w:val="000000"/>
                <w:kern w:val="0"/>
                <w:szCs w:val="21"/>
              </w:rPr>
            </w:pPr>
            <w:r>
              <w:rPr>
                <w:rFonts w:hint="eastAsia" w:cs="宋体"/>
                <w:b/>
                <w:bCs/>
                <w:color w:val="000000"/>
                <w:kern w:val="0"/>
                <w:szCs w:val="21"/>
              </w:rPr>
              <w:t>5、地下水、土壤环境</w:t>
            </w:r>
          </w:p>
          <w:p w14:paraId="3C4140E1">
            <w:pPr>
              <w:adjustRightInd w:val="0"/>
              <w:snapToGrid w:val="0"/>
              <w:spacing w:line="480" w:lineRule="exact"/>
              <w:ind w:firstLine="480" w:firstLineChars="200"/>
              <w:rPr>
                <w:rFonts w:cs="宋体"/>
                <w:color w:val="000000"/>
                <w:kern w:val="0"/>
                <w:szCs w:val="21"/>
              </w:rPr>
            </w:pPr>
            <w:r>
              <w:rPr>
                <w:rFonts w:hint="eastAsia" w:cs="宋体"/>
                <w:color w:val="000000"/>
                <w:kern w:val="0"/>
                <w:szCs w:val="21"/>
              </w:rPr>
              <w:t>本项目建设危废库采取严格的防腐防渗措施，不存在地下水及土壤环境污染途径。</w:t>
            </w:r>
          </w:p>
          <w:p w14:paraId="4A5CEF39">
            <w:pPr>
              <w:adjustRightInd w:val="0"/>
              <w:snapToGrid w:val="0"/>
              <w:spacing w:line="480" w:lineRule="exact"/>
              <w:ind w:firstLine="482" w:firstLineChars="200"/>
              <w:rPr>
                <w:rFonts w:cs="宋体"/>
                <w:b/>
                <w:bCs/>
                <w:color w:val="000000"/>
                <w:kern w:val="0"/>
                <w:szCs w:val="21"/>
              </w:rPr>
            </w:pPr>
            <w:r>
              <w:rPr>
                <w:rFonts w:hint="eastAsia" w:cs="宋体"/>
                <w:b/>
                <w:bCs/>
                <w:color w:val="000000"/>
                <w:kern w:val="0"/>
                <w:szCs w:val="21"/>
              </w:rPr>
              <w:t>6、电磁辐射</w:t>
            </w:r>
          </w:p>
          <w:p w14:paraId="158D28B3">
            <w:pPr>
              <w:adjustRightInd w:val="0"/>
              <w:snapToGrid w:val="0"/>
              <w:spacing w:line="480" w:lineRule="exact"/>
              <w:ind w:firstLine="480" w:firstLineChars="200"/>
              <w:rPr>
                <w:rFonts w:cs="宋体"/>
                <w:color w:val="000000"/>
                <w:kern w:val="0"/>
                <w:szCs w:val="21"/>
              </w:rPr>
            </w:pPr>
            <w:r>
              <w:rPr>
                <w:rFonts w:hint="eastAsia" w:cs="宋体"/>
                <w:color w:val="000000"/>
                <w:kern w:val="0"/>
                <w:szCs w:val="21"/>
              </w:rPr>
              <w:t>不涉及。</w:t>
            </w:r>
          </w:p>
        </w:tc>
      </w:tr>
      <w:tr w14:paraId="1A5D24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800" w:type="dxa"/>
            <w:vAlign w:val="center"/>
          </w:tcPr>
          <w:p w14:paraId="2A6A8528">
            <w:pPr>
              <w:adjustRightInd w:val="0"/>
              <w:snapToGrid w:val="0"/>
              <w:jc w:val="center"/>
              <w:rPr>
                <w:rFonts w:ascii="宋体" w:hAnsi="宋体" w:cs="宋体"/>
                <w:color w:val="000000"/>
                <w:kern w:val="0"/>
                <w:szCs w:val="21"/>
              </w:rPr>
            </w:pPr>
            <w:r>
              <w:rPr>
                <w:rFonts w:hint="eastAsia" w:ascii="宋体" w:hAnsi="宋体" w:cs="宋体"/>
                <w:color w:val="000000"/>
                <w:kern w:val="0"/>
                <w:szCs w:val="21"/>
              </w:rPr>
              <w:t>环境保护目标</w:t>
            </w:r>
          </w:p>
        </w:tc>
        <w:tc>
          <w:tcPr>
            <w:tcW w:w="8190" w:type="dxa"/>
          </w:tcPr>
          <w:p w14:paraId="377E5716">
            <w:pPr>
              <w:adjustRightInd w:val="0"/>
              <w:snapToGrid w:val="0"/>
              <w:spacing w:line="480" w:lineRule="exact"/>
              <w:ind w:firstLine="480" w:firstLineChars="200"/>
              <w:rPr>
                <w:rFonts w:cs="宋体"/>
                <w:color w:val="000000"/>
                <w:kern w:val="0"/>
                <w:szCs w:val="21"/>
              </w:rPr>
            </w:pPr>
            <w:r>
              <w:rPr>
                <w:rFonts w:hint="eastAsia" w:cs="宋体"/>
                <w:color w:val="000000"/>
                <w:kern w:val="0"/>
                <w:szCs w:val="21"/>
              </w:rPr>
              <w:t>本项目所在厂区厂界外500米范围内没有自然保护区、风景名胜区、居住区、文化区和农村地区中人群较集中的区域等大气环境保护目标；厂界外50米范围内没有声环境保护目标；厂界外500米范围内没有地下水集中式饮用水水源和热水、矿泉水、温泉等特殊地下水资源。</w:t>
            </w:r>
          </w:p>
        </w:tc>
      </w:tr>
      <w:tr w14:paraId="041BBF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800" w:type="dxa"/>
            <w:tcMar>
              <w:left w:w="28" w:type="dxa"/>
              <w:right w:w="28" w:type="dxa"/>
            </w:tcMar>
            <w:vAlign w:val="center"/>
          </w:tcPr>
          <w:p w14:paraId="3A301D48">
            <w:pPr>
              <w:adjustRightInd w:val="0"/>
              <w:snapToGrid w:val="0"/>
              <w:jc w:val="center"/>
              <w:rPr>
                <w:rFonts w:ascii="宋体" w:hAnsi="宋体" w:cs="宋体"/>
                <w:color w:val="000000"/>
                <w:kern w:val="0"/>
                <w:szCs w:val="21"/>
              </w:rPr>
            </w:pPr>
            <w:r>
              <w:rPr>
                <w:rFonts w:hint="eastAsia" w:ascii="宋体" w:hAnsi="宋体" w:cs="宋体"/>
                <w:color w:val="000000"/>
                <w:kern w:val="0"/>
                <w:szCs w:val="21"/>
              </w:rPr>
              <w:t>污染物排放控制标准</w:t>
            </w:r>
          </w:p>
        </w:tc>
        <w:tc>
          <w:tcPr>
            <w:tcW w:w="8190" w:type="dxa"/>
          </w:tcPr>
          <w:p w14:paraId="4846B74F">
            <w:pPr>
              <w:adjustRightInd w:val="0"/>
              <w:snapToGrid w:val="0"/>
              <w:spacing w:line="480" w:lineRule="exact"/>
              <w:ind w:firstLine="482" w:firstLineChars="200"/>
              <w:rPr>
                <w:rFonts w:cs="宋体"/>
                <w:b/>
                <w:bCs/>
                <w:color w:val="000000"/>
                <w:kern w:val="0"/>
                <w:szCs w:val="21"/>
              </w:rPr>
            </w:pPr>
            <w:r>
              <w:rPr>
                <w:rFonts w:hint="eastAsia" w:cs="宋体"/>
                <w:b/>
                <w:bCs/>
                <w:color w:val="000000"/>
                <w:kern w:val="0"/>
                <w:szCs w:val="21"/>
              </w:rPr>
              <w:t>1、废气</w:t>
            </w:r>
          </w:p>
          <w:p w14:paraId="725884E3">
            <w:pPr>
              <w:adjustRightInd w:val="0"/>
              <w:snapToGrid w:val="0"/>
              <w:spacing w:line="480" w:lineRule="exact"/>
              <w:ind w:firstLine="480" w:firstLineChars="200"/>
              <w:rPr>
                <w:rFonts w:cs="宋体"/>
                <w:color w:val="000000"/>
                <w:kern w:val="0"/>
                <w:szCs w:val="21"/>
              </w:rPr>
            </w:pPr>
            <w:r>
              <w:rPr>
                <w:rFonts w:hint="eastAsia" w:cs="宋体"/>
                <w:color w:val="000000"/>
                <w:kern w:val="0"/>
                <w:szCs w:val="21"/>
              </w:rPr>
              <w:t>（1）施工期废气执行河北省地方标准《施工场地扬尘排放标准》（DB13/2934-2019）表1浓度限值要求，具体见下表。</w:t>
            </w:r>
          </w:p>
          <w:p w14:paraId="72835EE1">
            <w:pPr>
              <w:autoSpaceDE w:val="0"/>
              <w:autoSpaceDN w:val="0"/>
              <w:adjustRightInd w:val="0"/>
              <w:snapToGrid w:val="0"/>
              <w:spacing w:line="480" w:lineRule="exact"/>
              <w:ind w:firstLine="480"/>
              <w:jc w:val="center"/>
              <w:rPr>
                <w:rFonts w:eastAsia="黑体" w:cs="宋体"/>
                <w:color w:val="000000"/>
                <w:kern w:val="0"/>
                <w:szCs w:val="21"/>
              </w:rPr>
            </w:pPr>
            <w:r>
              <w:rPr>
                <w:rFonts w:hint="eastAsia" w:eastAsia="黑体" w:cs="宋体"/>
                <w:color w:val="000000"/>
                <w:kern w:val="0"/>
                <w:szCs w:val="21"/>
              </w:rPr>
              <w:t>表</w:t>
            </w:r>
            <w:r>
              <w:rPr>
                <w:rFonts w:eastAsia="黑体" w:cs="宋体"/>
                <w:color w:val="000000"/>
                <w:kern w:val="0"/>
                <w:szCs w:val="21"/>
              </w:rPr>
              <w:t xml:space="preserve">3.4  </w:t>
            </w:r>
            <w:r>
              <w:rPr>
                <w:rFonts w:hint="eastAsia" w:eastAsia="黑体" w:cs="宋体"/>
                <w:color w:val="000000"/>
                <w:kern w:val="0"/>
                <w:szCs w:val="21"/>
              </w:rPr>
              <w:t>施工期废气污染物排放标准一览表</w:t>
            </w:r>
          </w:p>
          <w:tbl>
            <w:tblPr>
              <w:tblStyle w:val="28"/>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2314"/>
              <w:gridCol w:w="3123"/>
              <w:gridCol w:w="2537"/>
            </w:tblGrid>
            <w:tr w14:paraId="3B2872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40" w:hRule="atLeast"/>
                <w:jc w:val="center"/>
              </w:trPr>
              <w:tc>
                <w:tcPr>
                  <w:tcW w:w="1451" w:type="pct"/>
                  <w:vAlign w:val="center"/>
                </w:tcPr>
                <w:p w14:paraId="08CEDE34">
                  <w:pPr>
                    <w:wordWrap w:val="0"/>
                    <w:adjustRightInd w:val="0"/>
                    <w:snapToGrid w:val="0"/>
                    <w:ind w:firstLine="420"/>
                    <w:jc w:val="center"/>
                    <w:rPr>
                      <w:rFonts w:eastAsia="黑体"/>
                      <w:color w:val="000000"/>
                      <w:sz w:val="21"/>
                      <w:szCs w:val="21"/>
                    </w:rPr>
                  </w:pPr>
                  <w:r>
                    <w:rPr>
                      <w:rFonts w:eastAsia="黑体"/>
                      <w:color w:val="000000"/>
                      <w:sz w:val="21"/>
                      <w:szCs w:val="21"/>
                    </w:rPr>
                    <w:t>控制项目</w:t>
                  </w:r>
                </w:p>
              </w:tc>
              <w:tc>
                <w:tcPr>
                  <w:tcW w:w="1958" w:type="pct"/>
                  <w:vAlign w:val="center"/>
                </w:tcPr>
                <w:p w14:paraId="690C8FFA">
                  <w:pPr>
                    <w:wordWrap w:val="0"/>
                    <w:adjustRightInd w:val="0"/>
                    <w:snapToGrid w:val="0"/>
                    <w:ind w:firstLine="420"/>
                    <w:jc w:val="center"/>
                    <w:rPr>
                      <w:rFonts w:eastAsia="黑体"/>
                      <w:color w:val="000000"/>
                      <w:sz w:val="21"/>
                      <w:szCs w:val="21"/>
                    </w:rPr>
                  </w:pPr>
                  <w:r>
                    <w:rPr>
                      <w:rFonts w:eastAsia="黑体"/>
                      <w:color w:val="000000"/>
                      <w:sz w:val="21"/>
                      <w:szCs w:val="21"/>
                    </w:rPr>
                    <w:t>监测点浓度限值*（</w:t>
                  </w:r>
                  <w:r>
                    <w:rPr>
                      <w:rFonts w:eastAsia="黑体"/>
                      <w:color w:val="000000"/>
                      <w:kern w:val="0"/>
                      <w:sz w:val="21"/>
                      <w:szCs w:val="21"/>
                    </w:rPr>
                    <w:t>μg/m</w:t>
                  </w:r>
                  <w:r>
                    <w:rPr>
                      <w:rFonts w:eastAsia="黑体"/>
                      <w:color w:val="000000"/>
                      <w:kern w:val="0"/>
                      <w:sz w:val="21"/>
                      <w:szCs w:val="21"/>
                      <w:vertAlign w:val="superscript"/>
                    </w:rPr>
                    <w:t>3</w:t>
                  </w:r>
                  <w:r>
                    <w:rPr>
                      <w:rFonts w:eastAsia="黑体"/>
                      <w:color w:val="000000"/>
                      <w:sz w:val="21"/>
                      <w:szCs w:val="21"/>
                    </w:rPr>
                    <w:t>）</w:t>
                  </w:r>
                </w:p>
              </w:tc>
              <w:tc>
                <w:tcPr>
                  <w:tcW w:w="1591" w:type="pct"/>
                  <w:vAlign w:val="center"/>
                </w:tcPr>
                <w:p w14:paraId="264C16B9">
                  <w:pPr>
                    <w:wordWrap w:val="0"/>
                    <w:adjustRightInd w:val="0"/>
                    <w:snapToGrid w:val="0"/>
                    <w:ind w:firstLine="420"/>
                    <w:jc w:val="center"/>
                    <w:rPr>
                      <w:rFonts w:eastAsia="黑体"/>
                      <w:color w:val="000000"/>
                      <w:sz w:val="21"/>
                      <w:szCs w:val="21"/>
                    </w:rPr>
                  </w:pPr>
                  <w:r>
                    <w:rPr>
                      <w:rFonts w:eastAsia="黑体"/>
                      <w:color w:val="000000"/>
                      <w:sz w:val="21"/>
                      <w:szCs w:val="21"/>
                    </w:rPr>
                    <w:t>达标判定依据（次/天）</w:t>
                  </w:r>
                </w:p>
              </w:tc>
            </w:tr>
            <w:tr w14:paraId="69065D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51" w:type="pct"/>
                  <w:vAlign w:val="center"/>
                </w:tcPr>
                <w:p w14:paraId="594E3A0B">
                  <w:pPr>
                    <w:wordWrap w:val="0"/>
                    <w:adjustRightInd w:val="0"/>
                    <w:snapToGrid w:val="0"/>
                    <w:ind w:firstLine="420"/>
                    <w:jc w:val="center"/>
                    <w:rPr>
                      <w:rFonts w:eastAsia="黑体"/>
                      <w:color w:val="000000"/>
                      <w:sz w:val="21"/>
                      <w:szCs w:val="21"/>
                    </w:rPr>
                  </w:pPr>
                  <w:r>
                    <w:rPr>
                      <w:rFonts w:eastAsia="黑体"/>
                      <w:color w:val="000000"/>
                      <w:sz w:val="21"/>
                      <w:szCs w:val="21"/>
                    </w:rPr>
                    <w:t>PM</w:t>
                  </w:r>
                  <w:r>
                    <w:rPr>
                      <w:rFonts w:eastAsia="黑体"/>
                      <w:color w:val="000000"/>
                      <w:sz w:val="21"/>
                      <w:szCs w:val="21"/>
                      <w:vertAlign w:val="subscript"/>
                    </w:rPr>
                    <w:t>10</w:t>
                  </w:r>
                </w:p>
              </w:tc>
              <w:tc>
                <w:tcPr>
                  <w:tcW w:w="1958" w:type="pct"/>
                  <w:vAlign w:val="center"/>
                </w:tcPr>
                <w:p w14:paraId="6E070DB9">
                  <w:pPr>
                    <w:wordWrap w:val="0"/>
                    <w:adjustRightInd w:val="0"/>
                    <w:snapToGrid w:val="0"/>
                    <w:ind w:firstLine="420"/>
                    <w:jc w:val="center"/>
                    <w:rPr>
                      <w:rFonts w:eastAsia="黑体"/>
                      <w:color w:val="000000"/>
                      <w:sz w:val="21"/>
                      <w:szCs w:val="21"/>
                    </w:rPr>
                  </w:pPr>
                  <w:r>
                    <w:rPr>
                      <w:rFonts w:eastAsia="黑体"/>
                      <w:color w:val="000000"/>
                      <w:sz w:val="21"/>
                      <w:szCs w:val="21"/>
                    </w:rPr>
                    <w:t>80</w:t>
                  </w:r>
                </w:p>
              </w:tc>
              <w:tc>
                <w:tcPr>
                  <w:tcW w:w="1591" w:type="pct"/>
                  <w:vAlign w:val="center"/>
                </w:tcPr>
                <w:p w14:paraId="7311B817">
                  <w:pPr>
                    <w:wordWrap w:val="0"/>
                    <w:adjustRightInd w:val="0"/>
                    <w:snapToGrid w:val="0"/>
                    <w:ind w:firstLine="420"/>
                    <w:jc w:val="center"/>
                    <w:rPr>
                      <w:rFonts w:eastAsia="黑体"/>
                      <w:color w:val="000000"/>
                      <w:sz w:val="21"/>
                      <w:szCs w:val="21"/>
                    </w:rPr>
                  </w:pPr>
                  <w:r>
                    <w:rPr>
                      <w:rFonts w:eastAsia="黑体"/>
                      <w:color w:val="000000"/>
                      <w:sz w:val="21"/>
                      <w:szCs w:val="21"/>
                    </w:rPr>
                    <w:t>≤2</w:t>
                  </w:r>
                </w:p>
              </w:tc>
            </w:tr>
            <w:tr w14:paraId="549ABF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00" w:type="pct"/>
                  <w:gridSpan w:val="3"/>
                  <w:vAlign w:val="center"/>
                </w:tcPr>
                <w:p w14:paraId="2BF7CF13">
                  <w:pPr>
                    <w:wordWrap w:val="0"/>
                    <w:adjustRightInd w:val="0"/>
                    <w:snapToGrid w:val="0"/>
                    <w:ind w:firstLine="420"/>
                    <w:jc w:val="center"/>
                    <w:rPr>
                      <w:rFonts w:eastAsia="黑体"/>
                      <w:color w:val="000000"/>
                      <w:sz w:val="21"/>
                      <w:szCs w:val="21"/>
                    </w:rPr>
                  </w:pPr>
                  <w:r>
                    <w:rPr>
                      <w:rFonts w:eastAsia="黑体"/>
                      <w:color w:val="000000"/>
                      <w:sz w:val="21"/>
                      <w:szCs w:val="21"/>
                    </w:rPr>
                    <w:t>*指监测点PM</w:t>
                  </w:r>
                  <w:r>
                    <w:rPr>
                      <w:rFonts w:eastAsia="黑体"/>
                      <w:color w:val="000000"/>
                      <w:sz w:val="21"/>
                      <w:szCs w:val="21"/>
                      <w:vertAlign w:val="subscript"/>
                    </w:rPr>
                    <w:t>10</w:t>
                  </w:r>
                  <w:r>
                    <w:rPr>
                      <w:rFonts w:eastAsia="黑体"/>
                      <w:color w:val="000000"/>
                      <w:sz w:val="21"/>
                      <w:szCs w:val="21"/>
                    </w:rPr>
                    <w:t>小时平均浓度实测值与同时段所属县（市、区）PM</w:t>
                  </w:r>
                  <w:r>
                    <w:rPr>
                      <w:rFonts w:eastAsia="黑体"/>
                      <w:color w:val="000000"/>
                      <w:sz w:val="21"/>
                      <w:szCs w:val="21"/>
                      <w:vertAlign w:val="subscript"/>
                    </w:rPr>
                    <w:t>10</w:t>
                  </w:r>
                  <w:r>
                    <w:rPr>
                      <w:rFonts w:eastAsia="黑体"/>
                      <w:color w:val="000000"/>
                      <w:sz w:val="21"/>
                      <w:szCs w:val="21"/>
                    </w:rPr>
                    <w:t>小时平均浓度的差值。当县（市、区）PM</w:t>
                  </w:r>
                  <w:r>
                    <w:rPr>
                      <w:rFonts w:eastAsia="黑体"/>
                      <w:color w:val="000000"/>
                      <w:sz w:val="21"/>
                      <w:szCs w:val="21"/>
                      <w:vertAlign w:val="subscript"/>
                    </w:rPr>
                    <w:t>10</w:t>
                  </w:r>
                  <w:r>
                    <w:rPr>
                      <w:rFonts w:eastAsia="黑体"/>
                      <w:color w:val="000000"/>
                      <w:sz w:val="21"/>
                      <w:szCs w:val="21"/>
                    </w:rPr>
                    <w:t>小时平均浓度大于150</w:t>
                  </w:r>
                  <w:r>
                    <w:rPr>
                      <w:rFonts w:eastAsia="黑体"/>
                      <w:color w:val="000000"/>
                      <w:kern w:val="0"/>
                      <w:sz w:val="21"/>
                      <w:szCs w:val="21"/>
                    </w:rPr>
                    <w:t>μg/m</w:t>
                  </w:r>
                  <w:r>
                    <w:rPr>
                      <w:rFonts w:eastAsia="黑体"/>
                      <w:color w:val="000000"/>
                      <w:kern w:val="0"/>
                      <w:sz w:val="21"/>
                      <w:szCs w:val="21"/>
                      <w:vertAlign w:val="superscript"/>
                    </w:rPr>
                    <w:t>3</w:t>
                  </w:r>
                  <w:r>
                    <w:rPr>
                      <w:rFonts w:eastAsia="黑体"/>
                      <w:color w:val="000000"/>
                      <w:sz w:val="21"/>
                      <w:szCs w:val="21"/>
                    </w:rPr>
                    <w:t>时，以150</w:t>
                  </w:r>
                  <w:r>
                    <w:rPr>
                      <w:rFonts w:eastAsia="黑体"/>
                      <w:color w:val="000000"/>
                      <w:kern w:val="0"/>
                      <w:sz w:val="21"/>
                      <w:szCs w:val="21"/>
                    </w:rPr>
                    <w:t>μg/m</w:t>
                  </w:r>
                  <w:r>
                    <w:rPr>
                      <w:rFonts w:eastAsia="黑体"/>
                      <w:color w:val="000000"/>
                      <w:kern w:val="0"/>
                      <w:sz w:val="21"/>
                      <w:szCs w:val="21"/>
                      <w:vertAlign w:val="superscript"/>
                    </w:rPr>
                    <w:t>3</w:t>
                  </w:r>
                  <w:r>
                    <w:rPr>
                      <w:rFonts w:eastAsia="黑体"/>
                      <w:color w:val="000000"/>
                      <w:sz w:val="21"/>
                      <w:szCs w:val="21"/>
                    </w:rPr>
                    <w:t>计</w:t>
                  </w:r>
                </w:p>
              </w:tc>
            </w:tr>
          </w:tbl>
          <w:p w14:paraId="0B80036A">
            <w:pPr>
              <w:adjustRightInd w:val="0"/>
              <w:snapToGrid w:val="0"/>
              <w:spacing w:line="480" w:lineRule="exact"/>
              <w:ind w:firstLine="480" w:firstLineChars="200"/>
              <w:rPr>
                <w:rFonts w:cs="宋体"/>
                <w:color w:val="000000"/>
                <w:kern w:val="0"/>
                <w:szCs w:val="21"/>
              </w:rPr>
            </w:pPr>
            <w:r>
              <w:rPr>
                <w:rFonts w:hint="eastAsia" w:cs="宋体"/>
                <w:color w:val="000000"/>
                <w:kern w:val="0"/>
                <w:szCs w:val="21"/>
              </w:rPr>
              <w:t>（2）营运期</w:t>
            </w:r>
          </w:p>
          <w:p w14:paraId="356AFABA">
            <w:pPr>
              <w:spacing w:line="480" w:lineRule="exact"/>
              <w:ind w:firstLine="480" w:firstLineChars="200"/>
              <w:rPr>
                <w:rFonts w:cs="宋体"/>
                <w:bCs/>
                <w:color w:val="000000"/>
                <w:szCs w:val="21"/>
              </w:rPr>
            </w:pPr>
            <w:r>
              <w:rPr>
                <w:rFonts w:hint="eastAsia" w:cs="宋体"/>
                <w:bCs/>
                <w:color w:val="000000"/>
                <w:szCs w:val="21"/>
              </w:rPr>
              <w:t>本项目暂存草酸盐为半固态物质，不含挥发性有机物等，运营期无废气产生。</w:t>
            </w:r>
          </w:p>
          <w:p w14:paraId="4F8EC9CA">
            <w:pPr>
              <w:adjustRightInd w:val="0"/>
              <w:snapToGrid w:val="0"/>
              <w:spacing w:line="480" w:lineRule="exact"/>
              <w:ind w:firstLine="482" w:firstLineChars="200"/>
              <w:rPr>
                <w:rFonts w:cs="宋体"/>
                <w:b/>
                <w:bCs/>
                <w:color w:val="000000"/>
                <w:kern w:val="0"/>
                <w:szCs w:val="21"/>
              </w:rPr>
            </w:pPr>
            <w:r>
              <w:rPr>
                <w:rFonts w:hint="eastAsia" w:cs="宋体"/>
                <w:b/>
                <w:bCs/>
                <w:color w:val="000000"/>
                <w:kern w:val="0"/>
                <w:szCs w:val="21"/>
              </w:rPr>
              <w:t>2、废水</w:t>
            </w:r>
          </w:p>
          <w:p w14:paraId="30A05F21">
            <w:pPr>
              <w:adjustRightInd w:val="0"/>
              <w:snapToGrid w:val="0"/>
              <w:spacing w:line="480" w:lineRule="exact"/>
              <w:ind w:firstLine="480" w:firstLineChars="200"/>
              <w:rPr>
                <w:rFonts w:cs="宋体"/>
                <w:color w:val="000000"/>
                <w:kern w:val="0"/>
                <w:szCs w:val="21"/>
              </w:rPr>
            </w:pPr>
            <w:r>
              <w:rPr>
                <w:rFonts w:hint="eastAsia" w:cs="宋体"/>
                <w:bCs/>
                <w:color w:val="000000"/>
                <w:szCs w:val="21"/>
              </w:rPr>
              <w:t>本项目运营期不用水，无废水产生。</w:t>
            </w:r>
          </w:p>
          <w:p w14:paraId="110536AE">
            <w:pPr>
              <w:adjustRightInd w:val="0"/>
              <w:snapToGrid w:val="0"/>
              <w:spacing w:line="480" w:lineRule="exact"/>
              <w:ind w:firstLine="482" w:firstLineChars="200"/>
              <w:rPr>
                <w:rFonts w:cs="宋体"/>
                <w:b/>
                <w:bCs/>
                <w:color w:val="000000"/>
                <w:kern w:val="0"/>
                <w:szCs w:val="21"/>
              </w:rPr>
            </w:pPr>
            <w:r>
              <w:rPr>
                <w:rFonts w:hint="eastAsia" w:cs="宋体"/>
                <w:b/>
                <w:bCs/>
                <w:color w:val="000000"/>
                <w:kern w:val="0"/>
                <w:szCs w:val="21"/>
              </w:rPr>
              <w:t>3、噪声</w:t>
            </w:r>
          </w:p>
          <w:p w14:paraId="17B56748">
            <w:pPr>
              <w:adjustRightInd w:val="0"/>
              <w:snapToGrid w:val="0"/>
              <w:spacing w:line="480" w:lineRule="exact"/>
              <w:ind w:firstLine="480" w:firstLineChars="200"/>
              <w:rPr>
                <w:rFonts w:cs="宋体"/>
                <w:color w:val="000000"/>
                <w:kern w:val="0"/>
                <w:szCs w:val="21"/>
              </w:rPr>
            </w:pPr>
            <w:r>
              <w:rPr>
                <w:rFonts w:hint="eastAsia" w:cs="宋体"/>
                <w:bCs/>
                <w:color w:val="000000"/>
                <w:szCs w:val="21"/>
              </w:rPr>
              <w:t>本项目叉车依托厂内现有，不新增噪声源。</w:t>
            </w:r>
          </w:p>
          <w:p w14:paraId="6448EBBD">
            <w:pPr>
              <w:adjustRightInd w:val="0"/>
              <w:snapToGrid w:val="0"/>
              <w:spacing w:line="480" w:lineRule="exact"/>
              <w:ind w:firstLine="482" w:firstLineChars="200"/>
              <w:rPr>
                <w:rFonts w:cs="宋体"/>
                <w:b/>
                <w:bCs/>
                <w:color w:val="000000"/>
                <w:kern w:val="0"/>
                <w:szCs w:val="21"/>
              </w:rPr>
            </w:pPr>
            <w:r>
              <w:rPr>
                <w:rFonts w:hint="eastAsia" w:cs="宋体"/>
                <w:b/>
                <w:bCs/>
                <w:color w:val="000000"/>
                <w:kern w:val="0"/>
                <w:szCs w:val="21"/>
              </w:rPr>
              <w:t>4、固体废物</w:t>
            </w:r>
          </w:p>
          <w:p w14:paraId="2CC745DF">
            <w:pPr>
              <w:adjustRightInd w:val="0"/>
              <w:snapToGrid w:val="0"/>
              <w:spacing w:line="480" w:lineRule="exact"/>
              <w:ind w:firstLine="480" w:firstLineChars="200"/>
              <w:rPr>
                <w:rFonts w:cs="宋体"/>
                <w:color w:val="000000"/>
                <w:kern w:val="0"/>
                <w:szCs w:val="21"/>
              </w:rPr>
            </w:pPr>
            <w:r>
              <w:rPr>
                <w:rFonts w:hint="eastAsia" w:cs="宋体"/>
                <w:bCs/>
                <w:color w:val="000000"/>
                <w:szCs w:val="21"/>
              </w:rPr>
              <w:t>本项目建设危废库暂存草酸盐，运营期无固废产生。</w:t>
            </w:r>
          </w:p>
        </w:tc>
      </w:tr>
      <w:tr w14:paraId="7DD960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800" w:type="dxa"/>
            <w:vAlign w:val="center"/>
          </w:tcPr>
          <w:p w14:paraId="6ED76DFB">
            <w:pPr>
              <w:adjustRightInd w:val="0"/>
              <w:snapToGrid w:val="0"/>
              <w:jc w:val="center"/>
              <w:rPr>
                <w:rFonts w:ascii="宋体" w:hAnsi="宋体" w:cs="宋体"/>
                <w:color w:val="000000"/>
                <w:kern w:val="0"/>
                <w:szCs w:val="21"/>
              </w:rPr>
            </w:pPr>
            <w:r>
              <w:rPr>
                <w:rFonts w:hint="eastAsia" w:ascii="宋体" w:hAnsi="宋体" w:cs="宋体"/>
                <w:color w:val="000000"/>
                <w:kern w:val="0"/>
                <w:szCs w:val="21"/>
              </w:rPr>
              <w:t>总量控制指标</w:t>
            </w:r>
          </w:p>
        </w:tc>
        <w:tc>
          <w:tcPr>
            <w:tcW w:w="8190" w:type="dxa"/>
          </w:tcPr>
          <w:p w14:paraId="26F60975">
            <w:pPr>
              <w:adjustRightInd w:val="0"/>
              <w:snapToGrid w:val="0"/>
              <w:spacing w:line="480" w:lineRule="exact"/>
              <w:ind w:firstLine="480" w:firstLineChars="200"/>
              <w:rPr>
                <w:rFonts w:cs="宋体"/>
                <w:color w:val="000000"/>
                <w:kern w:val="0"/>
                <w:szCs w:val="21"/>
              </w:rPr>
            </w:pPr>
            <w:r>
              <w:rPr>
                <w:rFonts w:hint="eastAsia"/>
                <w:bCs/>
                <w:color w:val="000000"/>
                <w:szCs w:val="21"/>
              </w:rPr>
              <w:t>文丰新材料现有总量指标为二氧化硫44.428t/a、氮氧化物191.368t/a、COD 0t/a、氨氮 0t/a。本项目</w:t>
            </w:r>
            <w:r>
              <w:rPr>
                <w:rFonts w:hint="eastAsia" w:cs="宋体"/>
                <w:color w:val="000000"/>
                <w:kern w:val="0"/>
                <w:szCs w:val="21"/>
              </w:rPr>
              <w:t>不排气，不排水，不新增总量指标。因此，本项目建成后全厂主要污染物总量控制指标不变，即</w:t>
            </w:r>
            <w:r>
              <w:rPr>
                <w:rFonts w:hint="eastAsia"/>
                <w:bCs/>
                <w:color w:val="000000"/>
                <w:szCs w:val="21"/>
              </w:rPr>
              <w:t>二氧化硫44.428t/a、氮氧化物191.368t/a、COD 0t/a、氨氮 0t/a。</w:t>
            </w:r>
          </w:p>
          <w:p w14:paraId="48865301">
            <w:pPr>
              <w:adjustRightInd w:val="0"/>
              <w:snapToGrid w:val="0"/>
              <w:spacing w:line="480" w:lineRule="exact"/>
              <w:ind w:firstLine="480" w:firstLineChars="200"/>
              <w:rPr>
                <w:rFonts w:cs="宋体"/>
                <w:color w:val="000000"/>
                <w:kern w:val="0"/>
                <w:szCs w:val="21"/>
              </w:rPr>
            </w:pPr>
          </w:p>
        </w:tc>
      </w:tr>
    </w:tbl>
    <w:p w14:paraId="1CB68ED9">
      <w:pPr>
        <w:pStyle w:val="24"/>
        <w:jc w:val="center"/>
        <w:outlineLvl w:val="0"/>
        <w:rPr>
          <w:rFonts w:ascii="黑体" w:hAnsi="黑体" w:eastAsia="黑体"/>
          <w:snapToGrid w:val="0"/>
          <w:color w:val="000000"/>
          <w:sz w:val="30"/>
          <w:szCs w:val="30"/>
        </w:rPr>
      </w:pPr>
      <w:r>
        <w:rPr>
          <w:rFonts w:ascii="黑体" w:hAnsi="黑体" w:eastAsia="黑体"/>
          <w:snapToGrid w:val="0"/>
          <w:color w:val="000000"/>
          <w:sz w:val="36"/>
          <w:szCs w:val="36"/>
        </w:rPr>
        <w:br w:type="page"/>
      </w:r>
      <w:r>
        <w:rPr>
          <w:rFonts w:hint="eastAsia" w:ascii="黑体" w:hAnsi="黑体" w:eastAsia="黑体"/>
          <w:snapToGrid w:val="0"/>
          <w:color w:val="000000"/>
          <w:sz w:val="30"/>
          <w:szCs w:val="30"/>
        </w:rPr>
        <w:t>四、主要环境影响和保护措施</w:t>
      </w:r>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8162"/>
      </w:tblGrid>
      <w:tr w14:paraId="58574C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68" w:hRule="atLeast"/>
          <w:jc w:val="center"/>
        </w:trPr>
        <w:tc>
          <w:tcPr>
            <w:tcW w:w="746" w:type="dxa"/>
            <w:tcMar>
              <w:left w:w="28" w:type="dxa"/>
              <w:right w:w="28" w:type="dxa"/>
            </w:tcMar>
            <w:vAlign w:val="center"/>
          </w:tcPr>
          <w:p w14:paraId="31C57E6B">
            <w:pPr>
              <w:pStyle w:val="24"/>
              <w:adjustRightInd w:val="0"/>
              <w:snapToGrid w:val="0"/>
              <w:spacing w:before="0" w:beforeAutospacing="0" w:after="0" w:afterAutospacing="0"/>
              <w:jc w:val="center"/>
              <w:rPr>
                <w:rFonts w:cs="宋体"/>
                <w:color w:val="000000"/>
                <w:kern w:val="2"/>
                <w:sz w:val="21"/>
                <w:szCs w:val="21"/>
              </w:rPr>
            </w:pPr>
            <w:r>
              <w:rPr>
                <w:rFonts w:hint="eastAsia" w:cs="宋体"/>
                <w:color w:val="000000"/>
                <w:kern w:val="2"/>
                <w:sz w:val="21"/>
                <w:szCs w:val="21"/>
              </w:rPr>
              <w:t>施工</w:t>
            </w:r>
          </w:p>
          <w:p w14:paraId="53D12BF8">
            <w:pPr>
              <w:pStyle w:val="24"/>
              <w:adjustRightInd w:val="0"/>
              <w:snapToGrid w:val="0"/>
              <w:spacing w:before="0" w:beforeAutospacing="0" w:after="0" w:afterAutospacing="0"/>
              <w:jc w:val="center"/>
              <w:rPr>
                <w:rFonts w:cs="宋体"/>
                <w:color w:val="000000"/>
                <w:kern w:val="2"/>
                <w:sz w:val="21"/>
                <w:szCs w:val="21"/>
              </w:rPr>
            </w:pPr>
            <w:r>
              <w:rPr>
                <w:rFonts w:hint="eastAsia" w:cs="宋体"/>
                <w:color w:val="000000"/>
                <w:kern w:val="2"/>
                <w:sz w:val="21"/>
                <w:szCs w:val="21"/>
              </w:rPr>
              <w:t>期环</w:t>
            </w:r>
          </w:p>
          <w:p w14:paraId="265A0317">
            <w:pPr>
              <w:pStyle w:val="24"/>
              <w:adjustRightInd w:val="0"/>
              <w:snapToGrid w:val="0"/>
              <w:spacing w:before="0" w:beforeAutospacing="0" w:after="0" w:afterAutospacing="0"/>
              <w:jc w:val="center"/>
              <w:rPr>
                <w:rFonts w:cs="宋体"/>
                <w:color w:val="000000"/>
                <w:kern w:val="2"/>
                <w:sz w:val="21"/>
                <w:szCs w:val="21"/>
              </w:rPr>
            </w:pPr>
            <w:r>
              <w:rPr>
                <w:rFonts w:hint="eastAsia" w:cs="宋体"/>
                <w:color w:val="000000"/>
                <w:kern w:val="2"/>
                <w:sz w:val="21"/>
                <w:szCs w:val="21"/>
              </w:rPr>
              <w:t>境保</w:t>
            </w:r>
          </w:p>
          <w:p w14:paraId="45DF5169">
            <w:pPr>
              <w:pStyle w:val="24"/>
              <w:adjustRightInd w:val="0"/>
              <w:snapToGrid w:val="0"/>
              <w:spacing w:before="0" w:beforeAutospacing="0" w:after="0" w:afterAutospacing="0"/>
              <w:jc w:val="center"/>
              <w:rPr>
                <w:rFonts w:cs="宋体"/>
                <w:color w:val="000000"/>
                <w:kern w:val="2"/>
                <w:sz w:val="21"/>
                <w:szCs w:val="21"/>
              </w:rPr>
            </w:pPr>
            <w:r>
              <w:rPr>
                <w:rFonts w:hint="eastAsia" w:cs="宋体"/>
                <w:color w:val="000000"/>
                <w:kern w:val="2"/>
                <w:sz w:val="21"/>
                <w:szCs w:val="21"/>
              </w:rPr>
              <w:t>护措</w:t>
            </w:r>
          </w:p>
          <w:p w14:paraId="1724745B">
            <w:pPr>
              <w:pStyle w:val="24"/>
              <w:adjustRightInd w:val="0"/>
              <w:snapToGrid w:val="0"/>
              <w:spacing w:before="0" w:beforeAutospacing="0" w:after="0" w:afterAutospacing="0"/>
              <w:jc w:val="center"/>
              <w:rPr>
                <w:rFonts w:cs="宋体"/>
                <w:bCs/>
                <w:color w:val="000000"/>
                <w:kern w:val="2"/>
                <w:sz w:val="21"/>
                <w:szCs w:val="21"/>
              </w:rPr>
            </w:pPr>
            <w:r>
              <w:rPr>
                <w:rFonts w:hint="eastAsia" w:cs="宋体"/>
                <w:color w:val="000000"/>
                <w:kern w:val="2"/>
                <w:sz w:val="21"/>
                <w:szCs w:val="21"/>
              </w:rPr>
              <w:t>施</w:t>
            </w:r>
          </w:p>
        </w:tc>
        <w:tc>
          <w:tcPr>
            <w:tcW w:w="8162" w:type="dxa"/>
            <w:vAlign w:val="center"/>
          </w:tcPr>
          <w:p w14:paraId="097F996C">
            <w:pPr>
              <w:adjustRightInd w:val="0"/>
              <w:snapToGrid w:val="0"/>
              <w:spacing w:line="480" w:lineRule="exact"/>
              <w:ind w:firstLine="482" w:firstLineChars="200"/>
              <w:rPr>
                <w:rFonts w:cs="宋体"/>
                <w:b/>
                <w:color w:val="000000"/>
                <w:szCs w:val="21"/>
              </w:rPr>
            </w:pPr>
            <w:r>
              <w:rPr>
                <w:rFonts w:hint="eastAsia" w:cs="宋体"/>
                <w:b/>
                <w:color w:val="000000"/>
                <w:szCs w:val="21"/>
              </w:rPr>
              <w:t>1、施工期扬尘防治措施</w:t>
            </w:r>
          </w:p>
          <w:p w14:paraId="1595E481">
            <w:pPr>
              <w:adjustRightInd w:val="0"/>
              <w:snapToGrid w:val="0"/>
              <w:spacing w:line="480" w:lineRule="exact"/>
              <w:ind w:firstLine="480" w:firstLineChars="200"/>
              <w:rPr>
                <w:rFonts w:cs="宋体"/>
                <w:bCs/>
                <w:color w:val="000000"/>
                <w:szCs w:val="21"/>
              </w:rPr>
            </w:pPr>
            <w:r>
              <w:rPr>
                <w:rFonts w:hint="eastAsia" w:cs="宋体"/>
                <w:bCs/>
                <w:color w:val="000000"/>
                <w:szCs w:val="21"/>
              </w:rPr>
              <w:t>项目施工期对大气环境的影响主要为施工机械及运输车辆产生的施工扬尘。为降低项目施工对周围环境的影响，根据《河北省扬尘污染防治办法》（2020年）、《关于印发&lt;河北省2024年建筑施工扬尘污染防治工作方案&gt;的通知》（冀建质安函[20241115号）等相关要求，本项目拟采取如下措施：</w:t>
            </w:r>
          </w:p>
          <w:p w14:paraId="1A94C0D2">
            <w:pPr>
              <w:adjustRightInd w:val="0"/>
              <w:snapToGrid w:val="0"/>
              <w:spacing w:line="480" w:lineRule="exact"/>
              <w:ind w:firstLine="480" w:firstLineChars="200"/>
              <w:rPr>
                <w:rFonts w:cs="宋体"/>
                <w:bCs/>
                <w:color w:val="000000"/>
                <w:szCs w:val="21"/>
              </w:rPr>
            </w:pPr>
            <w:r>
              <w:rPr>
                <w:rFonts w:hint="eastAsia" w:cs="宋体"/>
                <w:bCs/>
                <w:color w:val="000000"/>
                <w:szCs w:val="21"/>
              </w:rPr>
              <w:t>（1）在施工现场出入口明显位置设置扬尘防治公示牌，内容包括：建设、施工、监理及监管等单位名称、扬尘防治负责人的名称、联系电话、举报电话等。</w:t>
            </w:r>
          </w:p>
          <w:p w14:paraId="0D8F4A2A">
            <w:pPr>
              <w:adjustRightInd w:val="0"/>
              <w:snapToGrid w:val="0"/>
              <w:spacing w:line="480" w:lineRule="exact"/>
              <w:ind w:firstLine="480" w:firstLineChars="200"/>
              <w:rPr>
                <w:rFonts w:cs="宋体"/>
                <w:bCs/>
                <w:color w:val="000000"/>
                <w:szCs w:val="21"/>
              </w:rPr>
            </w:pPr>
            <w:r>
              <w:rPr>
                <w:rFonts w:hint="eastAsia" w:cs="宋体"/>
                <w:bCs/>
                <w:color w:val="000000"/>
                <w:szCs w:val="21"/>
              </w:rPr>
              <w:t>（2）施工前，施工现场出入口和场内主要道路必须混凝土硬化，严禁使用其他软质材料铺设。</w:t>
            </w:r>
          </w:p>
          <w:p w14:paraId="5FADE252">
            <w:pPr>
              <w:adjustRightInd w:val="0"/>
              <w:snapToGrid w:val="0"/>
              <w:spacing w:line="480" w:lineRule="exact"/>
              <w:ind w:firstLine="480" w:firstLineChars="200"/>
              <w:rPr>
                <w:rFonts w:cs="宋体"/>
                <w:bCs/>
                <w:color w:val="000000"/>
                <w:szCs w:val="21"/>
              </w:rPr>
            </w:pPr>
            <w:r>
              <w:rPr>
                <w:rFonts w:hint="eastAsia" w:cs="宋体"/>
                <w:bCs/>
                <w:color w:val="000000"/>
                <w:szCs w:val="21"/>
              </w:rPr>
              <w:t>（3）施工现场出入口、加工区和主作业区等处必须安装视频监控系统，对施工扬尘实时监控。</w:t>
            </w:r>
          </w:p>
          <w:p w14:paraId="676E5BCA">
            <w:pPr>
              <w:adjustRightInd w:val="0"/>
              <w:snapToGrid w:val="0"/>
              <w:spacing w:line="480" w:lineRule="exact"/>
              <w:ind w:firstLine="480" w:firstLineChars="200"/>
              <w:rPr>
                <w:rFonts w:cs="宋体"/>
                <w:bCs/>
                <w:color w:val="000000"/>
                <w:szCs w:val="21"/>
              </w:rPr>
            </w:pPr>
            <w:r>
              <w:rPr>
                <w:rFonts w:hint="eastAsia" w:cs="宋体"/>
                <w:bCs/>
                <w:color w:val="000000"/>
                <w:szCs w:val="21"/>
              </w:rPr>
              <w:t>（4）施工现场使用商品混凝土，现场不设混凝土搅拌站。施工现场的粉料和其他易飞扬的细颗粒建筑材料必须密闭存放或覆盖，严禁露天放置。</w:t>
            </w:r>
          </w:p>
          <w:p w14:paraId="5846ECE8">
            <w:pPr>
              <w:adjustRightInd w:val="0"/>
              <w:snapToGrid w:val="0"/>
              <w:spacing w:line="480" w:lineRule="exact"/>
              <w:ind w:firstLine="480" w:firstLineChars="200"/>
              <w:rPr>
                <w:rFonts w:cs="宋体"/>
                <w:bCs/>
                <w:color w:val="000000"/>
                <w:szCs w:val="21"/>
              </w:rPr>
            </w:pPr>
            <w:r>
              <w:rPr>
                <w:rFonts w:hint="eastAsia" w:cs="宋体"/>
                <w:bCs/>
                <w:color w:val="000000"/>
                <w:szCs w:val="21"/>
              </w:rPr>
              <w:t>（5）建筑物内应保持干净整洁，清扫垃圾时要洒水抑尘，施工层建筑垃圾必须采用封闭式管道或装袋用升降机械清运，严禁凌空抛掷或焚烧垃圾。</w:t>
            </w:r>
          </w:p>
          <w:p w14:paraId="77220EB5">
            <w:pPr>
              <w:adjustRightInd w:val="0"/>
              <w:snapToGrid w:val="0"/>
              <w:spacing w:line="480" w:lineRule="exact"/>
              <w:ind w:firstLine="480" w:firstLineChars="200"/>
              <w:rPr>
                <w:rFonts w:cs="宋体"/>
                <w:bCs/>
                <w:color w:val="000000"/>
                <w:szCs w:val="21"/>
              </w:rPr>
            </w:pPr>
            <w:r>
              <w:rPr>
                <w:rFonts w:hint="eastAsia" w:cs="宋体"/>
                <w:bCs/>
                <w:color w:val="000000"/>
                <w:szCs w:val="21"/>
              </w:rPr>
              <w:t>（6）施工现场必须设置垃圾存放点，集中堆放并覆盖，及时清运，严禁随意丢弃，根据总体布置尽量回填于低凹处，注意土石方挖填平衡，多余弃土及时清运。严禁敞开式长时间堆放废弃物。</w:t>
            </w:r>
          </w:p>
          <w:p w14:paraId="2638C6A0">
            <w:pPr>
              <w:adjustRightInd w:val="0"/>
              <w:snapToGrid w:val="0"/>
              <w:spacing w:line="480" w:lineRule="exact"/>
              <w:ind w:firstLine="480" w:firstLineChars="200"/>
              <w:rPr>
                <w:rFonts w:cs="宋体"/>
                <w:bCs/>
                <w:color w:val="000000"/>
                <w:szCs w:val="21"/>
              </w:rPr>
            </w:pPr>
            <w:r>
              <w:rPr>
                <w:rFonts w:hint="eastAsia" w:cs="宋体"/>
                <w:bCs/>
                <w:color w:val="000000"/>
                <w:szCs w:val="21"/>
              </w:rPr>
              <w:t>（7）施工场地采用洒水车洒水降尘措施，施工道路应保持平整，设立施工道路养护、维修、清扫专职人员，保持道路清洁、运行状态良好。</w:t>
            </w:r>
          </w:p>
          <w:p w14:paraId="6DFD3768">
            <w:pPr>
              <w:adjustRightInd w:val="0"/>
              <w:snapToGrid w:val="0"/>
              <w:spacing w:line="480" w:lineRule="exact"/>
              <w:ind w:firstLine="480" w:firstLineChars="200"/>
              <w:rPr>
                <w:rFonts w:cs="宋体"/>
                <w:bCs/>
                <w:color w:val="000000"/>
                <w:szCs w:val="21"/>
              </w:rPr>
            </w:pPr>
            <w:r>
              <w:rPr>
                <w:rFonts w:hint="eastAsia" w:cs="宋体"/>
                <w:bCs/>
                <w:color w:val="000000"/>
                <w:szCs w:val="21"/>
              </w:rPr>
              <w:t>（8）建筑工程主体外侧脚手架及临边防护挡干必须使用符合标准的密封式安全网封闭施工，并保持整洁、牢固、无破损。</w:t>
            </w:r>
          </w:p>
          <w:p w14:paraId="7EAD7C52">
            <w:pPr>
              <w:adjustRightInd w:val="0"/>
              <w:snapToGrid w:val="0"/>
              <w:spacing w:line="480" w:lineRule="exact"/>
              <w:ind w:firstLine="480" w:firstLineChars="200"/>
              <w:rPr>
                <w:rFonts w:cs="宋体"/>
                <w:bCs/>
                <w:color w:val="000000"/>
                <w:szCs w:val="21"/>
              </w:rPr>
            </w:pPr>
            <w:r>
              <w:rPr>
                <w:rFonts w:hint="eastAsia" w:cs="宋体"/>
                <w:bCs/>
                <w:color w:val="000000"/>
                <w:szCs w:val="21"/>
              </w:rPr>
              <w:t>（9）施工现场在道路、围墙、脚手架等部位安装喷淋或喷雾等降尘装置。</w:t>
            </w:r>
          </w:p>
          <w:p w14:paraId="0CBF3AE2">
            <w:pPr>
              <w:adjustRightInd w:val="0"/>
              <w:snapToGrid w:val="0"/>
              <w:spacing w:line="480" w:lineRule="exact"/>
              <w:ind w:firstLine="480" w:firstLineChars="200"/>
              <w:rPr>
                <w:rFonts w:cs="宋体"/>
                <w:bCs/>
                <w:color w:val="000000"/>
                <w:szCs w:val="21"/>
              </w:rPr>
            </w:pPr>
            <w:r>
              <w:rPr>
                <w:rFonts w:hint="eastAsia" w:cs="宋体"/>
                <w:bCs/>
                <w:color w:val="000000"/>
                <w:szCs w:val="21"/>
              </w:rPr>
              <w:t>（10）根据《施工场地扬尘排放标准》(DB13/2934-2019)，施工现场安装空气质量检测仪。</w:t>
            </w:r>
          </w:p>
          <w:p w14:paraId="13AC0F4F">
            <w:pPr>
              <w:adjustRightInd w:val="0"/>
              <w:snapToGrid w:val="0"/>
              <w:spacing w:line="480" w:lineRule="exact"/>
              <w:ind w:firstLine="480" w:firstLineChars="200"/>
              <w:rPr>
                <w:rFonts w:cs="宋体"/>
                <w:bCs/>
                <w:color w:val="000000"/>
                <w:szCs w:val="21"/>
              </w:rPr>
            </w:pPr>
            <w:r>
              <w:rPr>
                <w:rFonts w:hint="eastAsia" w:cs="宋体"/>
                <w:bCs/>
                <w:color w:val="000000"/>
                <w:szCs w:val="21"/>
              </w:rPr>
              <w:t>（11）项目施工场地占地面积369m</w:t>
            </w:r>
            <w:r>
              <w:rPr>
                <w:rFonts w:hint="eastAsia" w:cs="宋体"/>
                <w:bCs/>
                <w:color w:val="000000"/>
                <w:szCs w:val="21"/>
                <w:vertAlign w:val="superscript"/>
              </w:rPr>
              <w:t>2</w:t>
            </w:r>
            <w:r>
              <w:rPr>
                <w:rFonts w:hint="eastAsia" w:cs="宋体"/>
                <w:bCs/>
                <w:color w:val="000000"/>
                <w:szCs w:val="21"/>
              </w:rPr>
              <w:t>，占地面积&lt;5000m</w:t>
            </w:r>
            <w:r>
              <w:rPr>
                <w:rFonts w:hint="eastAsia" w:cs="宋体"/>
                <w:bCs/>
                <w:color w:val="000000"/>
                <w:szCs w:val="21"/>
                <w:vertAlign w:val="superscript"/>
              </w:rPr>
              <w:t>2</w:t>
            </w:r>
            <w:r>
              <w:rPr>
                <w:rFonts w:hint="eastAsia" w:cs="宋体"/>
                <w:bCs/>
                <w:color w:val="000000"/>
                <w:szCs w:val="21"/>
              </w:rPr>
              <w:t>，根据《施工场地扬尘排放标准》（DB13/2934-2019）要求，施工场地应设置1个扬尘监测点。</w:t>
            </w:r>
          </w:p>
          <w:p w14:paraId="045EC758">
            <w:pPr>
              <w:adjustRightInd w:val="0"/>
              <w:snapToGrid w:val="0"/>
              <w:spacing w:line="480" w:lineRule="exact"/>
              <w:ind w:firstLine="480" w:firstLineChars="200"/>
              <w:rPr>
                <w:rFonts w:cs="宋体"/>
                <w:bCs/>
                <w:color w:val="000000"/>
                <w:szCs w:val="21"/>
              </w:rPr>
            </w:pPr>
            <w:r>
              <w:rPr>
                <w:rFonts w:hint="eastAsia" w:cs="宋体"/>
                <w:bCs/>
                <w:color w:val="000000"/>
                <w:szCs w:val="21"/>
              </w:rPr>
              <w:t>采取以上措施后，可有效的控制施工扬尘，扬尘排放浓度满足《施工场地扬尘排放标准》（DB13/2934-2019）表1标准。</w:t>
            </w:r>
          </w:p>
          <w:p w14:paraId="487925C5">
            <w:pPr>
              <w:adjustRightInd w:val="0"/>
              <w:snapToGrid w:val="0"/>
              <w:spacing w:line="480" w:lineRule="exact"/>
              <w:ind w:firstLine="482" w:firstLineChars="200"/>
              <w:rPr>
                <w:rFonts w:cs="宋体"/>
                <w:b/>
                <w:color w:val="000000"/>
                <w:szCs w:val="21"/>
              </w:rPr>
            </w:pPr>
            <w:r>
              <w:rPr>
                <w:rFonts w:hint="eastAsia" w:cs="宋体"/>
                <w:b/>
                <w:color w:val="000000"/>
                <w:szCs w:val="21"/>
              </w:rPr>
              <w:t>2、施工废水防治措施</w:t>
            </w:r>
          </w:p>
          <w:p w14:paraId="515B2841">
            <w:pPr>
              <w:adjustRightInd w:val="0"/>
              <w:snapToGrid w:val="0"/>
              <w:spacing w:line="480" w:lineRule="exact"/>
              <w:ind w:firstLine="480" w:firstLineChars="200"/>
              <w:rPr>
                <w:rFonts w:cs="宋体"/>
                <w:bCs/>
                <w:color w:val="000000"/>
                <w:szCs w:val="21"/>
              </w:rPr>
            </w:pPr>
            <w:r>
              <w:rPr>
                <w:rFonts w:hint="eastAsia" w:cs="宋体"/>
                <w:bCs/>
                <w:color w:val="000000"/>
                <w:szCs w:val="21"/>
              </w:rPr>
              <w:t>项目施工期废水主要为施工人员生活污水，依托厂内生活污水处理系统处理后回用。</w:t>
            </w:r>
          </w:p>
          <w:p w14:paraId="4A2F1A4C">
            <w:pPr>
              <w:adjustRightInd w:val="0"/>
              <w:snapToGrid w:val="0"/>
              <w:spacing w:line="480" w:lineRule="exact"/>
              <w:ind w:firstLine="482" w:firstLineChars="200"/>
              <w:rPr>
                <w:rFonts w:cs="宋体"/>
                <w:b/>
                <w:color w:val="000000"/>
                <w:szCs w:val="21"/>
              </w:rPr>
            </w:pPr>
            <w:r>
              <w:rPr>
                <w:rFonts w:hint="eastAsia" w:cs="宋体"/>
                <w:b/>
                <w:color w:val="000000"/>
                <w:szCs w:val="21"/>
              </w:rPr>
              <w:t>3、施工噪声及振动防治措施</w:t>
            </w:r>
          </w:p>
          <w:p w14:paraId="0ACE6804">
            <w:pPr>
              <w:adjustRightInd w:val="0"/>
              <w:snapToGrid w:val="0"/>
              <w:spacing w:line="480" w:lineRule="exact"/>
              <w:ind w:firstLine="480" w:firstLineChars="200"/>
              <w:rPr>
                <w:rFonts w:cs="宋体"/>
                <w:bCs/>
                <w:color w:val="000000"/>
                <w:szCs w:val="21"/>
              </w:rPr>
            </w:pPr>
            <w:r>
              <w:rPr>
                <w:rFonts w:hint="eastAsia" w:cs="宋体"/>
                <w:bCs/>
                <w:color w:val="000000"/>
                <w:szCs w:val="21"/>
              </w:rPr>
              <w:t>施工期噪声源及振动主要来自施工使用的切割机、电钻等设备、施工机械、运输车辆等，其特点是间歇或阵发性的，并具备流动性的特征。为减少施工噪声及振动对环境的影响，结合施工进展，采取如下防治措施：</w:t>
            </w:r>
          </w:p>
          <w:p w14:paraId="401A7327">
            <w:pPr>
              <w:adjustRightInd w:val="0"/>
              <w:snapToGrid w:val="0"/>
              <w:spacing w:line="480" w:lineRule="exact"/>
              <w:ind w:firstLine="480" w:firstLineChars="200"/>
              <w:rPr>
                <w:rFonts w:cs="宋体"/>
                <w:bCs/>
                <w:color w:val="000000"/>
                <w:szCs w:val="21"/>
              </w:rPr>
            </w:pPr>
            <w:r>
              <w:rPr>
                <w:rFonts w:hint="eastAsia" w:cs="宋体"/>
                <w:bCs/>
                <w:color w:val="000000"/>
                <w:szCs w:val="21"/>
              </w:rPr>
              <w:t>（1）施工单位应合理安排施工时间，做到文明施工。</w:t>
            </w:r>
          </w:p>
          <w:p w14:paraId="793CD7AC">
            <w:pPr>
              <w:adjustRightInd w:val="0"/>
              <w:snapToGrid w:val="0"/>
              <w:spacing w:line="480" w:lineRule="exact"/>
              <w:ind w:firstLine="480" w:firstLineChars="200"/>
              <w:rPr>
                <w:rFonts w:cs="宋体"/>
                <w:bCs/>
                <w:color w:val="000000"/>
                <w:szCs w:val="21"/>
              </w:rPr>
            </w:pPr>
            <w:r>
              <w:rPr>
                <w:rFonts w:hint="eastAsia" w:cs="宋体"/>
                <w:bCs/>
                <w:color w:val="000000"/>
                <w:szCs w:val="21"/>
              </w:rPr>
              <w:t>（2）项目施工布置时将噪声源强较高的施工设备置于远离敏感点的一侧，以减少对周边敏感点的影响。</w:t>
            </w:r>
          </w:p>
          <w:p w14:paraId="3DA5117C">
            <w:pPr>
              <w:adjustRightInd w:val="0"/>
              <w:snapToGrid w:val="0"/>
              <w:spacing w:line="480" w:lineRule="exact"/>
              <w:ind w:firstLine="480" w:firstLineChars="200"/>
              <w:rPr>
                <w:rFonts w:cs="宋体"/>
                <w:bCs/>
                <w:color w:val="000000"/>
                <w:szCs w:val="21"/>
              </w:rPr>
            </w:pPr>
            <w:r>
              <w:rPr>
                <w:rFonts w:hint="eastAsia" w:cs="宋体"/>
                <w:bCs/>
                <w:color w:val="000000"/>
                <w:szCs w:val="21"/>
              </w:rPr>
              <w:t>同时，本项目施工作业主要集中在现有厂房内，通过采取以上措施并经厂房隔声后，施工场界噪声可满足《建筑施工场界环境噪声排放标准》（GB</w:t>
            </w:r>
            <w:r>
              <w:rPr>
                <w:rFonts w:cs="宋体"/>
                <w:bCs/>
                <w:color w:val="000000"/>
                <w:szCs w:val="21"/>
              </w:rPr>
              <w:t xml:space="preserve"> </w:t>
            </w:r>
            <w:r>
              <w:rPr>
                <w:rFonts w:hint="eastAsia" w:cs="宋体"/>
                <w:bCs/>
                <w:color w:val="000000"/>
                <w:szCs w:val="21"/>
              </w:rPr>
              <w:t>12523-2011）的规定。</w:t>
            </w:r>
          </w:p>
          <w:p w14:paraId="6B2B3603">
            <w:pPr>
              <w:adjustRightInd w:val="0"/>
              <w:snapToGrid w:val="0"/>
              <w:spacing w:line="480" w:lineRule="exact"/>
              <w:ind w:firstLine="482" w:firstLineChars="200"/>
              <w:rPr>
                <w:rFonts w:cs="宋体"/>
                <w:b/>
                <w:color w:val="000000"/>
                <w:szCs w:val="21"/>
              </w:rPr>
            </w:pPr>
            <w:r>
              <w:rPr>
                <w:rFonts w:hint="eastAsia" w:cs="宋体"/>
                <w:b/>
                <w:color w:val="000000"/>
                <w:szCs w:val="21"/>
              </w:rPr>
              <w:t>4、固体废物防治措施</w:t>
            </w:r>
          </w:p>
          <w:p w14:paraId="03F8A5E4">
            <w:pPr>
              <w:adjustRightInd w:val="0"/>
              <w:snapToGrid w:val="0"/>
              <w:spacing w:line="480" w:lineRule="exact"/>
              <w:ind w:firstLine="480" w:firstLineChars="200"/>
              <w:rPr>
                <w:rFonts w:cs="宋体"/>
                <w:bCs/>
                <w:color w:val="000000"/>
                <w:szCs w:val="21"/>
              </w:rPr>
            </w:pPr>
            <w:r>
              <w:rPr>
                <w:rFonts w:hint="eastAsia" w:cs="宋体"/>
                <w:bCs/>
                <w:color w:val="000000"/>
                <w:szCs w:val="21"/>
              </w:rPr>
              <w:t>施工期固体废弃物主要是施工过程中产生的建筑垃圾以及施工人员的生活垃圾。施工过程中产生的建筑垃圾为一般工业固体废物，按市政部门要求送至指定地点统一处置；生活垃圾由环卫部门统一清运并处置。</w:t>
            </w:r>
          </w:p>
        </w:tc>
      </w:tr>
      <w:tr w14:paraId="3D7D0E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746" w:type="dxa"/>
            <w:tcMar>
              <w:left w:w="28" w:type="dxa"/>
              <w:right w:w="28" w:type="dxa"/>
            </w:tcMar>
            <w:vAlign w:val="center"/>
          </w:tcPr>
          <w:p w14:paraId="13AEDB99">
            <w:pPr>
              <w:adjustRightInd w:val="0"/>
              <w:snapToGrid w:val="0"/>
              <w:jc w:val="center"/>
              <w:rPr>
                <w:rFonts w:ascii="宋体" w:hAnsi="宋体" w:cs="宋体"/>
                <w:bCs/>
                <w:color w:val="000000"/>
                <w:szCs w:val="21"/>
              </w:rPr>
            </w:pPr>
            <w:r>
              <w:rPr>
                <w:rFonts w:hint="eastAsia" w:ascii="宋体" w:hAnsi="宋体" w:cs="宋体"/>
                <w:bCs/>
                <w:color w:val="000000"/>
                <w:szCs w:val="21"/>
              </w:rPr>
              <w:t>运营</w:t>
            </w:r>
          </w:p>
          <w:p w14:paraId="5896ACB9">
            <w:pPr>
              <w:adjustRightInd w:val="0"/>
              <w:snapToGrid w:val="0"/>
              <w:jc w:val="center"/>
              <w:rPr>
                <w:rFonts w:ascii="宋体" w:hAnsi="宋体" w:cs="宋体"/>
                <w:bCs/>
                <w:color w:val="000000"/>
                <w:szCs w:val="21"/>
              </w:rPr>
            </w:pPr>
            <w:r>
              <w:rPr>
                <w:rFonts w:hint="eastAsia" w:ascii="宋体" w:hAnsi="宋体" w:cs="宋体"/>
                <w:bCs/>
                <w:color w:val="000000"/>
                <w:szCs w:val="21"/>
              </w:rPr>
              <w:t>期环</w:t>
            </w:r>
          </w:p>
          <w:p w14:paraId="60825E39">
            <w:pPr>
              <w:adjustRightInd w:val="0"/>
              <w:snapToGrid w:val="0"/>
              <w:jc w:val="center"/>
              <w:rPr>
                <w:rFonts w:ascii="宋体" w:hAnsi="宋体" w:cs="宋体"/>
                <w:bCs/>
                <w:color w:val="000000"/>
                <w:szCs w:val="21"/>
              </w:rPr>
            </w:pPr>
            <w:r>
              <w:rPr>
                <w:rFonts w:hint="eastAsia" w:ascii="宋体" w:hAnsi="宋体" w:cs="宋体"/>
                <w:bCs/>
                <w:color w:val="000000"/>
                <w:szCs w:val="21"/>
              </w:rPr>
              <w:t>境影</w:t>
            </w:r>
          </w:p>
          <w:p w14:paraId="754FA0C7">
            <w:pPr>
              <w:adjustRightInd w:val="0"/>
              <w:snapToGrid w:val="0"/>
              <w:jc w:val="center"/>
              <w:rPr>
                <w:rFonts w:ascii="宋体" w:hAnsi="宋体" w:cs="宋体"/>
                <w:bCs/>
                <w:color w:val="000000"/>
                <w:szCs w:val="21"/>
              </w:rPr>
            </w:pPr>
            <w:r>
              <w:rPr>
                <w:rFonts w:hint="eastAsia" w:ascii="宋体" w:hAnsi="宋体" w:cs="宋体"/>
                <w:bCs/>
                <w:color w:val="000000"/>
                <w:szCs w:val="21"/>
              </w:rPr>
              <w:t>响和</w:t>
            </w:r>
          </w:p>
          <w:p w14:paraId="0F71ED77">
            <w:pPr>
              <w:adjustRightInd w:val="0"/>
              <w:snapToGrid w:val="0"/>
              <w:jc w:val="center"/>
              <w:rPr>
                <w:rFonts w:ascii="宋体" w:hAnsi="宋体" w:cs="宋体"/>
                <w:bCs/>
                <w:color w:val="000000"/>
                <w:szCs w:val="21"/>
              </w:rPr>
            </w:pPr>
            <w:r>
              <w:rPr>
                <w:rFonts w:hint="eastAsia" w:ascii="宋体" w:hAnsi="宋体" w:cs="宋体"/>
                <w:bCs/>
                <w:color w:val="000000"/>
                <w:szCs w:val="21"/>
              </w:rPr>
              <w:t>保护</w:t>
            </w:r>
          </w:p>
          <w:p w14:paraId="75640BAD">
            <w:pPr>
              <w:adjustRightInd w:val="0"/>
              <w:snapToGrid w:val="0"/>
              <w:jc w:val="center"/>
              <w:rPr>
                <w:rFonts w:ascii="宋体" w:hAnsi="宋体" w:cs="宋体"/>
                <w:bCs/>
                <w:color w:val="000000"/>
                <w:szCs w:val="21"/>
              </w:rPr>
            </w:pPr>
            <w:r>
              <w:rPr>
                <w:rFonts w:hint="eastAsia" w:ascii="宋体" w:hAnsi="宋体" w:cs="宋体"/>
                <w:bCs/>
                <w:color w:val="000000"/>
                <w:szCs w:val="21"/>
              </w:rPr>
              <w:t>措施</w:t>
            </w:r>
          </w:p>
        </w:tc>
        <w:tc>
          <w:tcPr>
            <w:tcW w:w="8162" w:type="dxa"/>
          </w:tcPr>
          <w:p w14:paraId="37D73E53">
            <w:pPr>
              <w:adjustRightInd w:val="0"/>
              <w:snapToGrid w:val="0"/>
              <w:spacing w:line="480" w:lineRule="exact"/>
              <w:ind w:firstLine="482" w:firstLineChars="200"/>
              <w:rPr>
                <w:rFonts w:cs="宋体"/>
                <w:b/>
                <w:color w:val="000000"/>
                <w:szCs w:val="21"/>
              </w:rPr>
            </w:pPr>
            <w:r>
              <w:rPr>
                <w:rFonts w:hint="eastAsia" w:cs="宋体"/>
                <w:b/>
                <w:color w:val="000000"/>
                <w:szCs w:val="21"/>
              </w:rPr>
              <w:t>1、废气</w:t>
            </w:r>
          </w:p>
          <w:p w14:paraId="3602BAB0">
            <w:pPr>
              <w:spacing w:line="480" w:lineRule="exact"/>
              <w:ind w:firstLine="480" w:firstLineChars="200"/>
              <w:rPr>
                <w:rFonts w:cs="宋体"/>
                <w:bCs/>
                <w:color w:val="000000"/>
                <w:szCs w:val="21"/>
              </w:rPr>
            </w:pPr>
            <w:r>
              <w:rPr>
                <w:rFonts w:hint="eastAsia" w:cs="宋体"/>
                <w:bCs/>
                <w:color w:val="000000"/>
                <w:szCs w:val="21"/>
              </w:rPr>
              <w:t>本项目建设危废库仅用于暂存草酸盐，且草酸盐为半固态物质，不含挥发性有机物等，运营期无废气产生。</w:t>
            </w:r>
          </w:p>
          <w:p w14:paraId="4B4D02FE">
            <w:pPr>
              <w:spacing w:line="480" w:lineRule="exact"/>
              <w:ind w:firstLine="480" w:firstLineChars="200"/>
              <w:rPr>
                <w:rFonts w:cs="宋体"/>
                <w:bCs/>
                <w:color w:val="000000"/>
                <w:szCs w:val="21"/>
              </w:rPr>
            </w:pPr>
            <w:r>
              <w:rPr>
                <w:rFonts w:hint="eastAsia" w:cs="宋体"/>
                <w:bCs/>
                <w:color w:val="000000"/>
                <w:szCs w:val="21"/>
              </w:rPr>
              <w:t>（2）废水</w:t>
            </w:r>
          </w:p>
          <w:p w14:paraId="059D98CF">
            <w:pPr>
              <w:adjustRightInd w:val="0"/>
              <w:snapToGrid w:val="0"/>
              <w:spacing w:line="480" w:lineRule="exact"/>
              <w:ind w:firstLine="480" w:firstLineChars="200"/>
              <w:rPr>
                <w:rFonts w:cs="宋体"/>
                <w:bCs/>
                <w:color w:val="000000"/>
                <w:szCs w:val="21"/>
              </w:rPr>
            </w:pPr>
            <w:r>
              <w:rPr>
                <w:rFonts w:hint="eastAsia" w:cs="宋体"/>
                <w:bCs/>
                <w:color w:val="000000"/>
                <w:szCs w:val="21"/>
              </w:rPr>
              <w:t>本项目运营期不用水，无废水产生。</w:t>
            </w:r>
          </w:p>
          <w:p w14:paraId="57C51493">
            <w:pPr>
              <w:spacing w:line="480" w:lineRule="exact"/>
              <w:ind w:firstLine="480" w:firstLineChars="200"/>
              <w:rPr>
                <w:rFonts w:cs="宋体"/>
                <w:bCs/>
                <w:color w:val="000000"/>
                <w:szCs w:val="21"/>
              </w:rPr>
            </w:pPr>
            <w:r>
              <w:rPr>
                <w:rFonts w:hint="eastAsia" w:cs="宋体"/>
                <w:bCs/>
                <w:color w:val="000000"/>
                <w:szCs w:val="21"/>
              </w:rPr>
              <w:t>（3）噪声</w:t>
            </w:r>
          </w:p>
          <w:p w14:paraId="61FF4188">
            <w:pPr>
              <w:spacing w:line="480" w:lineRule="exact"/>
              <w:ind w:firstLine="480" w:firstLineChars="200"/>
              <w:rPr>
                <w:rFonts w:cs="宋体"/>
                <w:bCs/>
                <w:color w:val="000000"/>
                <w:szCs w:val="21"/>
              </w:rPr>
            </w:pPr>
            <w:r>
              <w:rPr>
                <w:rFonts w:hint="eastAsia" w:cs="宋体"/>
                <w:bCs/>
                <w:color w:val="000000"/>
                <w:szCs w:val="21"/>
              </w:rPr>
              <w:t>本项目叉车依托厂内现有，不新增噪声源。</w:t>
            </w:r>
          </w:p>
          <w:p w14:paraId="3ADF1E15">
            <w:pPr>
              <w:spacing w:line="480" w:lineRule="exact"/>
              <w:ind w:firstLine="480" w:firstLineChars="200"/>
              <w:rPr>
                <w:rFonts w:cs="宋体"/>
                <w:bCs/>
                <w:color w:val="000000"/>
                <w:szCs w:val="21"/>
              </w:rPr>
            </w:pPr>
            <w:r>
              <w:rPr>
                <w:rFonts w:hint="eastAsia" w:cs="宋体"/>
                <w:bCs/>
                <w:color w:val="000000"/>
                <w:szCs w:val="21"/>
              </w:rPr>
              <w:t>（4）固体废物</w:t>
            </w:r>
          </w:p>
          <w:p w14:paraId="2893E94E">
            <w:pPr>
              <w:spacing w:line="480" w:lineRule="exact"/>
              <w:ind w:firstLine="480" w:firstLineChars="200"/>
              <w:rPr>
                <w:rFonts w:cs="宋体"/>
                <w:bCs/>
                <w:color w:val="000000"/>
                <w:szCs w:val="21"/>
              </w:rPr>
            </w:pPr>
            <w:r>
              <w:rPr>
                <w:rFonts w:hint="eastAsia" w:cs="宋体"/>
                <w:bCs/>
                <w:color w:val="000000"/>
                <w:szCs w:val="21"/>
              </w:rPr>
              <w:t>本项目建设危废库暂存草酸盐，运营期无固废产生。</w:t>
            </w:r>
          </w:p>
          <w:p w14:paraId="1B712EAF">
            <w:pPr>
              <w:adjustRightInd w:val="0"/>
              <w:snapToGrid w:val="0"/>
              <w:spacing w:line="480" w:lineRule="exact"/>
              <w:ind w:firstLine="482" w:firstLineChars="200"/>
              <w:rPr>
                <w:rFonts w:cs="宋体"/>
                <w:b/>
                <w:color w:val="000000"/>
                <w:szCs w:val="21"/>
              </w:rPr>
            </w:pPr>
            <w:r>
              <w:rPr>
                <w:rFonts w:hint="eastAsia" w:cs="宋体"/>
                <w:b/>
                <w:color w:val="000000"/>
                <w:szCs w:val="21"/>
              </w:rPr>
              <w:t>2、废水</w:t>
            </w:r>
          </w:p>
          <w:p w14:paraId="338F3543">
            <w:pPr>
              <w:adjustRightInd w:val="0"/>
              <w:snapToGrid w:val="0"/>
              <w:spacing w:line="480" w:lineRule="exact"/>
              <w:ind w:firstLine="480" w:firstLineChars="200"/>
              <w:rPr>
                <w:rFonts w:cs="宋体"/>
                <w:bCs/>
                <w:color w:val="000000"/>
                <w:szCs w:val="21"/>
              </w:rPr>
            </w:pPr>
            <w:r>
              <w:rPr>
                <w:rFonts w:hint="eastAsia" w:cs="宋体"/>
                <w:bCs/>
                <w:color w:val="000000"/>
                <w:szCs w:val="21"/>
              </w:rPr>
              <w:t>项目为危险废物暂存项目，全部为干式作业，无生产废水的产生排放。项目不新增员工，无生活污水产生排放。事故状态下的废液、冲洗废水经储存区导流沟流入收集池，收集后交有资质单位处置，不外排。</w:t>
            </w:r>
          </w:p>
          <w:p w14:paraId="46A317B2">
            <w:pPr>
              <w:adjustRightInd w:val="0"/>
              <w:snapToGrid w:val="0"/>
              <w:spacing w:line="480" w:lineRule="exact"/>
              <w:ind w:firstLine="480" w:firstLineChars="200"/>
              <w:rPr>
                <w:rFonts w:cs="宋体"/>
                <w:bCs/>
                <w:color w:val="000000"/>
                <w:szCs w:val="21"/>
              </w:rPr>
            </w:pPr>
            <w:r>
              <w:rPr>
                <w:rFonts w:hint="eastAsia" w:cs="宋体"/>
                <w:bCs/>
                <w:color w:val="000000"/>
                <w:szCs w:val="21"/>
              </w:rPr>
              <w:t>综上所述，项目运营期无废水外排，对周围地表水无影响。</w:t>
            </w:r>
          </w:p>
          <w:p w14:paraId="413E6B16">
            <w:pPr>
              <w:adjustRightInd w:val="0"/>
              <w:snapToGrid w:val="0"/>
              <w:spacing w:line="480" w:lineRule="exact"/>
              <w:ind w:firstLine="482" w:firstLineChars="200"/>
              <w:rPr>
                <w:rFonts w:cs="宋体"/>
                <w:b/>
                <w:color w:val="000000"/>
                <w:szCs w:val="21"/>
              </w:rPr>
            </w:pPr>
            <w:r>
              <w:rPr>
                <w:rFonts w:hint="eastAsia" w:cs="宋体"/>
                <w:b/>
                <w:color w:val="000000"/>
                <w:szCs w:val="21"/>
              </w:rPr>
              <w:t>3、噪声</w:t>
            </w:r>
          </w:p>
          <w:p w14:paraId="0B382784">
            <w:pPr>
              <w:adjustRightInd w:val="0"/>
              <w:snapToGrid w:val="0"/>
              <w:spacing w:line="480" w:lineRule="exact"/>
              <w:ind w:firstLine="480" w:firstLineChars="200"/>
              <w:rPr>
                <w:rFonts w:cs="宋体"/>
                <w:bCs/>
                <w:color w:val="000000"/>
                <w:szCs w:val="21"/>
              </w:rPr>
            </w:pPr>
            <w:r>
              <w:rPr>
                <w:rFonts w:hint="eastAsia" w:cs="宋体"/>
                <w:bCs/>
                <w:color w:val="000000"/>
                <w:szCs w:val="21"/>
              </w:rPr>
              <w:t>项目不新增产噪设施，叉车依托厂内现有，不新增噪声源。</w:t>
            </w:r>
          </w:p>
          <w:p w14:paraId="5DECFB65">
            <w:pPr>
              <w:adjustRightInd w:val="0"/>
              <w:snapToGrid w:val="0"/>
              <w:spacing w:line="480" w:lineRule="exact"/>
              <w:ind w:firstLine="482" w:firstLineChars="200"/>
              <w:rPr>
                <w:rFonts w:cs="宋体"/>
                <w:b/>
                <w:color w:val="000000"/>
                <w:szCs w:val="21"/>
              </w:rPr>
            </w:pPr>
            <w:r>
              <w:rPr>
                <w:rFonts w:hint="eastAsia" w:cs="宋体"/>
                <w:b/>
                <w:color w:val="000000"/>
                <w:szCs w:val="21"/>
              </w:rPr>
              <w:t>4、固体废物</w:t>
            </w:r>
          </w:p>
          <w:p w14:paraId="031038B3">
            <w:pPr>
              <w:adjustRightInd w:val="0"/>
              <w:snapToGrid w:val="0"/>
              <w:spacing w:line="480" w:lineRule="exact"/>
              <w:ind w:firstLine="480" w:firstLineChars="200"/>
              <w:rPr>
                <w:rFonts w:cs="宋体"/>
                <w:bCs/>
                <w:color w:val="000000"/>
                <w:szCs w:val="21"/>
              </w:rPr>
            </w:pPr>
            <w:r>
              <w:rPr>
                <w:rFonts w:hint="eastAsia" w:cs="宋体"/>
                <w:bCs/>
                <w:color w:val="000000"/>
                <w:szCs w:val="21"/>
              </w:rPr>
              <w:t>项目不新增劳动定员，不增加生活垃圾产生量；项目正常情况下无固体废物产生</w:t>
            </w:r>
            <w:r>
              <w:rPr>
                <w:rFonts w:hint="eastAsia"/>
                <w:bCs/>
                <w:color w:val="000000"/>
                <w:szCs w:val="21"/>
              </w:rPr>
              <w:t>。</w:t>
            </w:r>
          </w:p>
          <w:p w14:paraId="0985D98B">
            <w:pPr>
              <w:adjustRightInd w:val="0"/>
              <w:snapToGrid w:val="0"/>
              <w:spacing w:line="480" w:lineRule="exact"/>
              <w:ind w:firstLine="482" w:firstLineChars="200"/>
              <w:rPr>
                <w:rFonts w:cs="宋体"/>
                <w:b/>
                <w:color w:val="000000"/>
                <w:szCs w:val="21"/>
              </w:rPr>
            </w:pPr>
            <w:r>
              <w:rPr>
                <w:rFonts w:hint="eastAsia" w:cs="宋体"/>
                <w:b/>
                <w:color w:val="000000"/>
                <w:szCs w:val="21"/>
              </w:rPr>
              <w:t>5、地下水、土壤</w:t>
            </w:r>
          </w:p>
          <w:p w14:paraId="0D4F2EE3">
            <w:pPr>
              <w:adjustRightInd w:val="0"/>
              <w:snapToGrid w:val="0"/>
              <w:spacing w:line="480" w:lineRule="exact"/>
              <w:ind w:firstLine="480" w:firstLineChars="200"/>
              <w:rPr>
                <w:rFonts w:cs="宋体"/>
                <w:bCs/>
                <w:color w:val="000000"/>
                <w:szCs w:val="21"/>
              </w:rPr>
            </w:pPr>
            <w:r>
              <w:rPr>
                <w:rFonts w:hint="eastAsia" w:cs="宋体"/>
                <w:bCs/>
                <w:color w:val="000000"/>
                <w:szCs w:val="21"/>
              </w:rPr>
              <w:t>本项目建设危废库仅暂存草酸盐，不从事生产性活动，草酸盐含水率约30%，长时间堆存可能会有渗滤液产生，但包装采取双层封闭专用袋，不会出现泄漏情况。同时危废库地面、导流沟及收集池防渗系数≤10</w:t>
            </w:r>
            <w:r>
              <w:rPr>
                <w:rFonts w:hint="eastAsia" w:cs="宋体"/>
                <w:bCs/>
                <w:color w:val="000000"/>
                <w:szCs w:val="21"/>
                <w:vertAlign w:val="superscript"/>
              </w:rPr>
              <w:t>-l0</w:t>
            </w:r>
            <w:r>
              <w:rPr>
                <w:rFonts w:hint="eastAsia" w:cs="宋体"/>
                <w:bCs/>
                <w:color w:val="000000"/>
                <w:szCs w:val="21"/>
              </w:rPr>
              <w:t>cm/s。为确保防渗措施的防渗效果，应加强防渗措施的日常维护，安排专人定期进行检查，发生地面破裂、泄漏及时发现并处理。建设单位通过采取防渗措施后，项目对地下水、土壤的环境影响较小。</w:t>
            </w:r>
          </w:p>
          <w:p w14:paraId="4AB88917">
            <w:pPr>
              <w:adjustRightInd w:val="0"/>
              <w:snapToGrid w:val="0"/>
              <w:spacing w:line="480" w:lineRule="exact"/>
              <w:ind w:firstLine="482" w:firstLineChars="200"/>
              <w:rPr>
                <w:rFonts w:cs="宋体"/>
                <w:b/>
                <w:color w:val="000000"/>
                <w:szCs w:val="21"/>
              </w:rPr>
            </w:pPr>
            <w:r>
              <w:rPr>
                <w:rFonts w:cs="宋体"/>
                <w:b/>
                <w:color w:val="000000"/>
                <w:szCs w:val="21"/>
              </w:rPr>
              <w:t>6</w:t>
            </w:r>
            <w:r>
              <w:rPr>
                <w:rFonts w:hint="eastAsia" w:cs="宋体"/>
                <w:b/>
                <w:color w:val="000000"/>
                <w:szCs w:val="21"/>
              </w:rPr>
              <w:t>、生态</w:t>
            </w:r>
          </w:p>
          <w:p w14:paraId="57C9F4CB">
            <w:pPr>
              <w:adjustRightInd w:val="0"/>
              <w:snapToGrid w:val="0"/>
              <w:spacing w:line="480" w:lineRule="exact"/>
              <w:ind w:firstLine="480" w:firstLineChars="200"/>
              <w:rPr>
                <w:rFonts w:cs="宋体"/>
                <w:bCs/>
                <w:color w:val="000000"/>
                <w:szCs w:val="21"/>
              </w:rPr>
            </w:pPr>
            <w:r>
              <w:rPr>
                <w:rFonts w:hint="eastAsia" w:cs="宋体"/>
                <w:bCs/>
                <w:color w:val="000000"/>
                <w:szCs w:val="21"/>
              </w:rPr>
              <w:t>本工程位于文丰新材料现有厂区内，且不新增用地，项目的实施不会对区域生态环境产生不良影响。</w:t>
            </w:r>
          </w:p>
          <w:p w14:paraId="63E1E9EA">
            <w:pPr>
              <w:adjustRightInd w:val="0"/>
              <w:snapToGrid w:val="0"/>
              <w:spacing w:line="480" w:lineRule="exact"/>
              <w:ind w:firstLine="482" w:firstLineChars="200"/>
              <w:rPr>
                <w:rFonts w:cs="宋体"/>
                <w:b/>
                <w:color w:val="000000"/>
                <w:szCs w:val="21"/>
              </w:rPr>
            </w:pPr>
            <w:r>
              <w:rPr>
                <w:rFonts w:hint="eastAsia" w:cs="宋体"/>
                <w:b/>
                <w:color w:val="000000"/>
                <w:szCs w:val="21"/>
              </w:rPr>
              <w:t>7、环境风险</w:t>
            </w:r>
          </w:p>
          <w:p w14:paraId="0FF0DE4E">
            <w:pPr>
              <w:adjustRightInd w:val="0"/>
              <w:snapToGrid w:val="0"/>
              <w:spacing w:line="480" w:lineRule="exact"/>
              <w:ind w:firstLine="480" w:firstLineChars="200"/>
              <w:rPr>
                <w:rFonts w:cs="宋体"/>
                <w:bCs/>
                <w:color w:val="000000"/>
                <w:szCs w:val="21"/>
              </w:rPr>
            </w:pPr>
            <w:r>
              <w:rPr>
                <w:rFonts w:hint="eastAsia" w:cs="宋体"/>
                <w:bCs/>
                <w:color w:val="000000"/>
                <w:szCs w:val="21"/>
              </w:rPr>
              <w:t>根据《建设项目环境风险评价技术导则》（HJ 169-2018）附录B，本项目暂存的草酸盐不属于风险物质。</w:t>
            </w:r>
          </w:p>
          <w:p w14:paraId="163C8F1D">
            <w:pPr>
              <w:adjustRightInd w:val="0"/>
              <w:snapToGrid w:val="0"/>
              <w:spacing w:line="480" w:lineRule="exact"/>
              <w:ind w:firstLine="482" w:firstLineChars="200"/>
              <w:rPr>
                <w:rFonts w:cs="宋体"/>
                <w:b/>
                <w:color w:val="000000"/>
                <w:szCs w:val="21"/>
              </w:rPr>
            </w:pPr>
            <w:r>
              <w:rPr>
                <w:rFonts w:hint="eastAsia" w:cs="宋体"/>
                <w:b/>
                <w:color w:val="000000"/>
                <w:szCs w:val="21"/>
              </w:rPr>
              <w:t>8、电磁辐射</w:t>
            </w:r>
          </w:p>
          <w:p w14:paraId="402F279C">
            <w:pPr>
              <w:adjustRightInd w:val="0"/>
              <w:snapToGrid w:val="0"/>
              <w:spacing w:line="480" w:lineRule="exact"/>
              <w:ind w:firstLine="480" w:firstLineChars="200"/>
              <w:rPr>
                <w:rFonts w:cs="宋体"/>
                <w:bCs/>
                <w:color w:val="000000"/>
                <w:szCs w:val="21"/>
              </w:rPr>
            </w:pPr>
            <w:r>
              <w:rPr>
                <w:rFonts w:hint="eastAsia" w:cs="宋体"/>
                <w:bCs/>
                <w:color w:val="000000"/>
                <w:szCs w:val="21"/>
              </w:rPr>
              <w:t>本项目不涉及电磁辐射源。</w:t>
            </w:r>
          </w:p>
        </w:tc>
      </w:tr>
    </w:tbl>
    <w:p w14:paraId="6B04F187">
      <w:pPr>
        <w:adjustRightInd w:val="0"/>
        <w:snapToGrid w:val="0"/>
        <w:spacing w:line="360" w:lineRule="auto"/>
        <w:ind w:firstLine="562"/>
        <w:rPr>
          <w:rFonts w:ascii="宋体" w:cs="宋体"/>
          <w:b/>
          <w:color w:val="000000"/>
          <w:kern w:val="0"/>
          <w:sz w:val="28"/>
          <w:szCs w:val="28"/>
        </w:rPr>
        <w:sectPr>
          <w:pgSz w:w="11907" w:h="16840"/>
          <w:pgMar w:top="1701" w:right="1531" w:bottom="2127" w:left="1531" w:header="851" w:footer="851" w:gutter="0"/>
          <w:cols w:space="720" w:num="1"/>
          <w:docGrid w:linePitch="312" w:charSpace="0"/>
        </w:sectPr>
      </w:pPr>
    </w:p>
    <w:p w14:paraId="2E1EFAB0">
      <w:pPr>
        <w:pStyle w:val="24"/>
        <w:jc w:val="center"/>
        <w:outlineLvl w:val="0"/>
        <w:rPr>
          <w:rFonts w:ascii="黑体" w:hAnsi="黑体" w:eastAsia="黑体"/>
          <w:snapToGrid w:val="0"/>
          <w:color w:val="000000"/>
          <w:sz w:val="30"/>
          <w:szCs w:val="30"/>
        </w:rPr>
      </w:pPr>
      <w:r>
        <w:rPr>
          <w:rFonts w:hint="eastAsia" w:ascii="黑体" w:hAnsi="黑体" w:eastAsia="黑体"/>
          <w:snapToGrid w:val="0"/>
          <w:color w:val="000000"/>
          <w:sz w:val="30"/>
          <w:szCs w:val="30"/>
        </w:rPr>
        <w:t>五、</w:t>
      </w:r>
      <w:bookmarkStart w:id="10" w:name="_Hlk54167917"/>
      <w:r>
        <w:rPr>
          <w:rFonts w:hint="eastAsia" w:ascii="黑体" w:hAnsi="黑体" w:eastAsia="黑体"/>
          <w:snapToGrid w:val="0"/>
          <w:color w:val="000000"/>
          <w:sz w:val="30"/>
          <w:szCs w:val="30"/>
        </w:rPr>
        <w:t>环境保护措施监督检查清单</w:t>
      </w:r>
      <w:bookmarkEnd w:id="10"/>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1886"/>
        <w:gridCol w:w="1624"/>
        <w:gridCol w:w="1494"/>
        <w:gridCol w:w="2018"/>
      </w:tblGrid>
      <w:tr w14:paraId="57649F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78" w:type="dxa"/>
            <w:tcBorders>
              <w:tl2br w:val="single" w:color="auto" w:sz="4" w:space="0"/>
            </w:tcBorders>
          </w:tcPr>
          <w:p w14:paraId="756E32D3">
            <w:pPr>
              <w:adjustRightInd w:val="0"/>
              <w:snapToGrid w:val="0"/>
              <w:jc w:val="right"/>
              <w:rPr>
                <w:rFonts w:cs="宋体"/>
                <w:color w:val="000000"/>
              </w:rPr>
            </w:pPr>
            <w:r>
              <w:rPr>
                <w:rFonts w:hint="eastAsia" w:cs="宋体"/>
                <w:color w:val="000000"/>
              </w:rPr>
              <w:t>内容</w:t>
            </w:r>
          </w:p>
          <w:p w14:paraId="34C1E1FC">
            <w:pPr>
              <w:adjustRightInd w:val="0"/>
              <w:snapToGrid w:val="0"/>
              <w:jc w:val="right"/>
              <w:rPr>
                <w:rFonts w:cs="宋体"/>
                <w:color w:val="000000"/>
              </w:rPr>
            </w:pPr>
          </w:p>
          <w:p w14:paraId="667F44FE">
            <w:pPr>
              <w:adjustRightInd w:val="0"/>
              <w:snapToGrid w:val="0"/>
              <w:rPr>
                <w:rFonts w:cs="宋体"/>
                <w:color w:val="000000"/>
              </w:rPr>
            </w:pPr>
            <w:r>
              <w:rPr>
                <w:rFonts w:hint="eastAsia" w:cs="宋体"/>
                <w:color w:val="000000"/>
              </w:rPr>
              <w:t>要素</w:t>
            </w:r>
          </w:p>
        </w:tc>
        <w:tc>
          <w:tcPr>
            <w:tcW w:w="1886" w:type="dxa"/>
            <w:vAlign w:val="center"/>
          </w:tcPr>
          <w:p w14:paraId="6E4AC053">
            <w:pPr>
              <w:adjustRightInd w:val="0"/>
              <w:snapToGrid w:val="0"/>
              <w:jc w:val="center"/>
              <w:rPr>
                <w:rFonts w:cs="宋体"/>
                <w:color w:val="000000"/>
              </w:rPr>
            </w:pPr>
            <w:r>
              <w:rPr>
                <w:rFonts w:hint="eastAsia" w:cs="宋体"/>
                <w:color w:val="000000"/>
              </w:rPr>
              <w:t>排放口(编号、名称)/污染源</w:t>
            </w:r>
          </w:p>
        </w:tc>
        <w:tc>
          <w:tcPr>
            <w:tcW w:w="1624" w:type="dxa"/>
            <w:vAlign w:val="center"/>
          </w:tcPr>
          <w:p w14:paraId="2A2D47A5">
            <w:pPr>
              <w:adjustRightInd w:val="0"/>
              <w:snapToGrid w:val="0"/>
              <w:jc w:val="center"/>
              <w:rPr>
                <w:rFonts w:cs="宋体"/>
                <w:color w:val="000000"/>
              </w:rPr>
            </w:pPr>
            <w:r>
              <w:rPr>
                <w:rFonts w:hint="eastAsia" w:cs="宋体"/>
                <w:color w:val="000000"/>
              </w:rPr>
              <w:t>污染物项目</w:t>
            </w:r>
          </w:p>
        </w:tc>
        <w:tc>
          <w:tcPr>
            <w:tcW w:w="1494" w:type="dxa"/>
            <w:vAlign w:val="center"/>
          </w:tcPr>
          <w:p w14:paraId="4F33C655">
            <w:pPr>
              <w:adjustRightInd w:val="0"/>
              <w:snapToGrid w:val="0"/>
              <w:jc w:val="center"/>
              <w:rPr>
                <w:rFonts w:cs="宋体"/>
                <w:color w:val="000000"/>
              </w:rPr>
            </w:pPr>
            <w:r>
              <w:rPr>
                <w:rFonts w:hint="eastAsia" w:cs="宋体"/>
                <w:color w:val="000000"/>
              </w:rPr>
              <w:t>环境保护措施</w:t>
            </w:r>
          </w:p>
        </w:tc>
        <w:tc>
          <w:tcPr>
            <w:tcW w:w="2018" w:type="dxa"/>
            <w:vAlign w:val="center"/>
          </w:tcPr>
          <w:p w14:paraId="590F6D78">
            <w:pPr>
              <w:adjustRightInd w:val="0"/>
              <w:snapToGrid w:val="0"/>
              <w:jc w:val="center"/>
              <w:rPr>
                <w:rFonts w:cs="宋体"/>
                <w:color w:val="000000"/>
              </w:rPr>
            </w:pPr>
            <w:r>
              <w:rPr>
                <w:rFonts w:hint="eastAsia" w:cs="宋体"/>
                <w:color w:val="000000"/>
              </w:rPr>
              <w:t>执行标准</w:t>
            </w:r>
          </w:p>
        </w:tc>
      </w:tr>
      <w:tr w14:paraId="2D931A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78" w:type="dxa"/>
            <w:vAlign w:val="center"/>
          </w:tcPr>
          <w:p w14:paraId="74EADF1D">
            <w:pPr>
              <w:adjustRightInd w:val="0"/>
              <w:snapToGrid w:val="0"/>
              <w:jc w:val="center"/>
              <w:rPr>
                <w:rFonts w:cs="宋体"/>
                <w:color w:val="000000"/>
              </w:rPr>
            </w:pPr>
            <w:r>
              <w:rPr>
                <w:rFonts w:hint="eastAsia" w:cs="宋体"/>
                <w:color w:val="000000"/>
              </w:rPr>
              <w:t>大气环境</w:t>
            </w:r>
          </w:p>
        </w:tc>
        <w:tc>
          <w:tcPr>
            <w:tcW w:w="1886" w:type="dxa"/>
            <w:vAlign w:val="center"/>
          </w:tcPr>
          <w:p w14:paraId="2415A948">
            <w:pPr>
              <w:adjustRightInd w:val="0"/>
              <w:snapToGrid w:val="0"/>
              <w:jc w:val="center"/>
              <w:rPr>
                <w:rFonts w:cs="宋体"/>
                <w:color w:val="000000"/>
              </w:rPr>
            </w:pPr>
            <w:r>
              <w:rPr>
                <w:rFonts w:hint="eastAsia" w:cs="宋体"/>
                <w:color w:val="000000"/>
              </w:rPr>
              <w:t>/</w:t>
            </w:r>
          </w:p>
        </w:tc>
        <w:tc>
          <w:tcPr>
            <w:tcW w:w="1624" w:type="dxa"/>
            <w:vAlign w:val="center"/>
          </w:tcPr>
          <w:p w14:paraId="126EEC6F">
            <w:pPr>
              <w:adjustRightInd w:val="0"/>
              <w:snapToGrid w:val="0"/>
              <w:jc w:val="center"/>
              <w:rPr>
                <w:rFonts w:cs="宋体"/>
                <w:color w:val="000000"/>
              </w:rPr>
            </w:pPr>
            <w:r>
              <w:rPr>
                <w:rFonts w:hint="eastAsia" w:cs="宋体"/>
                <w:color w:val="000000"/>
              </w:rPr>
              <w:t>/</w:t>
            </w:r>
          </w:p>
        </w:tc>
        <w:tc>
          <w:tcPr>
            <w:tcW w:w="1494" w:type="dxa"/>
            <w:vAlign w:val="center"/>
          </w:tcPr>
          <w:p w14:paraId="63B223D9">
            <w:pPr>
              <w:adjustRightInd w:val="0"/>
              <w:snapToGrid w:val="0"/>
              <w:jc w:val="center"/>
              <w:rPr>
                <w:rFonts w:cs="宋体"/>
                <w:color w:val="000000"/>
              </w:rPr>
            </w:pPr>
            <w:r>
              <w:rPr>
                <w:rFonts w:hint="eastAsia" w:cs="宋体"/>
                <w:color w:val="000000"/>
              </w:rPr>
              <w:t>/</w:t>
            </w:r>
          </w:p>
        </w:tc>
        <w:tc>
          <w:tcPr>
            <w:tcW w:w="2018" w:type="dxa"/>
            <w:vAlign w:val="center"/>
          </w:tcPr>
          <w:p w14:paraId="241847DC">
            <w:pPr>
              <w:adjustRightInd w:val="0"/>
              <w:snapToGrid w:val="0"/>
              <w:jc w:val="center"/>
              <w:rPr>
                <w:rFonts w:cs="宋体"/>
                <w:color w:val="000000"/>
              </w:rPr>
            </w:pPr>
            <w:r>
              <w:rPr>
                <w:rFonts w:hint="eastAsia" w:cs="宋体"/>
                <w:color w:val="000000"/>
              </w:rPr>
              <w:t>/</w:t>
            </w:r>
          </w:p>
        </w:tc>
      </w:tr>
      <w:tr w14:paraId="44674C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78" w:type="dxa"/>
            <w:vAlign w:val="center"/>
          </w:tcPr>
          <w:p w14:paraId="5ED07221">
            <w:pPr>
              <w:adjustRightInd w:val="0"/>
              <w:snapToGrid w:val="0"/>
              <w:jc w:val="center"/>
              <w:rPr>
                <w:rFonts w:cs="宋体"/>
                <w:color w:val="000000"/>
              </w:rPr>
            </w:pPr>
            <w:r>
              <w:rPr>
                <w:rFonts w:hint="eastAsia" w:cs="宋体"/>
                <w:color w:val="000000"/>
              </w:rPr>
              <w:t>地表水环境</w:t>
            </w:r>
          </w:p>
        </w:tc>
        <w:tc>
          <w:tcPr>
            <w:tcW w:w="1886" w:type="dxa"/>
            <w:vAlign w:val="center"/>
          </w:tcPr>
          <w:p w14:paraId="053E1AA6">
            <w:pPr>
              <w:adjustRightInd w:val="0"/>
              <w:snapToGrid w:val="0"/>
              <w:jc w:val="center"/>
              <w:rPr>
                <w:rFonts w:cs="宋体"/>
                <w:color w:val="000000"/>
              </w:rPr>
            </w:pPr>
            <w:r>
              <w:rPr>
                <w:rFonts w:hint="eastAsia" w:cs="宋体"/>
                <w:color w:val="000000"/>
              </w:rPr>
              <w:t>/</w:t>
            </w:r>
          </w:p>
        </w:tc>
        <w:tc>
          <w:tcPr>
            <w:tcW w:w="1624" w:type="dxa"/>
            <w:vAlign w:val="center"/>
          </w:tcPr>
          <w:p w14:paraId="3AF3063D">
            <w:pPr>
              <w:adjustRightInd w:val="0"/>
              <w:snapToGrid w:val="0"/>
              <w:jc w:val="center"/>
              <w:rPr>
                <w:rFonts w:cs="宋体"/>
                <w:color w:val="000000"/>
              </w:rPr>
            </w:pPr>
            <w:r>
              <w:rPr>
                <w:rFonts w:hint="eastAsia" w:cs="宋体"/>
                <w:color w:val="000000"/>
              </w:rPr>
              <w:t>/</w:t>
            </w:r>
          </w:p>
        </w:tc>
        <w:tc>
          <w:tcPr>
            <w:tcW w:w="1494" w:type="dxa"/>
            <w:vAlign w:val="center"/>
          </w:tcPr>
          <w:p w14:paraId="7539B5E7">
            <w:pPr>
              <w:adjustRightInd w:val="0"/>
              <w:snapToGrid w:val="0"/>
              <w:jc w:val="center"/>
              <w:rPr>
                <w:rFonts w:cs="宋体"/>
                <w:color w:val="000000"/>
              </w:rPr>
            </w:pPr>
            <w:r>
              <w:rPr>
                <w:rFonts w:hint="eastAsia" w:cs="宋体"/>
                <w:color w:val="000000"/>
              </w:rPr>
              <w:t>/</w:t>
            </w:r>
          </w:p>
        </w:tc>
        <w:tc>
          <w:tcPr>
            <w:tcW w:w="2018" w:type="dxa"/>
            <w:vAlign w:val="center"/>
          </w:tcPr>
          <w:p w14:paraId="4A10BF1E">
            <w:pPr>
              <w:adjustRightInd w:val="0"/>
              <w:snapToGrid w:val="0"/>
              <w:jc w:val="center"/>
              <w:rPr>
                <w:rFonts w:cs="宋体"/>
                <w:color w:val="000000"/>
              </w:rPr>
            </w:pPr>
            <w:r>
              <w:rPr>
                <w:rFonts w:hint="eastAsia" w:cs="宋体"/>
                <w:color w:val="000000"/>
              </w:rPr>
              <w:t>/</w:t>
            </w:r>
          </w:p>
        </w:tc>
      </w:tr>
      <w:tr w14:paraId="1348B5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78" w:type="dxa"/>
            <w:vAlign w:val="center"/>
          </w:tcPr>
          <w:p w14:paraId="2806E70D">
            <w:pPr>
              <w:adjustRightInd w:val="0"/>
              <w:snapToGrid w:val="0"/>
              <w:jc w:val="center"/>
              <w:rPr>
                <w:rFonts w:cs="宋体"/>
                <w:color w:val="000000"/>
              </w:rPr>
            </w:pPr>
            <w:r>
              <w:rPr>
                <w:rFonts w:hint="eastAsia" w:cs="宋体"/>
                <w:color w:val="000000"/>
              </w:rPr>
              <w:t>声环境</w:t>
            </w:r>
          </w:p>
        </w:tc>
        <w:tc>
          <w:tcPr>
            <w:tcW w:w="1886" w:type="dxa"/>
            <w:vAlign w:val="center"/>
          </w:tcPr>
          <w:p w14:paraId="66F2D773">
            <w:pPr>
              <w:adjustRightInd w:val="0"/>
              <w:snapToGrid w:val="0"/>
              <w:jc w:val="center"/>
              <w:rPr>
                <w:rFonts w:cs="宋体"/>
                <w:color w:val="000000"/>
              </w:rPr>
            </w:pPr>
            <w:r>
              <w:rPr>
                <w:rFonts w:hint="eastAsia" w:cs="宋体"/>
                <w:color w:val="000000"/>
              </w:rPr>
              <w:t>/</w:t>
            </w:r>
          </w:p>
        </w:tc>
        <w:tc>
          <w:tcPr>
            <w:tcW w:w="1624" w:type="dxa"/>
            <w:vAlign w:val="center"/>
          </w:tcPr>
          <w:p w14:paraId="2FB8620E">
            <w:pPr>
              <w:adjustRightInd w:val="0"/>
              <w:snapToGrid w:val="0"/>
              <w:jc w:val="center"/>
              <w:rPr>
                <w:rFonts w:cs="宋体"/>
                <w:color w:val="000000"/>
              </w:rPr>
            </w:pPr>
            <w:r>
              <w:rPr>
                <w:rFonts w:hint="eastAsia" w:cs="宋体"/>
                <w:color w:val="000000"/>
              </w:rPr>
              <w:t>/</w:t>
            </w:r>
          </w:p>
        </w:tc>
        <w:tc>
          <w:tcPr>
            <w:tcW w:w="1494" w:type="dxa"/>
            <w:vAlign w:val="center"/>
          </w:tcPr>
          <w:p w14:paraId="56099C72">
            <w:pPr>
              <w:adjustRightInd w:val="0"/>
              <w:snapToGrid w:val="0"/>
              <w:jc w:val="center"/>
              <w:rPr>
                <w:rFonts w:cs="宋体"/>
                <w:color w:val="000000"/>
              </w:rPr>
            </w:pPr>
            <w:r>
              <w:rPr>
                <w:rFonts w:hint="eastAsia" w:cs="宋体"/>
                <w:color w:val="000000"/>
              </w:rPr>
              <w:t>/</w:t>
            </w:r>
          </w:p>
        </w:tc>
        <w:tc>
          <w:tcPr>
            <w:tcW w:w="2018" w:type="dxa"/>
            <w:vAlign w:val="center"/>
          </w:tcPr>
          <w:p w14:paraId="6FE901BB">
            <w:pPr>
              <w:adjustRightInd w:val="0"/>
              <w:snapToGrid w:val="0"/>
              <w:jc w:val="center"/>
              <w:rPr>
                <w:rFonts w:cs="宋体"/>
                <w:color w:val="000000"/>
              </w:rPr>
            </w:pPr>
            <w:r>
              <w:rPr>
                <w:rFonts w:hint="eastAsia" w:cs="宋体"/>
                <w:color w:val="000000"/>
              </w:rPr>
              <w:t>/</w:t>
            </w:r>
          </w:p>
        </w:tc>
      </w:tr>
      <w:tr w14:paraId="039005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78" w:type="dxa"/>
            <w:vAlign w:val="center"/>
          </w:tcPr>
          <w:p w14:paraId="5CF700A8">
            <w:pPr>
              <w:adjustRightInd w:val="0"/>
              <w:snapToGrid w:val="0"/>
              <w:jc w:val="center"/>
              <w:rPr>
                <w:rFonts w:cs="宋体"/>
                <w:color w:val="000000"/>
              </w:rPr>
            </w:pPr>
            <w:r>
              <w:rPr>
                <w:rFonts w:hint="eastAsia" w:cs="宋体"/>
                <w:color w:val="000000"/>
              </w:rPr>
              <w:t>电磁辐射</w:t>
            </w:r>
          </w:p>
        </w:tc>
        <w:tc>
          <w:tcPr>
            <w:tcW w:w="1886" w:type="dxa"/>
            <w:vAlign w:val="center"/>
          </w:tcPr>
          <w:p w14:paraId="5C2BF61C">
            <w:pPr>
              <w:adjustRightInd w:val="0"/>
              <w:snapToGrid w:val="0"/>
              <w:jc w:val="center"/>
              <w:rPr>
                <w:rFonts w:cs="宋体"/>
                <w:color w:val="000000"/>
              </w:rPr>
            </w:pPr>
            <w:r>
              <w:rPr>
                <w:rFonts w:hint="eastAsia" w:cs="宋体"/>
                <w:color w:val="000000"/>
              </w:rPr>
              <w:t>/</w:t>
            </w:r>
          </w:p>
        </w:tc>
        <w:tc>
          <w:tcPr>
            <w:tcW w:w="1624" w:type="dxa"/>
            <w:vAlign w:val="center"/>
          </w:tcPr>
          <w:p w14:paraId="4615E905">
            <w:pPr>
              <w:adjustRightInd w:val="0"/>
              <w:snapToGrid w:val="0"/>
              <w:jc w:val="center"/>
              <w:rPr>
                <w:rFonts w:cs="宋体"/>
                <w:color w:val="000000"/>
              </w:rPr>
            </w:pPr>
            <w:r>
              <w:rPr>
                <w:rFonts w:hint="eastAsia" w:cs="宋体"/>
                <w:color w:val="000000"/>
              </w:rPr>
              <w:t>/</w:t>
            </w:r>
          </w:p>
        </w:tc>
        <w:tc>
          <w:tcPr>
            <w:tcW w:w="1494" w:type="dxa"/>
            <w:vAlign w:val="center"/>
          </w:tcPr>
          <w:p w14:paraId="3DB49C5D">
            <w:pPr>
              <w:adjustRightInd w:val="0"/>
              <w:snapToGrid w:val="0"/>
              <w:jc w:val="center"/>
              <w:rPr>
                <w:rFonts w:cs="宋体"/>
                <w:color w:val="000000"/>
              </w:rPr>
            </w:pPr>
            <w:r>
              <w:rPr>
                <w:rFonts w:hint="eastAsia" w:cs="宋体"/>
                <w:color w:val="000000"/>
              </w:rPr>
              <w:t>/</w:t>
            </w:r>
          </w:p>
        </w:tc>
        <w:tc>
          <w:tcPr>
            <w:tcW w:w="2018" w:type="dxa"/>
            <w:vAlign w:val="center"/>
          </w:tcPr>
          <w:p w14:paraId="3B12F252">
            <w:pPr>
              <w:adjustRightInd w:val="0"/>
              <w:snapToGrid w:val="0"/>
              <w:jc w:val="center"/>
              <w:rPr>
                <w:rFonts w:cs="宋体"/>
                <w:color w:val="000000"/>
              </w:rPr>
            </w:pPr>
            <w:r>
              <w:rPr>
                <w:rFonts w:hint="eastAsia" w:cs="宋体"/>
                <w:color w:val="000000"/>
              </w:rPr>
              <w:t>/</w:t>
            </w:r>
          </w:p>
        </w:tc>
      </w:tr>
      <w:tr w14:paraId="7B3F46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78" w:type="dxa"/>
            <w:vAlign w:val="center"/>
          </w:tcPr>
          <w:p w14:paraId="09E02C4B">
            <w:pPr>
              <w:adjustRightInd w:val="0"/>
              <w:snapToGrid w:val="0"/>
              <w:jc w:val="center"/>
              <w:rPr>
                <w:rFonts w:cs="宋体"/>
                <w:color w:val="000000"/>
              </w:rPr>
            </w:pPr>
            <w:r>
              <w:rPr>
                <w:rFonts w:hint="eastAsia" w:cs="宋体"/>
                <w:color w:val="000000"/>
              </w:rPr>
              <w:t>固体废物</w:t>
            </w:r>
          </w:p>
        </w:tc>
        <w:tc>
          <w:tcPr>
            <w:tcW w:w="5004" w:type="dxa"/>
            <w:gridSpan w:val="3"/>
            <w:vAlign w:val="center"/>
          </w:tcPr>
          <w:p w14:paraId="2652571C">
            <w:pPr>
              <w:adjustRightInd w:val="0"/>
              <w:snapToGrid w:val="0"/>
              <w:jc w:val="center"/>
              <w:rPr>
                <w:rFonts w:cs="宋体"/>
                <w:color w:val="000000"/>
              </w:rPr>
            </w:pPr>
            <w:r>
              <w:rPr>
                <w:rFonts w:hint="eastAsia" w:cs="宋体"/>
                <w:color w:val="000000"/>
              </w:rPr>
              <w:t>/</w:t>
            </w:r>
          </w:p>
        </w:tc>
        <w:tc>
          <w:tcPr>
            <w:tcW w:w="2018" w:type="dxa"/>
            <w:vAlign w:val="center"/>
          </w:tcPr>
          <w:p w14:paraId="00539501">
            <w:pPr>
              <w:adjustRightInd w:val="0"/>
              <w:snapToGrid w:val="0"/>
              <w:jc w:val="center"/>
              <w:rPr>
                <w:rFonts w:cs="宋体"/>
                <w:color w:val="000000"/>
              </w:rPr>
            </w:pPr>
            <w:r>
              <w:rPr>
                <w:rFonts w:hint="eastAsia" w:cs="宋体"/>
                <w:color w:val="000000"/>
              </w:rPr>
              <w:t>/</w:t>
            </w:r>
          </w:p>
        </w:tc>
      </w:tr>
      <w:tr w14:paraId="477566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78" w:type="dxa"/>
            <w:vAlign w:val="center"/>
          </w:tcPr>
          <w:p w14:paraId="1CC87868">
            <w:pPr>
              <w:adjustRightInd w:val="0"/>
              <w:snapToGrid w:val="0"/>
              <w:jc w:val="center"/>
              <w:rPr>
                <w:rFonts w:cs="宋体"/>
                <w:color w:val="000000"/>
              </w:rPr>
            </w:pPr>
            <w:r>
              <w:rPr>
                <w:rFonts w:hint="eastAsia" w:cs="宋体"/>
                <w:color w:val="000000"/>
              </w:rPr>
              <w:t>土壤及地下水</w:t>
            </w:r>
          </w:p>
          <w:p w14:paraId="06E1841D">
            <w:pPr>
              <w:adjustRightInd w:val="0"/>
              <w:snapToGrid w:val="0"/>
              <w:jc w:val="center"/>
              <w:rPr>
                <w:rFonts w:cs="宋体"/>
                <w:color w:val="000000"/>
              </w:rPr>
            </w:pPr>
            <w:r>
              <w:rPr>
                <w:rFonts w:hint="eastAsia" w:cs="宋体"/>
                <w:color w:val="000000"/>
              </w:rPr>
              <w:t>污染防治措施</w:t>
            </w:r>
          </w:p>
        </w:tc>
        <w:tc>
          <w:tcPr>
            <w:tcW w:w="7022" w:type="dxa"/>
            <w:gridSpan w:val="4"/>
            <w:vAlign w:val="center"/>
          </w:tcPr>
          <w:p w14:paraId="071F0721">
            <w:pPr>
              <w:adjustRightInd w:val="0"/>
              <w:snapToGrid w:val="0"/>
              <w:rPr>
                <w:rFonts w:cs="宋体"/>
                <w:color w:val="000000"/>
              </w:rPr>
            </w:pPr>
            <w:r>
              <w:rPr>
                <w:rFonts w:hint="eastAsia" w:cs="宋体"/>
                <w:color w:val="000000"/>
              </w:rPr>
              <w:t>①地面由下往上：依次为原地面进行凿毛处理，去除混凝土表面的浮浆和杂质，使表面粗糙，凿毛深度5~10mm，凿毛率不低于90%，以确保足够的粘结面积；60厚C15混凝土垫层；水泥浆一道（内掺建筑胶）；20厚1:2.5水泥砂浆找平；1.5厚聚氨酯防水涂料；2mm厚高密度聚乙烯；水乳型橡胶沥青二布（玻璃布）三涂隔离层；60厚耐碱混凝土；2mm高密度环氧树脂，渗透系数≤1.0×10</w:t>
            </w:r>
            <w:r>
              <w:rPr>
                <w:rFonts w:hint="eastAsia" w:cs="宋体"/>
                <w:color w:val="000000"/>
                <w:vertAlign w:val="superscript"/>
              </w:rPr>
              <w:t>-10</w:t>
            </w:r>
            <w:r>
              <w:rPr>
                <w:rFonts w:hint="eastAsia" w:cs="宋体"/>
                <w:color w:val="000000"/>
              </w:rPr>
              <w:t>cm/s。</w:t>
            </w:r>
          </w:p>
          <w:p w14:paraId="433C2606">
            <w:pPr>
              <w:adjustRightInd w:val="0"/>
              <w:snapToGrid w:val="0"/>
              <w:rPr>
                <w:rFonts w:cs="宋体"/>
                <w:color w:val="000000"/>
              </w:rPr>
            </w:pPr>
            <w:r>
              <w:rPr>
                <w:rFonts w:hint="eastAsia" w:cs="宋体"/>
                <w:color w:val="000000"/>
              </w:rPr>
              <w:t>②导流沟、收集池由下往上：C30P4抗渗混凝土；20厚1:2.5水泥砂浆找平；1.5厚聚氨酯防水涂料；2mm厚高密度聚乙烯；水乳型橡胶沥青二布（玻璃布）三涂隔离层；2mm高密度环氧树脂，渗透系数≤1.0×10</w:t>
            </w:r>
            <w:r>
              <w:rPr>
                <w:rFonts w:hint="eastAsia" w:cs="宋体"/>
                <w:color w:val="000000"/>
                <w:vertAlign w:val="superscript"/>
              </w:rPr>
              <w:t>-10</w:t>
            </w:r>
            <w:r>
              <w:rPr>
                <w:rFonts w:hint="eastAsia" w:cs="宋体"/>
                <w:color w:val="000000"/>
              </w:rPr>
              <w:t>cm/s。</w:t>
            </w:r>
          </w:p>
          <w:p w14:paraId="7D0F3F24">
            <w:pPr>
              <w:adjustRightInd w:val="0"/>
              <w:snapToGrid w:val="0"/>
              <w:rPr>
                <w:rFonts w:cs="宋体"/>
                <w:color w:val="000000"/>
              </w:rPr>
            </w:pPr>
            <w:r>
              <w:rPr>
                <w:rFonts w:hint="eastAsia" w:cs="宋体"/>
                <w:color w:val="000000"/>
              </w:rPr>
              <w:t>③围堰由里往外：基层墙体；20厚1:2.5水泥砂浆找平；1.5厚聚氨酯防水涂料；满刮抗裂砂浆；5mm厚干粉类聚合物水泥防水砂浆，中间压入一层耐碱玻璃纤维网布；灰色涂料。</w:t>
            </w:r>
          </w:p>
          <w:p w14:paraId="02FFC478">
            <w:pPr>
              <w:adjustRightInd w:val="0"/>
              <w:snapToGrid w:val="0"/>
            </w:pPr>
            <w:r>
              <w:rPr>
                <w:rFonts w:hint="eastAsia" w:cs="宋体"/>
                <w:color w:val="000000"/>
              </w:rPr>
              <w:t>为确保防渗措施的防渗效果，应加强防渗措施的日常维护，安排专人定期进行检查，发生地面破裂、泄漏及时发现并处理。</w:t>
            </w:r>
          </w:p>
        </w:tc>
      </w:tr>
      <w:tr w14:paraId="095864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78" w:type="dxa"/>
            <w:vAlign w:val="center"/>
          </w:tcPr>
          <w:p w14:paraId="432E67C0">
            <w:pPr>
              <w:adjustRightInd w:val="0"/>
              <w:snapToGrid w:val="0"/>
              <w:jc w:val="center"/>
              <w:rPr>
                <w:rFonts w:cs="宋体"/>
                <w:color w:val="000000"/>
              </w:rPr>
            </w:pPr>
            <w:r>
              <w:rPr>
                <w:rFonts w:hint="eastAsia" w:cs="宋体"/>
                <w:color w:val="000000"/>
              </w:rPr>
              <w:t>生态保护措施</w:t>
            </w:r>
          </w:p>
        </w:tc>
        <w:tc>
          <w:tcPr>
            <w:tcW w:w="7022" w:type="dxa"/>
            <w:gridSpan w:val="4"/>
            <w:vAlign w:val="center"/>
          </w:tcPr>
          <w:p w14:paraId="5A22AA1B">
            <w:pPr>
              <w:adjustRightInd w:val="0"/>
              <w:snapToGrid w:val="0"/>
              <w:jc w:val="center"/>
              <w:rPr>
                <w:rFonts w:cs="宋体"/>
                <w:color w:val="000000"/>
              </w:rPr>
            </w:pPr>
            <w:r>
              <w:rPr>
                <w:rFonts w:hint="eastAsia" w:cs="宋体"/>
                <w:color w:val="000000"/>
              </w:rPr>
              <w:t>/</w:t>
            </w:r>
          </w:p>
        </w:tc>
      </w:tr>
      <w:tr w14:paraId="71B3AB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78" w:type="dxa"/>
            <w:vAlign w:val="center"/>
          </w:tcPr>
          <w:p w14:paraId="318EA0F0">
            <w:pPr>
              <w:adjustRightInd w:val="0"/>
              <w:snapToGrid w:val="0"/>
              <w:jc w:val="center"/>
              <w:rPr>
                <w:rFonts w:cs="宋体"/>
                <w:color w:val="000000"/>
                <w:spacing w:val="-8"/>
              </w:rPr>
            </w:pPr>
            <w:r>
              <w:rPr>
                <w:rFonts w:hint="eastAsia" w:cs="宋体"/>
                <w:color w:val="000000"/>
                <w:spacing w:val="-8"/>
              </w:rPr>
              <w:t>环境风险</w:t>
            </w:r>
          </w:p>
          <w:p w14:paraId="5AAA8D8C">
            <w:pPr>
              <w:adjustRightInd w:val="0"/>
              <w:snapToGrid w:val="0"/>
              <w:jc w:val="center"/>
              <w:rPr>
                <w:rFonts w:cs="宋体"/>
                <w:color w:val="000000"/>
                <w:spacing w:val="-8"/>
              </w:rPr>
            </w:pPr>
            <w:r>
              <w:rPr>
                <w:rFonts w:hint="eastAsia" w:cs="宋体"/>
                <w:color w:val="000000"/>
                <w:spacing w:val="-8"/>
              </w:rPr>
              <w:t>防范措施</w:t>
            </w:r>
          </w:p>
        </w:tc>
        <w:tc>
          <w:tcPr>
            <w:tcW w:w="7022" w:type="dxa"/>
            <w:gridSpan w:val="4"/>
            <w:vAlign w:val="center"/>
          </w:tcPr>
          <w:p w14:paraId="60EAD385">
            <w:pPr>
              <w:adjustRightInd w:val="0"/>
              <w:snapToGrid w:val="0"/>
              <w:jc w:val="center"/>
              <w:rPr>
                <w:rFonts w:cs="宋体"/>
                <w:color w:val="000000"/>
              </w:rPr>
            </w:pPr>
            <w:r>
              <w:rPr>
                <w:rFonts w:hint="eastAsia" w:cs="宋体"/>
                <w:color w:val="000000"/>
              </w:rPr>
              <w:t>/</w:t>
            </w:r>
          </w:p>
        </w:tc>
      </w:tr>
      <w:tr w14:paraId="47EAC5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78" w:type="dxa"/>
            <w:vAlign w:val="center"/>
          </w:tcPr>
          <w:p w14:paraId="0AE4743E">
            <w:pPr>
              <w:adjustRightInd w:val="0"/>
              <w:snapToGrid w:val="0"/>
              <w:jc w:val="center"/>
              <w:rPr>
                <w:rFonts w:cs="宋体"/>
                <w:color w:val="000000"/>
                <w:spacing w:val="-8"/>
              </w:rPr>
            </w:pPr>
            <w:r>
              <w:rPr>
                <w:rFonts w:hint="eastAsia" w:cs="宋体"/>
                <w:color w:val="000000"/>
                <w:spacing w:val="-8"/>
              </w:rPr>
              <w:t>其他环境管理要求</w:t>
            </w:r>
          </w:p>
        </w:tc>
        <w:tc>
          <w:tcPr>
            <w:tcW w:w="7022" w:type="dxa"/>
            <w:gridSpan w:val="4"/>
            <w:vAlign w:val="center"/>
          </w:tcPr>
          <w:p w14:paraId="0FFA96D8">
            <w:pPr>
              <w:adjustRightInd w:val="0"/>
              <w:snapToGrid w:val="0"/>
              <w:rPr>
                <w:rFonts w:cs="宋体"/>
                <w:color w:val="000000"/>
              </w:rPr>
            </w:pPr>
            <w:r>
              <w:rPr>
                <w:rFonts w:hint="eastAsia" w:cs="宋体"/>
                <w:color w:val="000000"/>
              </w:rPr>
              <w:t>公司设立环境管理机构，履行环保管理职责。</w:t>
            </w:r>
          </w:p>
          <w:p w14:paraId="1FA27DFE">
            <w:pPr>
              <w:adjustRightInd w:val="0"/>
              <w:snapToGrid w:val="0"/>
              <w:rPr>
                <w:rFonts w:cs="宋体"/>
                <w:color w:val="000000"/>
              </w:rPr>
            </w:pPr>
            <w:r>
              <w:rPr>
                <w:rFonts w:hint="eastAsia" w:cs="宋体"/>
                <w:color w:val="000000"/>
              </w:rPr>
              <w:t>1.台账管理</w:t>
            </w:r>
          </w:p>
          <w:p w14:paraId="1A5131DE">
            <w:pPr>
              <w:adjustRightInd w:val="0"/>
              <w:snapToGrid w:val="0"/>
              <w:rPr>
                <w:rFonts w:cs="宋体"/>
                <w:color w:val="000000"/>
              </w:rPr>
            </w:pPr>
            <w:r>
              <w:rPr>
                <w:rFonts w:hint="eastAsia" w:cs="宋体"/>
                <w:color w:val="000000"/>
              </w:rPr>
              <w:t>①</w:t>
            </w:r>
            <w:r>
              <w:rPr>
                <w:rFonts w:cs="宋体"/>
                <w:color w:val="000000"/>
              </w:rPr>
              <w:t>记录内容：详细记录危险废物的产生日期、种类、数量、来源、出入库时间、去向、处置方式等信息。</w:t>
            </w:r>
          </w:p>
          <w:p w14:paraId="02529736">
            <w:pPr>
              <w:adjustRightInd w:val="0"/>
              <w:snapToGrid w:val="0"/>
              <w:rPr>
                <w:rFonts w:cs="宋体"/>
                <w:color w:val="000000"/>
              </w:rPr>
            </w:pPr>
            <w:r>
              <w:rPr>
                <w:rFonts w:hint="eastAsia" w:cs="宋体"/>
                <w:color w:val="000000"/>
              </w:rPr>
              <w:t>②</w:t>
            </w:r>
            <w:r>
              <w:rPr>
                <w:rFonts w:cs="宋体"/>
                <w:color w:val="000000"/>
              </w:rPr>
              <w:t xml:space="preserve">记录要求：数据应准确、完整、真实，不得弄虚作假，且保存期限通常不少于 </w:t>
            </w:r>
            <w:r>
              <w:rPr>
                <w:rFonts w:hint="eastAsia" w:cs="宋体"/>
                <w:color w:val="000000"/>
              </w:rPr>
              <w:t>10</w:t>
            </w:r>
            <w:r>
              <w:rPr>
                <w:rFonts w:cs="宋体"/>
                <w:color w:val="000000"/>
              </w:rPr>
              <w:t xml:space="preserve"> 年。</w:t>
            </w:r>
          </w:p>
          <w:p w14:paraId="55B52C0D">
            <w:pPr>
              <w:adjustRightInd w:val="0"/>
              <w:snapToGrid w:val="0"/>
              <w:rPr>
                <w:rFonts w:cs="宋体"/>
                <w:color w:val="000000"/>
              </w:rPr>
            </w:pPr>
            <w:r>
              <w:rPr>
                <w:rFonts w:hint="eastAsia" w:cs="宋体"/>
                <w:color w:val="000000"/>
              </w:rPr>
              <w:t>2.标识牌设置：在危险废物暂存场所外入口处的墙壁或栏杆显著位置，设置由警示图形和辅助性文字构成的设施标志，标明危险废物设施的类型和相关责任人等信息等。</w:t>
            </w:r>
          </w:p>
          <w:p w14:paraId="2DDF28EB">
            <w:pPr>
              <w:adjustRightInd w:val="0"/>
              <w:snapToGrid w:val="0"/>
              <w:rPr>
                <w:rFonts w:cs="宋体"/>
                <w:color w:val="000000"/>
              </w:rPr>
            </w:pPr>
            <w:r>
              <w:rPr>
                <w:rFonts w:hint="eastAsia" w:cs="宋体"/>
                <w:color w:val="000000"/>
              </w:rPr>
              <w:t>3.转移管理</w:t>
            </w:r>
          </w:p>
          <w:p w14:paraId="0ED9678D">
            <w:pPr>
              <w:adjustRightInd w:val="0"/>
              <w:snapToGrid w:val="0"/>
              <w:rPr>
                <w:rFonts w:cs="宋体"/>
                <w:color w:val="000000"/>
              </w:rPr>
            </w:pPr>
            <w:r>
              <w:rPr>
                <w:rFonts w:hint="eastAsia" w:cs="宋体"/>
                <w:color w:val="000000"/>
              </w:rPr>
              <w:t>①转移联单：严格执行危险废物转移联单制度，在转移危险废物前，须向所在地生态环境主管部门提出申请，经批准后领取转移联单，并如实填写相关信息。</w:t>
            </w:r>
          </w:p>
          <w:p w14:paraId="064F2DAF">
            <w:pPr>
              <w:adjustRightInd w:val="0"/>
              <w:snapToGrid w:val="0"/>
              <w:rPr>
                <w:rFonts w:cs="宋体"/>
                <w:color w:val="000000"/>
              </w:rPr>
            </w:pPr>
            <w:r>
              <w:rPr>
                <w:rFonts w:hint="eastAsia" w:cs="宋体"/>
                <w:color w:val="000000"/>
              </w:rPr>
              <w:t>②运输要求：委托有资质的运输单位进行运输，运输车辆和人员需具备相应的资质和条件，运输过程中要采取防止泄漏、扩散等措施。</w:t>
            </w:r>
          </w:p>
          <w:p w14:paraId="1D71F593">
            <w:pPr>
              <w:adjustRightInd w:val="0"/>
              <w:snapToGrid w:val="0"/>
              <w:rPr>
                <w:rFonts w:cs="宋体"/>
                <w:color w:val="000000"/>
              </w:rPr>
            </w:pPr>
            <w:r>
              <w:rPr>
                <w:rFonts w:hint="eastAsia" w:cs="宋体"/>
                <w:color w:val="000000"/>
              </w:rPr>
              <w:t>4.人员管理</w:t>
            </w:r>
          </w:p>
          <w:p w14:paraId="7FD9083D">
            <w:pPr>
              <w:adjustRightInd w:val="0"/>
              <w:snapToGrid w:val="0"/>
              <w:rPr>
                <w:rFonts w:cs="宋体"/>
                <w:color w:val="000000"/>
              </w:rPr>
            </w:pPr>
            <w:r>
              <w:rPr>
                <w:rFonts w:hint="eastAsia" w:cs="宋体"/>
                <w:color w:val="000000"/>
              </w:rPr>
              <w:t>①培训要求：相关工作人员需接受专业培训，熟悉危险废物的特性、危害以及应急处理措施等知识，经考核合格后方可上岗。</w:t>
            </w:r>
          </w:p>
          <w:p w14:paraId="5C857D6B">
            <w:pPr>
              <w:adjustRightInd w:val="0"/>
              <w:snapToGrid w:val="0"/>
              <w:rPr>
                <w:rFonts w:cs="宋体"/>
                <w:color w:val="000000"/>
              </w:rPr>
            </w:pPr>
            <w:r>
              <w:rPr>
                <w:rFonts w:hint="eastAsia" w:cs="宋体"/>
                <w:color w:val="000000"/>
              </w:rPr>
              <w:t>②职责明确：明确管理人员和操作人员的职责，确保危险废物暂存场所的正常运行和环境安全。</w:t>
            </w:r>
          </w:p>
          <w:p w14:paraId="252ABD67">
            <w:pPr>
              <w:adjustRightInd w:val="0"/>
              <w:snapToGrid w:val="0"/>
              <w:rPr>
                <w:rFonts w:cs="宋体"/>
                <w:color w:val="000000"/>
              </w:rPr>
            </w:pPr>
            <w:r>
              <w:rPr>
                <w:rFonts w:hint="eastAsia" w:cs="宋体"/>
                <w:color w:val="000000"/>
              </w:rPr>
              <w:t>5.灯光要求</w:t>
            </w:r>
          </w:p>
          <w:p w14:paraId="62279905">
            <w:pPr>
              <w:adjustRightInd w:val="0"/>
              <w:snapToGrid w:val="0"/>
              <w:rPr>
                <w:rFonts w:cs="宋体"/>
                <w:color w:val="000000"/>
              </w:rPr>
            </w:pPr>
            <w:r>
              <w:rPr>
                <w:rFonts w:hint="eastAsia" w:cs="宋体"/>
                <w:color w:val="000000"/>
              </w:rPr>
              <w:t>①照明充足：暂存场所内应配备足够的照明设施，保证场所内光线明亮，便于日常操作和检查。</w:t>
            </w:r>
          </w:p>
          <w:p w14:paraId="5485E933">
            <w:pPr>
              <w:adjustRightInd w:val="0"/>
              <w:snapToGrid w:val="0"/>
              <w:rPr>
                <w:rFonts w:cs="宋体"/>
                <w:color w:val="000000"/>
              </w:rPr>
            </w:pPr>
            <w:r>
              <w:rPr>
                <w:rFonts w:hint="eastAsia" w:cs="宋体"/>
                <w:color w:val="000000"/>
              </w:rPr>
              <w:t>②防爆安全：暂存的危险废物草酸盐不具有易燃易爆等特性，照明设备无需选用防爆型。</w:t>
            </w:r>
          </w:p>
          <w:p w14:paraId="141CFB3D">
            <w:pPr>
              <w:adjustRightInd w:val="0"/>
              <w:snapToGrid w:val="0"/>
              <w:rPr>
                <w:rFonts w:cs="宋体"/>
                <w:color w:val="000000"/>
              </w:rPr>
            </w:pPr>
            <w:r>
              <w:rPr>
                <w:rFonts w:hint="eastAsia" w:cs="宋体"/>
                <w:color w:val="000000"/>
              </w:rPr>
              <w:t>6.监控要求</w:t>
            </w:r>
          </w:p>
          <w:p w14:paraId="62B498D2">
            <w:pPr>
              <w:adjustRightInd w:val="0"/>
              <w:snapToGrid w:val="0"/>
              <w:rPr>
                <w:rFonts w:cs="宋体"/>
                <w:color w:val="000000"/>
              </w:rPr>
            </w:pPr>
            <w:r>
              <w:rPr>
                <w:rFonts w:hint="eastAsia" w:cs="宋体"/>
                <w:color w:val="000000"/>
              </w:rPr>
              <w:t>①覆盖全面：安装视频监控系统，对危险废物暂存场所的出入口、贮存区域等关键部位进行全方位监控。</w:t>
            </w:r>
          </w:p>
          <w:p w14:paraId="44158E67">
            <w:pPr>
              <w:adjustRightInd w:val="0"/>
              <w:snapToGrid w:val="0"/>
              <w:rPr>
                <w:rFonts w:cs="宋体"/>
                <w:color w:val="000000"/>
              </w:rPr>
            </w:pPr>
            <w:r>
              <w:rPr>
                <w:rFonts w:hint="eastAsia" w:cs="宋体"/>
                <w:color w:val="000000"/>
              </w:rPr>
              <w:t>②保存期限：视频记录保存时间至少为 3 个月，以便在发生问题时能够追溯和查询。</w:t>
            </w:r>
          </w:p>
          <w:p w14:paraId="5AFEAD6E">
            <w:pPr>
              <w:adjustRightInd w:val="0"/>
              <w:snapToGrid w:val="0"/>
              <w:rPr>
                <w:rFonts w:cs="宋体"/>
                <w:color w:val="000000"/>
              </w:rPr>
            </w:pPr>
            <w:r>
              <w:rPr>
                <w:rFonts w:hint="eastAsia" w:cs="宋体"/>
                <w:color w:val="000000"/>
              </w:rPr>
              <w:t>7.项目完成后通过</w:t>
            </w:r>
            <w:r>
              <w:rPr>
                <w:rFonts w:ascii="Segoe UI" w:hAnsi="Segoe UI" w:eastAsia="Segoe UI" w:cs="Segoe UI"/>
                <w:shd w:val="clear" w:color="auto" w:fill="FFFFFF"/>
              </w:rPr>
              <w:t>排污许可证管理信息平台</w:t>
            </w:r>
            <w:r>
              <w:rPr>
                <w:rFonts w:hint="eastAsia" w:cs="宋体"/>
                <w:color w:val="000000"/>
              </w:rPr>
              <w:t>及时变更排污许可证。</w:t>
            </w:r>
          </w:p>
        </w:tc>
      </w:tr>
    </w:tbl>
    <w:p w14:paraId="5C949E36">
      <w:pPr>
        <w:pStyle w:val="24"/>
        <w:jc w:val="center"/>
        <w:outlineLvl w:val="0"/>
        <w:rPr>
          <w:rFonts w:ascii="黑体" w:hAnsi="黑体" w:eastAsia="黑体"/>
          <w:snapToGrid w:val="0"/>
          <w:color w:val="000000"/>
          <w:sz w:val="30"/>
          <w:szCs w:val="30"/>
        </w:rPr>
      </w:pPr>
      <w:r>
        <w:rPr>
          <w:snapToGrid w:val="0"/>
          <w:color w:val="000000"/>
        </w:rPr>
        <w:br w:type="page"/>
      </w:r>
      <w:r>
        <w:rPr>
          <w:rFonts w:hint="eastAsia" w:ascii="黑体" w:hAnsi="黑体" w:eastAsia="黑体"/>
          <w:snapToGrid w:val="0"/>
          <w:color w:val="000000"/>
          <w:sz w:val="30"/>
          <w:szCs w:val="30"/>
        </w:rPr>
        <w:t>六、结论</w:t>
      </w:r>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7E61C1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14:paraId="4508F421">
            <w:pPr>
              <w:spacing w:line="480" w:lineRule="exact"/>
              <w:ind w:firstLine="480" w:firstLineChars="200"/>
              <w:rPr>
                <w:rFonts w:cs="宋体"/>
                <w:color w:val="000000"/>
              </w:rPr>
            </w:pPr>
            <w:r>
              <w:rPr>
                <w:rFonts w:hint="eastAsia" w:cs="宋体"/>
                <w:color w:val="000000"/>
              </w:rPr>
              <w:t>文丰新材料危险废物贮存间建设项目符合国家产业政策要求，选址合理，在切实落实本环评提出的防腐防渗等环保措施后，从环保角度分析，该项目建设可行。</w:t>
            </w:r>
          </w:p>
        </w:tc>
      </w:tr>
    </w:tbl>
    <w:p w14:paraId="3197BB44">
      <w:pPr>
        <w:ind w:firstLine="480"/>
        <w:rPr>
          <w:rFonts w:ascii="宋体"/>
          <w:color w:val="000000"/>
        </w:rPr>
        <w:sectPr>
          <w:pgSz w:w="11906" w:h="16838"/>
          <w:pgMar w:top="1701" w:right="1531" w:bottom="1701" w:left="1531" w:header="851" w:footer="851" w:gutter="0"/>
          <w:cols w:space="720" w:num="1"/>
          <w:docGrid w:linePitch="312" w:charSpace="0"/>
        </w:sectPr>
      </w:pPr>
    </w:p>
    <w:p w14:paraId="45311E68">
      <w:pPr>
        <w:pStyle w:val="24"/>
        <w:adjustRightInd w:val="0"/>
        <w:snapToGrid w:val="0"/>
        <w:spacing w:before="0" w:beforeAutospacing="0" w:after="0" w:afterAutospacing="0" w:line="648" w:lineRule="auto"/>
        <w:outlineLvl w:val="0"/>
        <w:rPr>
          <w:rFonts w:ascii="黑体" w:hAnsi="黑体" w:eastAsia="黑体"/>
          <w:snapToGrid w:val="0"/>
          <w:color w:val="000000"/>
          <w:sz w:val="32"/>
          <w:szCs w:val="32"/>
        </w:rPr>
      </w:pPr>
      <w:r>
        <w:rPr>
          <w:rFonts w:hint="eastAsia" w:ascii="黑体" w:hAnsi="黑体" w:eastAsia="黑体"/>
          <w:snapToGrid w:val="0"/>
          <w:color w:val="000000"/>
          <w:sz w:val="32"/>
          <w:szCs w:val="32"/>
        </w:rPr>
        <w:t>附表</w:t>
      </w:r>
    </w:p>
    <w:p w14:paraId="199C21EB">
      <w:pPr>
        <w:pStyle w:val="24"/>
        <w:adjustRightInd w:val="0"/>
        <w:snapToGrid w:val="0"/>
        <w:spacing w:before="0" w:beforeAutospacing="0" w:after="0" w:afterAutospacing="0" w:line="360" w:lineRule="auto"/>
        <w:jc w:val="center"/>
        <w:outlineLvl w:val="0"/>
        <w:rPr>
          <w:rFonts w:ascii="方正小标宋_GBK" w:hAnsi="黑体" w:eastAsia="方正小标宋_GBK"/>
          <w:snapToGrid w:val="0"/>
          <w:color w:val="000000"/>
          <w:sz w:val="38"/>
          <w:szCs w:val="38"/>
        </w:rPr>
      </w:pPr>
      <w:r>
        <w:rPr>
          <w:rFonts w:hint="eastAsia" w:ascii="方正小标宋_GBK" w:hAnsi="黑体" w:eastAsia="方正小标宋_GBK"/>
          <w:snapToGrid w:val="0"/>
          <w:color w:val="000000"/>
          <w:sz w:val="38"/>
          <w:szCs w:val="38"/>
        </w:rPr>
        <w:t>建设项目污染物排放量汇总表   单位： t/a</w:t>
      </w:r>
    </w:p>
    <w:tbl>
      <w:tblPr>
        <w:tblStyle w:val="28"/>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23"/>
        <w:gridCol w:w="2580"/>
        <w:gridCol w:w="1590"/>
        <w:gridCol w:w="1080"/>
        <w:gridCol w:w="1650"/>
        <w:gridCol w:w="1530"/>
        <w:gridCol w:w="1425"/>
        <w:gridCol w:w="1650"/>
        <w:gridCol w:w="960"/>
      </w:tblGrid>
      <w:tr w14:paraId="11CD97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blHeader/>
        </w:trPr>
        <w:tc>
          <w:tcPr>
            <w:tcW w:w="1323" w:type="dxa"/>
            <w:tcBorders>
              <w:tl2br w:val="single" w:color="auto" w:sz="4" w:space="0"/>
            </w:tcBorders>
            <w:tcMar>
              <w:left w:w="28" w:type="dxa"/>
              <w:right w:w="28" w:type="dxa"/>
            </w:tcMar>
            <w:vAlign w:val="center"/>
          </w:tcPr>
          <w:p w14:paraId="6F218B0B">
            <w:pPr>
              <w:pStyle w:val="60"/>
              <w:spacing w:beforeLines="0" w:afterLines="0" w:line="240" w:lineRule="auto"/>
              <w:jc w:val="right"/>
              <w:rPr>
                <w:rFonts w:ascii="黑体" w:hAnsi="黑体" w:eastAsia="黑体" w:cs="宋体"/>
                <w:snapToGrid w:val="0"/>
                <w:color w:val="000000"/>
                <w:spacing w:val="-6"/>
                <w:kern w:val="21"/>
                <w:szCs w:val="21"/>
              </w:rPr>
            </w:pPr>
            <w:r>
              <w:rPr>
                <w:rFonts w:hint="eastAsia" w:ascii="黑体" w:hAnsi="黑体" w:eastAsia="黑体" w:cs="宋体"/>
                <w:snapToGrid w:val="0"/>
                <w:color w:val="000000"/>
                <w:spacing w:val="-6"/>
                <w:kern w:val="21"/>
                <w:szCs w:val="21"/>
              </w:rPr>
              <w:t>项目</w:t>
            </w:r>
          </w:p>
          <w:p w14:paraId="420BB8B2">
            <w:pPr>
              <w:pStyle w:val="60"/>
              <w:spacing w:beforeLines="0" w:afterLines="0" w:line="240" w:lineRule="auto"/>
              <w:jc w:val="left"/>
              <w:rPr>
                <w:rFonts w:ascii="黑体" w:hAnsi="黑体" w:eastAsia="黑体" w:cs="宋体"/>
                <w:snapToGrid w:val="0"/>
                <w:color w:val="000000"/>
                <w:spacing w:val="-6"/>
                <w:kern w:val="21"/>
                <w:szCs w:val="21"/>
              </w:rPr>
            </w:pPr>
            <w:r>
              <w:rPr>
                <w:rFonts w:hint="eastAsia" w:ascii="黑体" w:hAnsi="黑体" w:eastAsia="黑体" w:cs="宋体"/>
                <w:snapToGrid w:val="0"/>
                <w:color w:val="000000"/>
                <w:spacing w:val="-6"/>
                <w:kern w:val="21"/>
                <w:szCs w:val="21"/>
              </w:rPr>
              <w:t>分类</w:t>
            </w:r>
          </w:p>
        </w:tc>
        <w:tc>
          <w:tcPr>
            <w:tcW w:w="2580" w:type="dxa"/>
            <w:tcMar>
              <w:left w:w="28" w:type="dxa"/>
              <w:right w:w="28" w:type="dxa"/>
            </w:tcMar>
            <w:vAlign w:val="center"/>
          </w:tcPr>
          <w:p w14:paraId="6FA87884">
            <w:pPr>
              <w:pStyle w:val="60"/>
              <w:spacing w:beforeLines="0" w:afterLines="0" w:line="240" w:lineRule="auto"/>
              <w:rPr>
                <w:rFonts w:ascii="黑体" w:hAnsi="黑体" w:eastAsia="黑体" w:cs="宋体"/>
                <w:snapToGrid w:val="0"/>
                <w:color w:val="000000"/>
                <w:spacing w:val="-6"/>
                <w:kern w:val="21"/>
                <w:szCs w:val="21"/>
              </w:rPr>
            </w:pPr>
            <w:r>
              <w:rPr>
                <w:rFonts w:hint="eastAsia" w:ascii="黑体" w:hAnsi="黑体" w:eastAsia="黑体" w:cs="宋体"/>
                <w:snapToGrid w:val="0"/>
                <w:color w:val="000000"/>
                <w:spacing w:val="-6"/>
                <w:kern w:val="21"/>
                <w:szCs w:val="21"/>
              </w:rPr>
              <w:t>污染物名称</w:t>
            </w:r>
          </w:p>
        </w:tc>
        <w:tc>
          <w:tcPr>
            <w:tcW w:w="1590" w:type="dxa"/>
            <w:tcMar>
              <w:left w:w="28" w:type="dxa"/>
              <w:right w:w="28" w:type="dxa"/>
            </w:tcMar>
            <w:vAlign w:val="center"/>
          </w:tcPr>
          <w:p w14:paraId="44295BD8">
            <w:pPr>
              <w:pStyle w:val="60"/>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现有工程排放量（固</w:t>
            </w:r>
            <w:r>
              <w:rPr>
                <w:rFonts w:hint="eastAsia" w:ascii="黑体" w:hAnsi="黑体" w:eastAsia="黑体"/>
                <w:snapToGrid w:val="0"/>
                <w:color w:val="000000"/>
                <w:spacing w:val="-6"/>
                <w:kern w:val="21"/>
                <w:szCs w:val="21"/>
              </w:rPr>
              <w:t>体</w:t>
            </w:r>
            <w:r>
              <w:rPr>
                <w:rFonts w:ascii="黑体" w:hAnsi="黑体" w:eastAsia="黑体"/>
                <w:snapToGrid w:val="0"/>
                <w:color w:val="000000"/>
                <w:spacing w:val="-6"/>
                <w:kern w:val="21"/>
                <w:szCs w:val="21"/>
              </w:rPr>
              <w:t>废</w:t>
            </w:r>
            <w:r>
              <w:rPr>
                <w:rFonts w:hint="eastAsia" w:ascii="黑体" w:hAnsi="黑体" w:eastAsia="黑体"/>
                <w:snapToGrid w:val="0"/>
                <w:color w:val="000000"/>
                <w:spacing w:val="-6"/>
                <w:kern w:val="21"/>
                <w:szCs w:val="21"/>
              </w:rPr>
              <w:t>物</w:t>
            </w:r>
            <w:r>
              <w:rPr>
                <w:rFonts w:ascii="黑体" w:hAnsi="黑体" w:eastAsia="黑体"/>
                <w:snapToGrid w:val="0"/>
                <w:color w:val="000000"/>
                <w:spacing w:val="-6"/>
                <w:kern w:val="21"/>
                <w:szCs w:val="21"/>
              </w:rPr>
              <w:t>产生量）</w:t>
            </w:r>
            <w:r>
              <w:rPr>
                <w:rFonts w:hint="eastAsia" w:ascii="黑体" w:hAnsi="黑体" w:eastAsia="黑体" w:cs="宋体"/>
                <w:color w:val="000000"/>
                <w:kern w:val="2"/>
                <w:szCs w:val="21"/>
              </w:rPr>
              <w:t>①</w:t>
            </w:r>
          </w:p>
        </w:tc>
        <w:tc>
          <w:tcPr>
            <w:tcW w:w="1080" w:type="dxa"/>
            <w:tcMar>
              <w:left w:w="28" w:type="dxa"/>
              <w:right w:w="28" w:type="dxa"/>
            </w:tcMar>
            <w:vAlign w:val="center"/>
          </w:tcPr>
          <w:p w14:paraId="54C09FEC">
            <w:pPr>
              <w:pStyle w:val="60"/>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现有工程</w:t>
            </w:r>
          </w:p>
          <w:p w14:paraId="3CA88E08">
            <w:pPr>
              <w:pStyle w:val="60"/>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许可排放量</w:t>
            </w:r>
            <w:r>
              <w:rPr>
                <w:rFonts w:hint="eastAsia" w:ascii="黑体" w:hAnsi="黑体" w:eastAsia="黑体" w:cs="宋体"/>
                <w:snapToGrid w:val="0"/>
                <w:color w:val="000000"/>
                <w:spacing w:val="-6"/>
                <w:kern w:val="21"/>
                <w:szCs w:val="21"/>
              </w:rPr>
              <w:t>②</w:t>
            </w:r>
          </w:p>
        </w:tc>
        <w:tc>
          <w:tcPr>
            <w:tcW w:w="1650" w:type="dxa"/>
            <w:tcMar>
              <w:left w:w="28" w:type="dxa"/>
              <w:right w:w="28" w:type="dxa"/>
            </w:tcMar>
            <w:vAlign w:val="center"/>
          </w:tcPr>
          <w:p w14:paraId="0424698C">
            <w:pPr>
              <w:pStyle w:val="60"/>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在建工程排放量（固</w:t>
            </w:r>
            <w:r>
              <w:rPr>
                <w:rFonts w:hint="eastAsia" w:ascii="黑体" w:hAnsi="黑体" w:eastAsia="黑体"/>
                <w:snapToGrid w:val="0"/>
                <w:color w:val="000000"/>
                <w:spacing w:val="-6"/>
                <w:kern w:val="21"/>
                <w:szCs w:val="21"/>
              </w:rPr>
              <w:t>体</w:t>
            </w:r>
            <w:r>
              <w:rPr>
                <w:rFonts w:ascii="黑体" w:hAnsi="黑体" w:eastAsia="黑体"/>
                <w:snapToGrid w:val="0"/>
                <w:color w:val="000000"/>
                <w:spacing w:val="-6"/>
                <w:kern w:val="21"/>
                <w:szCs w:val="21"/>
              </w:rPr>
              <w:t>废</w:t>
            </w:r>
            <w:r>
              <w:rPr>
                <w:rFonts w:hint="eastAsia" w:ascii="黑体" w:hAnsi="黑体" w:eastAsia="黑体"/>
                <w:snapToGrid w:val="0"/>
                <w:color w:val="000000"/>
                <w:spacing w:val="-6"/>
                <w:kern w:val="21"/>
                <w:szCs w:val="21"/>
              </w:rPr>
              <w:t>物</w:t>
            </w:r>
            <w:r>
              <w:rPr>
                <w:rFonts w:ascii="黑体" w:hAnsi="黑体" w:eastAsia="黑体"/>
                <w:snapToGrid w:val="0"/>
                <w:color w:val="000000"/>
                <w:spacing w:val="-6"/>
                <w:kern w:val="21"/>
                <w:szCs w:val="21"/>
              </w:rPr>
              <w:t>产生量）</w:t>
            </w:r>
            <w:r>
              <w:rPr>
                <w:rFonts w:hint="eastAsia" w:ascii="黑体" w:hAnsi="黑体" w:eastAsia="黑体" w:cs="宋体"/>
                <w:color w:val="000000"/>
                <w:kern w:val="2"/>
                <w:szCs w:val="21"/>
              </w:rPr>
              <w:t>③</w:t>
            </w:r>
          </w:p>
        </w:tc>
        <w:tc>
          <w:tcPr>
            <w:tcW w:w="1530" w:type="dxa"/>
            <w:tcMar>
              <w:left w:w="28" w:type="dxa"/>
              <w:right w:w="28" w:type="dxa"/>
            </w:tcMar>
            <w:vAlign w:val="center"/>
          </w:tcPr>
          <w:p w14:paraId="4A64792D">
            <w:pPr>
              <w:pStyle w:val="60"/>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本项目排放量（固</w:t>
            </w:r>
            <w:r>
              <w:rPr>
                <w:rFonts w:hint="eastAsia" w:ascii="黑体" w:hAnsi="黑体" w:eastAsia="黑体"/>
                <w:snapToGrid w:val="0"/>
                <w:color w:val="000000"/>
                <w:spacing w:val="-6"/>
                <w:kern w:val="21"/>
                <w:szCs w:val="21"/>
              </w:rPr>
              <w:t>体</w:t>
            </w:r>
            <w:r>
              <w:rPr>
                <w:rFonts w:ascii="黑体" w:hAnsi="黑体" w:eastAsia="黑体"/>
                <w:snapToGrid w:val="0"/>
                <w:color w:val="000000"/>
                <w:spacing w:val="-6"/>
                <w:kern w:val="21"/>
                <w:szCs w:val="21"/>
              </w:rPr>
              <w:t>废</w:t>
            </w:r>
            <w:r>
              <w:rPr>
                <w:rFonts w:hint="eastAsia" w:ascii="黑体" w:hAnsi="黑体" w:eastAsia="黑体"/>
                <w:snapToGrid w:val="0"/>
                <w:color w:val="000000"/>
                <w:spacing w:val="-6"/>
                <w:kern w:val="21"/>
                <w:szCs w:val="21"/>
              </w:rPr>
              <w:t>物</w:t>
            </w:r>
            <w:r>
              <w:rPr>
                <w:rFonts w:ascii="黑体" w:hAnsi="黑体" w:eastAsia="黑体"/>
                <w:snapToGrid w:val="0"/>
                <w:color w:val="000000"/>
                <w:spacing w:val="-6"/>
                <w:kern w:val="21"/>
                <w:szCs w:val="21"/>
              </w:rPr>
              <w:t>产生量）</w:t>
            </w:r>
            <w:r>
              <w:rPr>
                <w:rFonts w:hint="eastAsia" w:ascii="黑体" w:hAnsi="黑体" w:eastAsia="黑体" w:cs="宋体"/>
                <w:color w:val="000000"/>
                <w:kern w:val="2"/>
                <w:szCs w:val="21"/>
              </w:rPr>
              <w:t>④</w:t>
            </w:r>
          </w:p>
        </w:tc>
        <w:tc>
          <w:tcPr>
            <w:tcW w:w="1425" w:type="dxa"/>
            <w:tcMar>
              <w:left w:w="28" w:type="dxa"/>
              <w:right w:w="28" w:type="dxa"/>
            </w:tcMar>
            <w:vAlign w:val="center"/>
          </w:tcPr>
          <w:p w14:paraId="3063EAD4">
            <w:pPr>
              <w:pStyle w:val="60"/>
              <w:spacing w:beforeLines="0" w:afterLines="0" w:line="240" w:lineRule="auto"/>
              <w:rPr>
                <w:rFonts w:ascii="黑体" w:hAnsi="黑体" w:eastAsia="黑体"/>
                <w:snapToGrid w:val="0"/>
                <w:color w:val="000000"/>
                <w:spacing w:val="-16"/>
                <w:kern w:val="21"/>
                <w:szCs w:val="21"/>
              </w:rPr>
            </w:pPr>
            <w:r>
              <w:rPr>
                <w:rFonts w:ascii="黑体" w:hAnsi="黑体" w:eastAsia="黑体"/>
                <w:snapToGrid w:val="0"/>
                <w:color w:val="000000"/>
                <w:spacing w:val="-16"/>
                <w:kern w:val="21"/>
                <w:szCs w:val="21"/>
              </w:rPr>
              <w:t>以新带老削减量（新建项目不填）</w:t>
            </w:r>
            <w:r>
              <w:rPr>
                <w:rFonts w:hint="eastAsia" w:ascii="黑体" w:hAnsi="黑体" w:eastAsia="黑体" w:cs="宋体"/>
                <w:color w:val="000000"/>
                <w:kern w:val="2"/>
                <w:szCs w:val="21"/>
              </w:rPr>
              <w:t>⑤</w:t>
            </w:r>
          </w:p>
        </w:tc>
        <w:tc>
          <w:tcPr>
            <w:tcW w:w="1650" w:type="dxa"/>
            <w:tcMar>
              <w:left w:w="28" w:type="dxa"/>
              <w:right w:w="28" w:type="dxa"/>
            </w:tcMar>
            <w:vAlign w:val="center"/>
          </w:tcPr>
          <w:p w14:paraId="32A162E5">
            <w:pPr>
              <w:pStyle w:val="60"/>
              <w:spacing w:beforeLines="0" w:afterLines="0" w:line="240" w:lineRule="auto"/>
              <w:rPr>
                <w:rFonts w:ascii="黑体" w:hAnsi="黑体" w:eastAsia="黑体"/>
                <w:snapToGrid w:val="0"/>
                <w:color w:val="000000"/>
                <w:spacing w:val="-16"/>
                <w:kern w:val="21"/>
                <w:szCs w:val="21"/>
              </w:rPr>
            </w:pPr>
            <w:r>
              <w:rPr>
                <w:rFonts w:ascii="黑体" w:hAnsi="黑体" w:eastAsia="黑体"/>
                <w:snapToGrid w:val="0"/>
                <w:color w:val="000000"/>
                <w:spacing w:val="-16"/>
                <w:kern w:val="21"/>
                <w:szCs w:val="21"/>
              </w:rPr>
              <w:t>本项目建成后</w:t>
            </w:r>
            <w:r>
              <w:rPr>
                <w:rFonts w:hint="eastAsia" w:ascii="黑体" w:hAnsi="黑体" w:eastAsia="黑体"/>
                <w:snapToGrid w:val="0"/>
                <w:color w:val="000000"/>
                <w:spacing w:val="-16"/>
                <w:kern w:val="21"/>
                <w:szCs w:val="21"/>
              </w:rPr>
              <w:t>全厂</w:t>
            </w:r>
            <w:r>
              <w:rPr>
                <w:rFonts w:ascii="黑体" w:hAnsi="黑体" w:eastAsia="黑体"/>
                <w:snapToGrid w:val="0"/>
                <w:color w:val="000000"/>
                <w:spacing w:val="-16"/>
                <w:kern w:val="21"/>
                <w:szCs w:val="21"/>
              </w:rPr>
              <w:t>排放量（固</w:t>
            </w:r>
            <w:r>
              <w:rPr>
                <w:rFonts w:hint="eastAsia" w:ascii="黑体" w:hAnsi="黑体" w:eastAsia="黑体"/>
                <w:snapToGrid w:val="0"/>
                <w:color w:val="000000"/>
                <w:spacing w:val="-16"/>
                <w:kern w:val="21"/>
                <w:szCs w:val="21"/>
              </w:rPr>
              <w:t>体</w:t>
            </w:r>
            <w:r>
              <w:rPr>
                <w:rFonts w:ascii="黑体" w:hAnsi="黑体" w:eastAsia="黑体"/>
                <w:snapToGrid w:val="0"/>
                <w:color w:val="000000"/>
                <w:spacing w:val="-16"/>
                <w:kern w:val="21"/>
                <w:szCs w:val="21"/>
              </w:rPr>
              <w:t>废</w:t>
            </w:r>
            <w:r>
              <w:rPr>
                <w:rFonts w:hint="eastAsia" w:ascii="黑体" w:hAnsi="黑体" w:eastAsia="黑体"/>
                <w:snapToGrid w:val="0"/>
                <w:color w:val="000000"/>
                <w:spacing w:val="-16"/>
                <w:kern w:val="21"/>
                <w:szCs w:val="21"/>
              </w:rPr>
              <w:t>物</w:t>
            </w:r>
            <w:r>
              <w:rPr>
                <w:rFonts w:ascii="黑体" w:hAnsi="黑体" w:eastAsia="黑体"/>
                <w:snapToGrid w:val="0"/>
                <w:color w:val="000000"/>
                <w:spacing w:val="-16"/>
                <w:kern w:val="21"/>
                <w:szCs w:val="21"/>
              </w:rPr>
              <w:t>产生量）</w:t>
            </w:r>
            <w:r>
              <w:rPr>
                <w:rFonts w:hint="eastAsia" w:ascii="黑体" w:hAnsi="黑体" w:eastAsia="黑体" w:cs="宋体"/>
                <w:color w:val="000000"/>
                <w:kern w:val="2"/>
                <w:szCs w:val="21"/>
              </w:rPr>
              <w:t>⑥</w:t>
            </w:r>
          </w:p>
        </w:tc>
        <w:tc>
          <w:tcPr>
            <w:tcW w:w="960" w:type="dxa"/>
            <w:tcMar>
              <w:left w:w="28" w:type="dxa"/>
              <w:right w:w="28" w:type="dxa"/>
            </w:tcMar>
            <w:vAlign w:val="center"/>
          </w:tcPr>
          <w:p w14:paraId="359A5B07">
            <w:pPr>
              <w:pStyle w:val="60"/>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变化量</w:t>
            </w:r>
          </w:p>
          <w:p w14:paraId="110C76B2">
            <w:pPr>
              <w:pStyle w:val="60"/>
              <w:spacing w:beforeLines="0" w:afterLines="0" w:line="240" w:lineRule="auto"/>
              <w:rPr>
                <w:rFonts w:ascii="黑体" w:hAnsi="黑体" w:eastAsia="黑体"/>
                <w:snapToGrid w:val="0"/>
                <w:color w:val="000000"/>
                <w:spacing w:val="-6"/>
                <w:kern w:val="21"/>
                <w:szCs w:val="21"/>
              </w:rPr>
            </w:pPr>
            <w:r>
              <w:rPr>
                <w:rFonts w:hint="eastAsia" w:ascii="黑体" w:hAnsi="黑体" w:eastAsia="黑体" w:cs="宋体"/>
                <w:color w:val="000000"/>
                <w:kern w:val="2"/>
                <w:szCs w:val="21"/>
              </w:rPr>
              <w:t>⑦</w:t>
            </w:r>
          </w:p>
        </w:tc>
      </w:tr>
      <w:tr w14:paraId="2B47D9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3" w:type="dxa"/>
            <w:vMerge w:val="restart"/>
            <w:vAlign w:val="center"/>
          </w:tcPr>
          <w:p w14:paraId="3FC5B9CD">
            <w:pPr>
              <w:pStyle w:val="60"/>
              <w:spacing w:beforeLines="0" w:afterLines="0" w:line="240" w:lineRule="auto"/>
              <w:rPr>
                <w:rFonts w:ascii="黑体" w:hAnsi="黑体" w:eastAsia="黑体" w:cs="宋体"/>
                <w:snapToGrid w:val="0"/>
                <w:color w:val="000000"/>
                <w:spacing w:val="-6"/>
                <w:kern w:val="21"/>
                <w:szCs w:val="21"/>
              </w:rPr>
            </w:pPr>
            <w:r>
              <w:rPr>
                <w:rFonts w:hint="eastAsia" w:ascii="黑体" w:hAnsi="黑体" w:eastAsia="黑体" w:cs="宋体"/>
                <w:snapToGrid w:val="0"/>
                <w:color w:val="000000"/>
                <w:spacing w:val="-6"/>
                <w:kern w:val="21"/>
                <w:szCs w:val="21"/>
              </w:rPr>
              <w:t>废气</w:t>
            </w:r>
          </w:p>
        </w:tc>
        <w:tc>
          <w:tcPr>
            <w:tcW w:w="2580" w:type="dxa"/>
            <w:vAlign w:val="center"/>
          </w:tcPr>
          <w:p w14:paraId="550FC6C4">
            <w:pPr>
              <w:pStyle w:val="60"/>
              <w:spacing w:beforeLines="0" w:afterLines="0" w:line="240" w:lineRule="auto"/>
              <w:rPr>
                <w:rFonts w:ascii="Times New Roman"/>
                <w:snapToGrid w:val="0"/>
                <w:color w:val="000000"/>
                <w:kern w:val="21"/>
                <w:szCs w:val="24"/>
              </w:rPr>
            </w:pPr>
            <w:r>
              <w:rPr>
                <w:rFonts w:ascii="Times New Roman"/>
                <w:color w:val="000000"/>
                <w:szCs w:val="24"/>
              </w:rPr>
              <w:t>SO</w:t>
            </w:r>
            <w:r>
              <w:rPr>
                <w:rFonts w:ascii="Times New Roman"/>
                <w:color w:val="000000"/>
                <w:szCs w:val="24"/>
                <w:vertAlign w:val="subscript"/>
              </w:rPr>
              <w:t>2</w:t>
            </w:r>
          </w:p>
        </w:tc>
        <w:tc>
          <w:tcPr>
            <w:tcW w:w="1590" w:type="dxa"/>
            <w:vAlign w:val="center"/>
          </w:tcPr>
          <w:p w14:paraId="5E68EE74">
            <w:pPr>
              <w:pStyle w:val="60"/>
              <w:spacing w:beforeLines="0" w:afterLines="0" w:line="240" w:lineRule="auto"/>
              <w:rPr>
                <w:rFonts w:ascii="Times New Roman"/>
                <w:color w:val="000000"/>
                <w:szCs w:val="24"/>
              </w:rPr>
            </w:pPr>
            <w:r>
              <w:rPr>
                <w:rFonts w:hint="eastAsia" w:ascii="Times New Roman"/>
                <w:color w:val="000000"/>
                <w:szCs w:val="24"/>
              </w:rPr>
              <w:t>4.494</w:t>
            </w:r>
          </w:p>
        </w:tc>
        <w:tc>
          <w:tcPr>
            <w:tcW w:w="1080" w:type="dxa"/>
            <w:vAlign w:val="center"/>
          </w:tcPr>
          <w:p w14:paraId="6C2BF31E">
            <w:pPr>
              <w:pStyle w:val="60"/>
              <w:spacing w:beforeLines="0" w:afterLines="0" w:line="240" w:lineRule="auto"/>
              <w:rPr>
                <w:rFonts w:ascii="Times New Roman"/>
                <w:color w:val="000000"/>
                <w:szCs w:val="24"/>
              </w:rPr>
            </w:pPr>
            <w:r>
              <w:rPr>
                <w:rFonts w:ascii="Times New Roman"/>
                <w:color w:val="000000"/>
                <w:szCs w:val="24"/>
              </w:rPr>
              <w:t>44.428</w:t>
            </w:r>
          </w:p>
        </w:tc>
        <w:tc>
          <w:tcPr>
            <w:tcW w:w="1650" w:type="dxa"/>
            <w:vAlign w:val="center"/>
          </w:tcPr>
          <w:p w14:paraId="54CC5047">
            <w:pPr>
              <w:pStyle w:val="60"/>
              <w:spacing w:beforeLines="0" w:afterLines="0" w:line="240" w:lineRule="auto"/>
              <w:rPr>
                <w:rFonts w:ascii="Times New Roman"/>
                <w:color w:val="000000"/>
                <w:szCs w:val="24"/>
              </w:rPr>
            </w:pPr>
          </w:p>
        </w:tc>
        <w:tc>
          <w:tcPr>
            <w:tcW w:w="1530" w:type="dxa"/>
            <w:vAlign w:val="center"/>
          </w:tcPr>
          <w:p w14:paraId="77CFB756">
            <w:pPr>
              <w:pStyle w:val="60"/>
              <w:spacing w:beforeLines="0" w:afterLines="0" w:line="240" w:lineRule="auto"/>
              <w:rPr>
                <w:rFonts w:ascii="Times New Roman"/>
                <w:color w:val="000000"/>
                <w:szCs w:val="24"/>
              </w:rPr>
            </w:pPr>
            <w:r>
              <w:rPr>
                <w:rFonts w:ascii="Times New Roman"/>
                <w:color w:val="000000"/>
                <w:szCs w:val="24"/>
              </w:rPr>
              <w:t>0</w:t>
            </w:r>
          </w:p>
        </w:tc>
        <w:tc>
          <w:tcPr>
            <w:tcW w:w="1425" w:type="dxa"/>
            <w:vAlign w:val="center"/>
          </w:tcPr>
          <w:p w14:paraId="55C6616D">
            <w:pPr>
              <w:pStyle w:val="60"/>
              <w:spacing w:beforeLines="0" w:afterLines="0" w:line="240" w:lineRule="auto"/>
              <w:rPr>
                <w:rFonts w:ascii="Times New Roman"/>
                <w:color w:val="000000"/>
                <w:szCs w:val="24"/>
              </w:rPr>
            </w:pPr>
          </w:p>
        </w:tc>
        <w:tc>
          <w:tcPr>
            <w:tcW w:w="1650" w:type="dxa"/>
            <w:vAlign w:val="center"/>
          </w:tcPr>
          <w:p w14:paraId="5DCE8804">
            <w:pPr>
              <w:pStyle w:val="60"/>
              <w:spacing w:beforeLines="0" w:afterLines="0" w:line="240" w:lineRule="auto"/>
              <w:rPr>
                <w:rFonts w:ascii="Times New Roman"/>
                <w:color w:val="000000"/>
                <w:szCs w:val="24"/>
              </w:rPr>
            </w:pPr>
            <w:r>
              <w:rPr>
                <w:rFonts w:hint="eastAsia" w:ascii="Times New Roman"/>
                <w:color w:val="000000"/>
                <w:szCs w:val="24"/>
              </w:rPr>
              <w:t>4.494</w:t>
            </w:r>
          </w:p>
        </w:tc>
        <w:tc>
          <w:tcPr>
            <w:tcW w:w="960" w:type="dxa"/>
            <w:vAlign w:val="center"/>
          </w:tcPr>
          <w:p w14:paraId="389C871D">
            <w:pPr>
              <w:pStyle w:val="60"/>
              <w:spacing w:beforeLines="0" w:afterLines="0" w:line="240" w:lineRule="auto"/>
              <w:rPr>
                <w:rFonts w:ascii="Times New Roman"/>
                <w:color w:val="000000"/>
                <w:szCs w:val="24"/>
              </w:rPr>
            </w:pPr>
            <w:r>
              <w:rPr>
                <w:rFonts w:ascii="Times New Roman"/>
                <w:color w:val="000000"/>
                <w:szCs w:val="24"/>
              </w:rPr>
              <w:t>0</w:t>
            </w:r>
          </w:p>
        </w:tc>
      </w:tr>
      <w:tr w14:paraId="271171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3" w:type="dxa"/>
            <w:vMerge w:val="continue"/>
            <w:vAlign w:val="center"/>
          </w:tcPr>
          <w:p w14:paraId="30300351">
            <w:pPr>
              <w:pStyle w:val="60"/>
              <w:spacing w:beforeLines="0" w:afterLines="0" w:line="240" w:lineRule="auto"/>
              <w:rPr>
                <w:rFonts w:ascii="黑体" w:hAnsi="黑体" w:eastAsia="黑体" w:cs="宋体"/>
                <w:snapToGrid w:val="0"/>
                <w:color w:val="000000"/>
                <w:spacing w:val="-6"/>
                <w:kern w:val="21"/>
                <w:szCs w:val="21"/>
              </w:rPr>
            </w:pPr>
          </w:p>
        </w:tc>
        <w:tc>
          <w:tcPr>
            <w:tcW w:w="2580" w:type="dxa"/>
            <w:vAlign w:val="center"/>
          </w:tcPr>
          <w:p w14:paraId="5189EBE9">
            <w:pPr>
              <w:pStyle w:val="60"/>
              <w:spacing w:beforeLines="0" w:afterLines="0" w:line="240" w:lineRule="auto"/>
              <w:rPr>
                <w:rFonts w:ascii="Times New Roman"/>
                <w:snapToGrid w:val="0"/>
                <w:color w:val="000000"/>
                <w:kern w:val="21"/>
                <w:szCs w:val="24"/>
              </w:rPr>
            </w:pPr>
            <w:r>
              <w:rPr>
                <w:rFonts w:ascii="Times New Roman"/>
                <w:color w:val="000000"/>
                <w:szCs w:val="24"/>
              </w:rPr>
              <w:t>NOx</w:t>
            </w:r>
          </w:p>
        </w:tc>
        <w:tc>
          <w:tcPr>
            <w:tcW w:w="1590" w:type="dxa"/>
            <w:vAlign w:val="center"/>
          </w:tcPr>
          <w:p w14:paraId="42C02D86">
            <w:pPr>
              <w:pStyle w:val="60"/>
              <w:spacing w:beforeLines="0" w:afterLines="0" w:line="240" w:lineRule="auto"/>
              <w:rPr>
                <w:rFonts w:ascii="Times New Roman"/>
                <w:color w:val="000000"/>
                <w:szCs w:val="24"/>
              </w:rPr>
            </w:pPr>
            <w:r>
              <w:rPr>
                <w:rFonts w:hint="eastAsia" w:ascii="Times New Roman"/>
                <w:color w:val="000000"/>
                <w:szCs w:val="24"/>
              </w:rPr>
              <w:t>106.441</w:t>
            </w:r>
          </w:p>
        </w:tc>
        <w:tc>
          <w:tcPr>
            <w:tcW w:w="1080" w:type="dxa"/>
            <w:vAlign w:val="center"/>
          </w:tcPr>
          <w:p w14:paraId="45717AC6">
            <w:pPr>
              <w:pStyle w:val="60"/>
              <w:spacing w:beforeLines="0" w:afterLines="0" w:line="240" w:lineRule="auto"/>
              <w:rPr>
                <w:rFonts w:ascii="Times New Roman"/>
                <w:color w:val="000000"/>
                <w:szCs w:val="24"/>
              </w:rPr>
            </w:pPr>
            <w:r>
              <w:rPr>
                <w:rFonts w:ascii="Times New Roman"/>
                <w:color w:val="000000"/>
                <w:szCs w:val="24"/>
              </w:rPr>
              <w:t>191.368</w:t>
            </w:r>
          </w:p>
        </w:tc>
        <w:tc>
          <w:tcPr>
            <w:tcW w:w="1650" w:type="dxa"/>
            <w:vAlign w:val="center"/>
          </w:tcPr>
          <w:p w14:paraId="5878D4D6">
            <w:pPr>
              <w:pStyle w:val="60"/>
              <w:spacing w:beforeLines="0" w:afterLines="0" w:line="240" w:lineRule="auto"/>
              <w:rPr>
                <w:rFonts w:ascii="Times New Roman"/>
                <w:color w:val="000000"/>
                <w:szCs w:val="24"/>
              </w:rPr>
            </w:pPr>
          </w:p>
        </w:tc>
        <w:tc>
          <w:tcPr>
            <w:tcW w:w="1530" w:type="dxa"/>
            <w:vAlign w:val="center"/>
          </w:tcPr>
          <w:p w14:paraId="5564BD16">
            <w:pPr>
              <w:pStyle w:val="60"/>
              <w:spacing w:beforeLines="0" w:afterLines="0" w:line="240" w:lineRule="auto"/>
              <w:rPr>
                <w:rFonts w:ascii="Times New Roman"/>
                <w:color w:val="000000"/>
                <w:szCs w:val="24"/>
              </w:rPr>
            </w:pPr>
            <w:r>
              <w:rPr>
                <w:rFonts w:ascii="Times New Roman"/>
                <w:color w:val="000000"/>
                <w:szCs w:val="24"/>
              </w:rPr>
              <w:t>0</w:t>
            </w:r>
          </w:p>
        </w:tc>
        <w:tc>
          <w:tcPr>
            <w:tcW w:w="1425" w:type="dxa"/>
            <w:vAlign w:val="center"/>
          </w:tcPr>
          <w:p w14:paraId="4EFBD60E">
            <w:pPr>
              <w:pStyle w:val="60"/>
              <w:spacing w:beforeLines="0" w:afterLines="0" w:line="240" w:lineRule="auto"/>
              <w:rPr>
                <w:rFonts w:ascii="Times New Roman"/>
                <w:color w:val="000000"/>
                <w:szCs w:val="24"/>
              </w:rPr>
            </w:pPr>
          </w:p>
        </w:tc>
        <w:tc>
          <w:tcPr>
            <w:tcW w:w="1650" w:type="dxa"/>
            <w:vAlign w:val="center"/>
          </w:tcPr>
          <w:p w14:paraId="119BF781">
            <w:pPr>
              <w:pStyle w:val="60"/>
              <w:spacing w:beforeLines="0" w:afterLines="0" w:line="240" w:lineRule="auto"/>
              <w:rPr>
                <w:rFonts w:ascii="Times New Roman"/>
                <w:color w:val="000000"/>
                <w:szCs w:val="24"/>
              </w:rPr>
            </w:pPr>
            <w:r>
              <w:rPr>
                <w:rFonts w:hint="eastAsia" w:ascii="Times New Roman"/>
                <w:color w:val="000000"/>
                <w:szCs w:val="24"/>
              </w:rPr>
              <w:t>106.441</w:t>
            </w:r>
          </w:p>
        </w:tc>
        <w:tc>
          <w:tcPr>
            <w:tcW w:w="960" w:type="dxa"/>
            <w:vAlign w:val="center"/>
          </w:tcPr>
          <w:p w14:paraId="283DCDF1">
            <w:pPr>
              <w:pStyle w:val="60"/>
              <w:spacing w:beforeLines="0" w:afterLines="0" w:line="240" w:lineRule="auto"/>
              <w:rPr>
                <w:rFonts w:ascii="Times New Roman"/>
                <w:color w:val="000000"/>
                <w:szCs w:val="24"/>
              </w:rPr>
            </w:pPr>
            <w:r>
              <w:rPr>
                <w:rFonts w:ascii="Times New Roman"/>
                <w:color w:val="000000"/>
                <w:szCs w:val="24"/>
              </w:rPr>
              <w:t>0</w:t>
            </w:r>
          </w:p>
        </w:tc>
      </w:tr>
      <w:tr w14:paraId="7485E8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3" w:type="dxa"/>
            <w:vMerge w:val="continue"/>
            <w:vAlign w:val="center"/>
          </w:tcPr>
          <w:p w14:paraId="5EC1CFC0">
            <w:pPr>
              <w:pStyle w:val="60"/>
              <w:spacing w:beforeLines="0" w:afterLines="0" w:line="240" w:lineRule="auto"/>
              <w:rPr>
                <w:rFonts w:ascii="黑体" w:hAnsi="黑体" w:eastAsia="黑体" w:cs="宋体"/>
                <w:snapToGrid w:val="0"/>
                <w:color w:val="000000"/>
                <w:spacing w:val="-6"/>
                <w:kern w:val="21"/>
                <w:szCs w:val="21"/>
              </w:rPr>
            </w:pPr>
          </w:p>
        </w:tc>
        <w:tc>
          <w:tcPr>
            <w:tcW w:w="2580" w:type="dxa"/>
            <w:vAlign w:val="center"/>
          </w:tcPr>
          <w:p w14:paraId="107D5217">
            <w:pPr>
              <w:pStyle w:val="60"/>
              <w:spacing w:beforeLines="0" w:afterLines="0" w:line="240" w:lineRule="auto"/>
              <w:rPr>
                <w:rFonts w:ascii="Times New Roman"/>
                <w:snapToGrid w:val="0"/>
                <w:color w:val="000000"/>
                <w:kern w:val="21"/>
                <w:szCs w:val="24"/>
              </w:rPr>
            </w:pPr>
            <w:r>
              <w:rPr>
                <w:rFonts w:ascii="Times New Roman"/>
                <w:color w:val="000000"/>
                <w:szCs w:val="24"/>
              </w:rPr>
              <w:t>颗粒物</w:t>
            </w:r>
          </w:p>
        </w:tc>
        <w:tc>
          <w:tcPr>
            <w:tcW w:w="1590" w:type="dxa"/>
            <w:vAlign w:val="center"/>
          </w:tcPr>
          <w:p w14:paraId="6DCF9011">
            <w:pPr>
              <w:pStyle w:val="60"/>
              <w:spacing w:beforeLines="0" w:afterLines="0" w:line="240" w:lineRule="auto"/>
              <w:rPr>
                <w:rFonts w:ascii="Times New Roman"/>
                <w:color w:val="000000"/>
                <w:szCs w:val="24"/>
              </w:rPr>
            </w:pPr>
            <w:r>
              <w:rPr>
                <w:rFonts w:hint="eastAsia" w:ascii="Times New Roman"/>
                <w:color w:val="000000"/>
                <w:szCs w:val="24"/>
              </w:rPr>
              <w:t>43.477</w:t>
            </w:r>
          </w:p>
        </w:tc>
        <w:tc>
          <w:tcPr>
            <w:tcW w:w="1080" w:type="dxa"/>
            <w:vAlign w:val="center"/>
          </w:tcPr>
          <w:p w14:paraId="6BB28483">
            <w:pPr>
              <w:pStyle w:val="60"/>
              <w:spacing w:beforeLines="0" w:afterLines="0" w:line="240" w:lineRule="auto"/>
              <w:rPr>
                <w:rFonts w:ascii="Times New Roman"/>
                <w:color w:val="000000"/>
                <w:szCs w:val="24"/>
              </w:rPr>
            </w:pPr>
            <w:r>
              <w:rPr>
                <w:rFonts w:ascii="Times New Roman"/>
                <w:color w:val="000000"/>
                <w:szCs w:val="24"/>
              </w:rPr>
              <w:t>105.6</w:t>
            </w:r>
          </w:p>
        </w:tc>
        <w:tc>
          <w:tcPr>
            <w:tcW w:w="1650" w:type="dxa"/>
            <w:vAlign w:val="center"/>
          </w:tcPr>
          <w:p w14:paraId="47A61794">
            <w:pPr>
              <w:pStyle w:val="60"/>
              <w:spacing w:beforeLines="0" w:afterLines="0" w:line="240" w:lineRule="auto"/>
              <w:rPr>
                <w:rFonts w:ascii="Times New Roman"/>
                <w:color w:val="000000"/>
                <w:szCs w:val="24"/>
              </w:rPr>
            </w:pPr>
          </w:p>
        </w:tc>
        <w:tc>
          <w:tcPr>
            <w:tcW w:w="1530" w:type="dxa"/>
            <w:vAlign w:val="center"/>
          </w:tcPr>
          <w:p w14:paraId="5735F85D">
            <w:pPr>
              <w:pStyle w:val="60"/>
              <w:spacing w:beforeLines="0" w:afterLines="0" w:line="240" w:lineRule="auto"/>
              <w:rPr>
                <w:rFonts w:ascii="Times New Roman"/>
                <w:color w:val="000000"/>
                <w:szCs w:val="24"/>
              </w:rPr>
            </w:pPr>
            <w:r>
              <w:rPr>
                <w:rFonts w:ascii="Times New Roman"/>
                <w:color w:val="000000"/>
                <w:szCs w:val="24"/>
              </w:rPr>
              <w:t>0</w:t>
            </w:r>
          </w:p>
        </w:tc>
        <w:tc>
          <w:tcPr>
            <w:tcW w:w="1425" w:type="dxa"/>
            <w:vAlign w:val="center"/>
          </w:tcPr>
          <w:p w14:paraId="172B7EF8">
            <w:pPr>
              <w:pStyle w:val="60"/>
              <w:spacing w:beforeLines="0" w:afterLines="0" w:line="240" w:lineRule="auto"/>
              <w:rPr>
                <w:rFonts w:ascii="Times New Roman"/>
                <w:color w:val="000000"/>
                <w:szCs w:val="24"/>
              </w:rPr>
            </w:pPr>
          </w:p>
        </w:tc>
        <w:tc>
          <w:tcPr>
            <w:tcW w:w="1650" w:type="dxa"/>
            <w:vAlign w:val="center"/>
          </w:tcPr>
          <w:p w14:paraId="4EDD66A8">
            <w:pPr>
              <w:pStyle w:val="60"/>
              <w:spacing w:beforeLines="0" w:afterLines="0" w:line="240" w:lineRule="auto"/>
              <w:rPr>
                <w:rFonts w:ascii="Times New Roman"/>
                <w:color w:val="000000"/>
                <w:szCs w:val="24"/>
              </w:rPr>
            </w:pPr>
            <w:r>
              <w:rPr>
                <w:rFonts w:hint="eastAsia" w:ascii="Times New Roman"/>
                <w:color w:val="000000"/>
                <w:szCs w:val="24"/>
              </w:rPr>
              <w:t>43.477</w:t>
            </w:r>
          </w:p>
        </w:tc>
        <w:tc>
          <w:tcPr>
            <w:tcW w:w="960" w:type="dxa"/>
            <w:vAlign w:val="center"/>
          </w:tcPr>
          <w:p w14:paraId="548BD9D0">
            <w:pPr>
              <w:pStyle w:val="60"/>
              <w:spacing w:beforeLines="0" w:afterLines="0" w:line="240" w:lineRule="auto"/>
              <w:rPr>
                <w:rFonts w:ascii="Times New Roman"/>
                <w:color w:val="000000"/>
                <w:szCs w:val="24"/>
              </w:rPr>
            </w:pPr>
            <w:r>
              <w:rPr>
                <w:rFonts w:ascii="Times New Roman"/>
                <w:color w:val="000000"/>
                <w:szCs w:val="24"/>
              </w:rPr>
              <w:t>0</w:t>
            </w:r>
          </w:p>
        </w:tc>
      </w:tr>
      <w:tr w14:paraId="56938A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3" w:type="dxa"/>
            <w:vAlign w:val="center"/>
          </w:tcPr>
          <w:p w14:paraId="77595976">
            <w:pPr>
              <w:pStyle w:val="60"/>
              <w:spacing w:beforeLines="0" w:afterLines="0" w:line="240" w:lineRule="auto"/>
              <w:rPr>
                <w:rFonts w:ascii="黑体" w:hAnsi="黑体" w:eastAsia="黑体" w:cs="宋体"/>
                <w:snapToGrid w:val="0"/>
                <w:color w:val="000000"/>
                <w:spacing w:val="-6"/>
                <w:kern w:val="21"/>
                <w:szCs w:val="21"/>
              </w:rPr>
            </w:pPr>
            <w:r>
              <w:rPr>
                <w:rFonts w:hint="eastAsia" w:ascii="黑体" w:hAnsi="黑体" w:eastAsia="黑体" w:cs="宋体"/>
                <w:snapToGrid w:val="0"/>
                <w:color w:val="000000"/>
                <w:spacing w:val="-6"/>
                <w:kern w:val="21"/>
                <w:szCs w:val="21"/>
              </w:rPr>
              <w:t>废水</w:t>
            </w:r>
          </w:p>
        </w:tc>
        <w:tc>
          <w:tcPr>
            <w:tcW w:w="12465" w:type="dxa"/>
            <w:gridSpan w:val="8"/>
            <w:vAlign w:val="center"/>
          </w:tcPr>
          <w:p w14:paraId="57E8D58D">
            <w:pPr>
              <w:pStyle w:val="60"/>
              <w:spacing w:beforeLines="0" w:afterLines="0" w:line="240" w:lineRule="auto"/>
              <w:rPr>
                <w:rFonts w:ascii="Times New Roman"/>
                <w:color w:val="000000"/>
                <w:szCs w:val="24"/>
              </w:rPr>
            </w:pPr>
            <w:r>
              <w:rPr>
                <w:rFonts w:ascii="Times New Roman"/>
                <w:color w:val="000000"/>
                <w:szCs w:val="24"/>
              </w:rPr>
              <w:t>全厂废水不外排</w:t>
            </w:r>
          </w:p>
        </w:tc>
      </w:tr>
      <w:tr w14:paraId="32F90C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3" w:type="dxa"/>
            <w:vMerge w:val="restart"/>
            <w:vAlign w:val="center"/>
          </w:tcPr>
          <w:p w14:paraId="443D7689">
            <w:pPr>
              <w:pStyle w:val="60"/>
              <w:spacing w:beforeLines="0" w:afterLines="0" w:line="240" w:lineRule="auto"/>
              <w:rPr>
                <w:rFonts w:ascii="黑体" w:hAnsi="黑体" w:eastAsia="黑体" w:cs="宋体"/>
                <w:snapToGrid w:val="0"/>
                <w:color w:val="000000"/>
                <w:spacing w:val="-6"/>
                <w:kern w:val="21"/>
                <w:szCs w:val="21"/>
              </w:rPr>
            </w:pPr>
            <w:r>
              <w:rPr>
                <w:rFonts w:hint="eastAsia" w:ascii="黑体" w:hAnsi="黑体" w:eastAsia="黑体" w:cs="宋体"/>
                <w:snapToGrid w:val="0"/>
                <w:color w:val="000000"/>
                <w:spacing w:val="-6"/>
                <w:kern w:val="21"/>
                <w:szCs w:val="21"/>
              </w:rPr>
              <w:t>一般工业</w:t>
            </w:r>
          </w:p>
          <w:p w14:paraId="0C1F5000">
            <w:pPr>
              <w:pStyle w:val="60"/>
              <w:spacing w:beforeLines="0" w:afterLines="0" w:line="240" w:lineRule="auto"/>
              <w:rPr>
                <w:rFonts w:ascii="黑体" w:hAnsi="黑体" w:eastAsia="黑体" w:cs="宋体"/>
                <w:snapToGrid w:val="0"/>
                <w:color w:val="000000"/>
                <w:spacing w:val="-6"/>
                <w:kern w:val="21"/>
                <w:szCs w:val="21"/>
              </w:rPr>
            </w:pPr>
            <w:r>
              <w:rPr>
                <w:rFonts w:hint="eastAsia" w:ascii="黑体" w:hAnsi="黑体" w:eastAsia="黑体" w:cs="宋体"/>
                <w:snapToGrid w:val="0"/>
                <w:color w:val="000000"/>
                <w:spacing w:val="-6"/>
                <w:kern w:val="21"/>
                <w:szCs w:val="21"/>
              </w:rPr>
              <w:t>固体废物</w:t>
            </w:r>
          </w:p>
        </w:tc>
        <w:tc>
          <w:tcPr>
            <w:tcW w:w="2580" w:type="dxa"/>
            <w:vAlign w:val="center"/>
          </w:tcPr>
          <w:p w14:paraId="3D74BA09">
            <w:pPr>
              <w:pStyle w:val="60"/>
              <w:spacing w:beforeLines="0" w:afterLines="0" w:line="240" w:lineRule="auto"/>
              <w:rPr>
                <w:rFonts w:ascii="Times New Roman"/>
                <w:color w:val="000000"/>
                <w:szCs w:val="24"/>
              </w:rPr>
            </w:pPr>
            <w:r>
              <w:rPr>
                <w:rFonts w:ascii="Times New Roman"/>
                <w:color w:val="000000"/>
                <w:szCs w:val="24"/>
              </w:rPr>
              <w:t>废包装材料</w:t>
            </w:r>
          </w:p>
        </w:tc>
        <w:tc>
          <w:tcPr>
            <w:tcW w:w="1590" w:type="dxa"/>
            <w:vAlign w:val="center"/>
          </w:tcPr>
          <w:p w14:paraId="601AABB9">
            <w:pPr>
              <w:pStyle w:val="60"/>
              <w:spacing w:beforeLines="0" w:afterLines="0" w:line="240" w:lineRule="auto"/>
              <w:rPr>
                <w:rFonts w:ascii="Times New Roman"/>
                <w:color w:val="000000"/>
                <w:szCs w:val="24"/>
              </w:rPr>
            </w:pPr>
            <w:r>
              <w:rPr>
                <w:rFonts w:ascii="Times New Roman"/>
                <w:color w:val="000000"/>
                <w:szCs w:val="24"/>
              </w:rPr>
              <w:t>16.5</w:t>
            </w:r>
          </w:p>
        </w:tc>
        <w:tc>
          <w:tcPr>
            <w:tcW w:w="1080" w:type="dxa"/>
            <w:vAlign w:val="center"/>
          </w:tcPr>
          <w:p w14:paraId="531B3E61">
            <w:pPr>
              <w:pStyle w:val="60"/>
              <w:spacing w:beforeLines="0" w:afterLines="0" w:line="240" w:lineRule="auto"/>
              <w:rPr>
                <w:rFonts w:ascii="Times New Roman"/>
                <w:color w:val="000000"/>
                <w:szCs w:val="24"/>
              </w:rPr>
            </w:pPr>
          </w:p>
        </w:tc>
        <w:tc>
          <w:tcPr>
            <w:tcW w:w="1650" w:type="dxa"/>
            <w:vAlign w:val="center"/>
          </w:tcPr>
          <w:p w14:paraId="0F4779E6">
            <w:pPr>
              <w:pStyle w:val="60"/>
              <w:spacing w:beforeLines="0" w:afterLines="0" w:line="240" w:lineRule="auto"/>
              <w:rPr>
                <w:rFonts w:ascii="Times New Roman"/>
                <w:color w:val="000000"/>
                <w:szCs w:val="24"/>
              </w:rPr>
            </w:pPr>
          </w:p>
        </w:tc>
        <w:tc>
          <w:tcPr>
            <w:tcW w:w="1530" w:type="dxa"/>
            <w:vAlign w:val="center"/>
          </w:tcPr>
          <w:p w14:paraId="5E48FE96">
            <w:pPr>
              <w:pStyle w:val="60"/>
              <w:spacing w:beforeLines="0" w:afterLines="0" w:line="240" w:lineRule="auto"/>
              <w:rPr>
                <w:rFonts w:ascii="Times New Roman"/>
                <w:color w:val="000000"/>
                <w:szCs w:val="24"/>
              </w:rPr>
            </w:pPr>
            <w:r>
              <w:rPr>
                <w:rFonts w:ascii="Times New Roman"/>
                <w:color w:val="000000"/>
                <w:szCs w:val="24"/>
              </w:rPr>
              <w:t>0</w:t>
            </w:r>
          </w:p>
        </w:tc>
        <w:tc>
          <w:tcPr>
            <w:tcW w:w="1425" w:type="dxa"/>
            <w:vAlign w:val="center"/>
          </w:tcPr>
          <w:p w14:paraId="69D21C06">
            <w:pPr>
              <w:pStyle w:val="60"/>
              <w:spacing w:beforeLines="0" w:afterLines="0" w:line="240" w:lineRule="auto"/>
              <w:rPr>
                <w:rFonts w:ascii="Times New Roman"/>
                <w:color w:val="000000"/>
                <w:szCs w:val="24"/>
              </w:rPr>
            </w:pPr>
          </w:p>
        </w:tc>
        <w:tc>
          <w:tcPr>
            <w:tcW w:w="1650" w:type="dxa"/>
            <w:vAlign w:val="center"/>
          </w:tcPr>
          <w:p w14:paraId="5FAC9391">
            <w:pPr>
              <w:pStyle w:val="60"/>
              <w:spacing w:beforeLines="0" w:afterLines="0" w:line="240" w:lineRule="auto"/>
              <w:rPr>
                <w:rFonts w:ascii="Times New Roman"/>
                <w:color w:val="000000"/>
                <w:szCs w:val="24"/>
              </w:rPr>
            </w:pPr>
            <w:r>
              <w:rPr>
                <w:rFonts w:ascii="Times New Roman"/>
                <w:color w:val="000000"/>
                <w:szCs w:val="24"/>
              </w:rPr>
              <w:t>16.5</w:t>
            </w:r>
          </w:p>
        </w:tc>
        <w:tc>
          <w:tcPr>
            <w:tcW w:w="960" w:type="dxa"/>
            <w:vAlign w:val="center"/>
          </w:tcPr>
          <w:p w14:paraId="2CABC369">
            <w:pPr>
              <w:pStyle w:val="60"/>
              <w:spacing w:beforeLines="0" w:afterLines="0" w:line="240" w:lineRule="auto"/>
              <w:rPr>
                <w:rFonts w:ascii="Times New Roman"/>
                <w:color w:val="000000"/>
                <w:szCs w:val="24"/>
              </w:rPr>
            </w:pPr>
            <w:r>
              <w:rPr>
                <w:rFonts w:ascii="Times New Roman"/>
                <w:color w:val="000000"/>
                <w:szCs w:val="24"/>
              </w:rPr>
              <w:t>0</w:t>
            </w:r>
          </w:p>
        </w:tc>
      </w:tr>
      <w:tr w14:paraId="4A3A30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3" w:type="dxa"/>
            <w:vMerge w:val="continue"/>
            <w:vAlign w:val="center"/>
          </w:tcPr>
          <w:p w14:paraId="56ADC916">
            <w:pPr>
              <w:pStyle w:val="60"/>
              <w:spacing w:beforeLines="0" w:afterLines="0" w:line="240" w:lineRule="auto"/>
              <w:rPr>
                <w:rFonts w:ascii="黑体" w:hAnsi="黑体" w:eastAsia="黑体" w:cs="宋体"/>
                <w:snapToGrid w:val="0"/>
                <w:color w:val="000000"/>
                <w:spacing w:val="-6"/>
                <w:kern w:val="21"/>
                <w:szCs w:val="21"/>
              </w:rPr>
            </w:pPr>
          </w:p>
        </w:tc>
        <w:tc>
          <w:tcPr>
            <w:tcW w:w="2580" w:type="dxa"/>
            <w:vAlign w:val="center"/>
          </w:tcPr>
          <w:p w14:paraId="7EBA58A4">
            <w:pPr>
              <w:pStyle w:val="60"/>
              <w:spacing w:beforeLines="0" w:afterLines="0" w:line="240" w:lineRule="auto"/>
              <w:rPr>
                <w:rFonts w:ascii="Times New Roman"/>
                <w:color w:val="000000"/>
                <w:szCs w:val="24"/>
              </w:rPr>
            </w:pPr>
            <w:r>
              <w:rPr>
                <w:rFonts w:ascii="Times New Roman"/>
                <w:color w:val="000000"/>
                <w:szCs w:val="24"/>
              </w:rPr>
              <w:t>废包装容器</w:t>
            </w:r>
          </w:p>
        </w:tc>
        <w:tc>
          <w:tcPr>
            <w:tcW w:w="1590" w:type="dxa"/>
            <w:vAlign w:val="center"/>
          </w:tcPr>
          <w:p w14:paraId="77407A3A">
            <w:pPr>
              <w:pStyle w:val="60"/>
              <w:spacing w:beforeLines="0" w:afterLines="0" w:line="240" w:lineRule="auto"/>
              <w:rPr>
                <w:rFonts w:ascii="Times New Roman"/>
                <w:color w:val="000000"/>
                <w:szCs w:val="24"/>
              </w:rPr>
            </w:pPr>
            <w:r>
              <w:rPr>
                <w:rFonts w:ascii="Times New Roman"/>
                <w:color w:val="000000"/>
                <w:szCs w:val="24"/>
              </w:rPr>
              <w:t>0.11</w:t>
            </w:r>
          </w:p>
        </w:tc>
        <w:tc>
          <w:tcPr>
            <w:tcW w:w="1080" w:type="dxa"/>
            <w:vAlign w:val="center"/>
          </w:tcPr>
          <w:p w14:paraId="0A877FFB">
            <w:pPr>
              <w:pStyle w:val="60"/>
              <w:spacing w:beforeLines="0" w:afterLines="0" w:line="240" w:lineRule="auto"/>
              <w:rPr>
                <w:rFonts w:ascii="Times New Roman"/>
                <w:color w:val="000000"/>
                <w:szCs w:val="24"/>
              </w:rPr>
            </w:pPr>
          </w:p>
        </w:tc>
        <w:tc>
          <w:tcPr>
            <w:tcW w:w="1650" w:type="dxa"/>
            <w:vAlign w:val="center"/>
          </w:tcPr>
          <w:p w14:paraId="7692A325">
            <w:pPr>
              <w:pStyle w:val="60"/>
              <w:spacing w:beforeLines="0" w:afterLines="0" w:line="240" w:lineRule="auto"/>
              <w:rPr>
                <w:rFonts w:ascii="Times New Roman"/>
                <w:color w:val="000000"/>
                <w:szCs w:val="24"/>
              </w:rPr>
            </w:pPr>
          </w:p>
        </w:tc>
        <w:tc>
          <w:tcPr>
            <w:tcW w:w="1530" w:type="dxa"/>
            <w:vAlign w:val="center"/>
          </w:tcPr>
          <w:p w14:paraId="12E2C4A7">
            <w:pPr>
              <w:pStyle w:val="60"/>
              <w:spacing w:beforeLines="0" w:afterLines="0" w:line="240" w:lineRule="auto"/>
              <w:rPr>
                <w:rFonts w:ascii="Times New Roman"/>
                <w:color w:val="000000"/>
                <w:szCs w:val="24"/>
              </w:rPr>
            </w:pPr>
            <w:r>
              <w:rPr>
                <w:rFonts w:ascii="Times New Roman"/>
                <w:color w:val="000000"/>
                <w:szCs w:val="24"/>
              </w:rPr>
              <w:t>0</w:t>
            </w:r>
          </w:p>
        </w:tc>
        <w:tc>
          <w:tcPr>
            <w:tcW w:w="1425" w:type="dxa"/>
            <w:vAlign w:val="center"/>
          </w:tcPr>
          <w:p w14:paraId="5DD20F2A">
            <w:pPr>
              <w:pStyle w:val="60"/>
              <w:spacing w:beforeLines="0" w:afterLines="0" w:line="240" w:lineRule="auto"/>
              <w:rPr>
                <w:rFonts w:ascii="Times New Roman"/>
                <w:color w:val="000000"/>
                <w:szCs w:val="24"/>
              </w:rPr>
            </w:pPr>
          </w:p>
        </w:tc>
        <w:tc>
          <w:tcPr>
            <w:tcW w:w="1650" w:type="dxa"/>
            <w:vAlign w:val="center"/>
          </w:tcPr>
          <w:p w14:paraId="104F51AA">
            <w:pPr>
              <w:pStyle w:val="60"/>
              <w:spacing w:beforeLines="0" w:afterLines="0" w:line="240" w:lineRule="auto"/>
              <w:rPr>
                <w:rFonts w:ascii="Times New Roman"/>
                <w:color w:val="000000"/>
                <w:szCs w:val="24"/>
              </w:rPr>
            </w:pPr>
            <w:r>
              <w:rPr>
                <w:rFonts w:ascii="Times New Roman"/>
                <w:color w:val="000000"/>
                <w:szCs w:val="24"/>
              </w:rPr>
              <w:t>0.11</w:t>
            </w:r>
          </w:p>
        </w:tc>
        <w:tc>
          <w:tcPr>
            <w:tcW w:w="960" w:type="dxa"/>
            <w:vAlign w:val="center"/>
          </w:tcPr>
          <w:p w14:paraId="60A7582A">
            <w:pPr>
              <w:pStyle w:val="60"/>
              <w:spacing w:beforeLines="0" w:afterLines="0" w:line="240" w:lineRule="auto"/>
              <w:rPr>
                <w:rFonts w:ascii="Times New Roman"/>
                <w:color w:val="000000"/>
                <w:szCs w:val="24"/>
              </w:rPr>
            </w:pPr>
            <w:r>
              <w:rPr>
                <w:rFonts w:ascii="Times New Roman"/>
                <w:color w:val="000000"/>
                <w:szCs w:val="24"/>
              </w:rPr>
              <w:t>0</w:t>
            </w:r>
          </w:p>
        </w:tc>
      </w:tr>
      <w:tr w14:paraId="092D15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3" w:type="dxa"/>
            <w:vMerge w:val="continue"/>
            <w:vAlign w:val="center"/>
          </w:tcPr>
          <w:p w14:paraId="0E55725E">
            <w:pPr>
              <w:pStyle w:val="60"/>
              <w:spacing w:beforeLines="0" w:afterLines="0" w:line="240" w:lineRule="auto"/>
              <w:rPr>
                <w:rFonts w:ascii="黑体" w:hAnsi="黑体" w:eastAsia="黑体" w:cs="宋体"/>
                <w:snapToGrid w:val="0"/>
                <w:color w:val="000000"/>
                <w:spacing w:val="-6"/>
                <w:kern w:val="21"/>
                <w:szCs w:val="21"/>
              </w:rPr>
            </w:pPr>
          </w:p>
        </w:tc>
        <w:tc>
          <w:tcPr>
            <w:tcW w:w="2580" w:type="dxa"/>
            <w:vAlign w:val="center"/>
          </w:tcPr>
          <w:p w14:paraId="657405F7">
            <w:pPr>
              <w:pStyle w:val="60"/>
              <w:spacing w:beforeLines="0" w:afterLines="0" w:line="240" w:lineRule="auto"/>
              <w:rPr>
                <w:rFonts w:ascii="Times New Roman"/>
                <w:color w:val="000000"/>
                <w:szCs w:val="24"/>
              </w:rPr>
            </w:pPr>
            <w:r>
              <w:rPr>
                <w:rFonts w:ascii="Times New Roman"/>
                <w:color w:val="000000"/>
                <w:szCs w:val="24"/>
              </w:rPr>
              <w:t>废布袋</w:t>
            </w:r>
          </w:p>
        </w:tc>
        <w:tc>
          <w:tcPr>
            <w:tcW w:w="1590" w:type="dxa"/>
            <w:vAlign w:val="center"/>
          </w:tcPr>
          <w:p w14:paraId="6293EA8C">
            <w:pPr>
              <w:pStyle w:val="60"/>
              <w:spacing w:beforeLines="0" w:afterLines="0" w:line="240" w:lineRule="auto"/>
              <w:rPr>
                <w:rFonts w:ascii="Times New Roman"/>
                <w:color w:val="000000"/>
                <w:szCs w:val="24"/>
              </w:rPr>
            </w:pPr>
            <w:r>
              <w:rPr>
                <w:rFonts w:ascii="Times New Roman"/>
                <w:color w:val="000000"/>
                <w:szCs w:val="24"/>
              </w:rPr>
              <w:t>3</w:t>
            </w:r>
          </w:p>
        </w:tc>
        <w:tc>
          <w:tcPr>
            <w:tcW w:w="1080" w:type="dxa"/>
            <w:vAlign w:val="center"/>
          </w:tcPr>
          <w:p w14:paraId="0494CF73">
            <w:pPr>
              <w:pStyle w:val="60"/>
              <w:spacing w:beforeLines="0" w:afterLines="0" w:line="240" w:lineRule="auto"/>
              <w:rPr>
                <w:rFonts w:ascii="Times New Roman"/>
                <w:color w:val="000000"/>
                <w:szCs w:val="24"/>
              </w:rPr>
            </w:pPr>
          </w:p>
        </w:tc>
        <w:tc>
          <w:tcPr>
            <w:tcW w:w="1650" w:type="dxa"/>
            <w:vAlign w:val="center"/>
          </w:tcPr>
          <w:p w14:paraId="32209367">
            <w:pPr>
              <w:pStyle w:val="60"/>
              <w:spacing w:beforeLines="0" w:afterLines="0" w:line="240" w:lineRule="auto"/>
              <w:rPr>
                <w:rFonts w:ascii="Times New Roman"/>
                <w:color w:val="000000"/>
                <w:szCs w:val="24"/>
              </w:rPr>
            </w:pPr>
          </w:p>
        </w:tc>
        <w:tc>
          <w:tcPr>
            <w:tcW w:w="1530" w:type="dxa"/>
            <w:vAlign w:val="center"/>
          </w:tcPr>
          <w:p w14:paraId="4608F6D7">
            <w:pPr>
              <w:pStyle w:val="60"/>
              <w:spacing w:beforeLines="0" w:afterLines="0" w:line="240" w:lineRule="auto"/>
              <w:rPr>
                <w:rFonts w:ascii="Times New Roman"/>
                <w:color w:val="000000"/>
                <w:szCs w:val="24"/>
              </w:rPr>
            </w:pPr>
            <w:r>
              <w:rPr>
                <w:rFonts w:ascii="Times New Roman"/>
                <w:color w:val="000000"/>
                <w:szCs w:val="24"/>
              </w:rPr>
              <w:t>0</w:t>
            </w:r>
          </w:p>
        </w:tc>
        <w:tc>
          <w:tcPr>
            <w:tcW w:w="1425" w:type="dxa"/>
            <w:vAlign w:val="center"/>
          </w:tcPr>
          <w:p w14:paraId="26CFEE8C">
            <w:pPr>
              <w:pStyle w:val="60"/>
              <w:spacing w:beforeLines="0" w:afterLines="0" w:line="240" w:lineRule="auto"/>
              <w:rPr>
                <w:rFonts w:ascii="Times New Roman"/>
                <w:color w:val="000000"/>
                <w:szCs w:val="24"/>
              </w:rPr>
            </w:pPr>
          </w:p>
        </w:tc>
        <w:tc>
          <w:tcPr>
            <w:tcW w:w="1650" w:type="dxa"/>
            <w:vAlign w:val="center"/>
          </w:tcPr>
          <w:p w14:paraId="499398AC">
            <w:pPr>
              <w:pStyle w:val="60"/>
              <w:spacing w:beforeLines="0" w:afterLines="0" w:line="240" w:lineRule="auto"/>
              <w:rPr>
                <w:rFonts w:ascii="Times New Roman"/>
                <w:color w:val="000000"/>
                <w:szCs w:val="24"/>
              </w:rPr>
            </w:pPr>
            <w:r>
              <w:rPr>
                <w:rFonts w:ascii="Times New Roman"/>
                <w:color w:val="000000"/>
                <w:szCs w:val="24"/>
              </w:rPr>
              <w:t>3</w:t>
            </w:r>
          </w:p>
        </w:tc>
        <w:tc>
          <w:tcPr>
            <w:tcW w:w="960" w:type="dxa"/>
            <w:vAlign w:val="center"/>
          </w:tcPr>
          <w:p w14:paraId="5669D6F5">
            <w:pPr>
              <w:pStyle w:val="60"/>
              <w:spacing w:beforeLines="0" w:afterLines="0" w:line="240" w:lineRule="auto"/>
              <w:rPr>
                <w:rFonts w:ascii="Times New Roman"/>
                <w:color w:val="000000"/>
                <w:szCs w:val="24"/>
              </w:rPr>
            </w:pPr>
            <w:r>
              <w:rPr>
                <w:rFonts w:ascii="Times New Roman"/>
                <w:color w:val="000000"/>
                <w:szCs w:val="24"/>
              </w:rPr>
              <w:t>0</w:t>
            </w:r>
          </w:p>
        </w:tc>
      </w:tr>
      <w:tr w14:paraId="6743C5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3" w:type="dxa"/>
            <w:vMerge w:val="continue"/>
            <w:vAlign w:val="center"/>
          </w:tcPr>
          <w:p w14:paraId="289E5D40">
            <w:pPr>
              <w:pStyle w:val="60"/>
              <w:spacing w:beforeLines="0" w:afterLines="0" w:line="240" w:lineRule="auto"/>
              <w:rPr>
                <w:rFonts w:ascii="黑体" w:hAnsi="黑体" w:eastAsia="黑体" w:cs="宋体"/>
                <w:snapToGrid w:val="0"/>
                <w:color w:val="000000"/>
                <w:spacing w:val="-6"/>
                <w:kern w:val="21"/>
                <w:szCs w:val="21"/>
              </w:rPr>
            </w:pPr>
          </w:p>
        </w:tc>
        <w:tc>
          <w:tcPr>
            <w:tcW w:w="2580" w:type="dxa"/>
            <w:vAlign w:val="center"/>
          </w:tcPr>
          <w:p w14:paraId="7750D309">
            <w:pPr>
              <w:pStyle w:val="60"/>
              <w:spacing w:beforeLines="0" w:afterLines="0" w:line="240" w:lineRule="auto"/>
              <w:rPr>
                <w:rFonts w:ascii="Times New Roman"/>
                <w:color w:val="000000"/>
                <w:szCs w:val="24"/>
              </w:rPr>
            </w:pPr>
            <w:r>
              <w:rPr>
                <w:rFonts w:ascii="Times New Roman"/>
                <w:color w:val="000000"/>
                <w:szCs w:val="24"/>
              </w:rPr>
              <w:t>废耐火材料</w:t>
            </w:r>
          </w:p>
        </w:tc>
        <w:tc>
          <w:tcPr>
            <w:tcW w:w="1590" w:type="dxa"/>
            <w:vAlign w:val="center"/>
          </w:tcPr>
          <w:p w14:paraId="422A5414">
            <w:pPr>
              <w:pStyle w:val="60"/>
              <w:spacing w:beforeLines="0" w:afterLines="0" w:line="240" w:lineRule="auto"/>
              <w:rPr>
                <w:rFonts w:ascii="Times New Roman"/>
                <w:color w:val="000000"/>
                <w:szCs w:val="24"/>
              </w:rPr>
            </w:pPr>
            <w:r>
              <w:rPr>
                <w:rFonts w:ascii="Times New Roman"/>
                <w:color w:val="000000"/>
                <w:szCs w:val="24"/>
              </w:rPr>
              <w:t>15（t/次）</w:t>
            </w:r>
          </w:p>
        </w:tc>
        <w:tc>
          <w:tcPr>
            <w:tcW w:w="1080" w:type="dxa"/>
            <w:vAlign w:val="center"/>
          </w:tcPr>
          <w:p w14:paraId="424B5918">
            <w:pPr>
              <w:pStyle w:val="60"/>
              <w:spacing w:beforeLines="0" w:afterLines="0" w:line="240" w:lineRule="auto"/>
              <w:rPr>
                <w:rFonts w:ascii="Times New Roman"/>
                <w:color w:val="000000"/>
                <w:szCs w:val="24"/>
              </w:rPr>
            </w:pPr>
          </w:p>
        </w:tc>
        <w:tc>
          <w:tcPr>
            <w:tcW w:w="1650" w:type="dxa"/>
            <w:vAlign w:val="center"/>
          </w:tcPr>
          <w:p w14:paraId="148FB03E">
            <w:pPr>
              <w:pStyle w:val="60"/>
              <w:spacing w:beforeLines="0" w:afterLines="0" w:line="240" w:lineRule="auto"/>
              <w:rPr>
                <w:rFonts w:ascii="Times New Roman"/>
                <w:color w:val="000000"/>
                <w:szCs w:val="24"/>
              </w:rPr>
            </w:pPr>
          </w:p>
        </w:tc>
        <w:tc>
          <w:tcPr>
            <w:tcW w:w="1530" w:type="dxa"/>
            <w:vAlign w:val="center"/>
          </w:tcPr>
          <w:p w14:paraId="535DFEC9">
            <w:pPr>
              <w:pStyle w:val="60"/>
              <w:spacing w:beforeLines="0" w:afterLines="0" w:line="240" w:lineRule="auto"/>
              <w:rPr>
                <w:rFonts w:ascii="Times New Roman"/>
                <w:color w:val="000000"/>
                <w:szCs w:val="24"/>
              </w:rPr>
            </w:pPr>
            <w:r>
              <w:rPr>
                <w:rFonts w:ascii="Times New Roman"/>
                <w:color w:val="000000"/>
                <w:szCs w:val="24"/>
              </w:rPr>
              <w:t>0</w:t>
            </w:r>
          </w:p>
        </w:tc>
        <w:tc>
          <w:tcPr>
            <w:tcW w:w="1425" w:type="dxa"/>
            <w:vAlign w:val="center"/>
          </w:tcPr>
          <w:p w14:paraId="2723E0C2">
            <w:pPr>
              <w:pStyle w:val="60"/>
              <w:spacing w:beforeLines="0" w:afterLines="0" w:line="240" w:lineRule="auto"/>
              <w:rPr>
                <w:rFonts w:ascii="Times New Roman"/>
                <w:color w:val="000000"/>
                <w:szCs w:val="24"/>
              </w:rPr>
            </w:pPr>
          </w:p>
        </w:tc>
        <w:tc>
          <w:tcPr>
            <w:tcW w:w="1650" w:type="dxa"/>
            <w:vAlign w:val="center"/>
          </w:tcPr>
          <w:p w14:paraId="7B231015">
            <w:pPr>
              <w:pStyle w:val="60"/>
              <w:spacing w:beforeLines="0" w:afterLines="0" w:line="240" w:lineRule="auto"/>
              <w:rPr>
                <w:rFonts w:ascii="Times New Roman"/>
                <w:color w:val="000000"/>
                <w:szCs w:val="24"/>
              </w:rPr>
            </w:pPr>
            <w:r>
              <w:rPr>
                <w:rFonts w:ascii="Times New Roman"/>
                <w:color w:val="000000"/>
                <w:szCs w:val="24"/>
              </w:rPr>
              <w:t>15（t/次）</w:t>
            </w:r>
          </w:p>
        </w:tc>
        <w:tc>
          <w:tcPr>
            <w:tcW w:w="960" w:type="dxa"/>
            <w:vAlign w:val="center"/>
          </w:tcPr>
          <w:p w14:paraId="5482DEAD">
            <w:pPr>
              <w:pStyle w:val="60"/>
              <w:spacing w:beforeLines="0" w:afterLines="0" w:line="240" w:lineRule="auto"/>
              <w:rPr>
                <w:rFonts w:ascii="Times New Roman"/>
                <w:color w:val="000000"/>
                <w:szCs w:val="24"/>
              </w:rPr>
            </w:pPr>
            <w:r>
              <w:rPr>
                <w:rFonts w:ascii="Times New Roman"/>
                <w:color w:val="000000"/>
                <w:szCs w:val="24"/>
              </w:rPr>
              <w:t>0</w:t>
            </w:r>
          </w:p>
        </w:tc>
      </w:tr>
      <w:tr w14:paraId="687F73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3" w:type="dxa"/>
            <w:vMerge w:val="continue"/>
            <w:vAlign w:val="center"/>
          </w:tcPr>
          <w:p w14:paraId="3082F4DD">
            <w:pPr>
              <w:pStyle w:val="60"/>
              <w:spacing w:beforeLines="0" w:afterLines="0" w:line="240" w:lineRule="auto"/>
              <w:rPr>
                <w:rFonts w:ascii="黑体" w:hAnsi="黑体" w:eastAsia="黑体" w:cs="宋体"/>
                <w:snapToGrid w:val="0"/>
                <w:color w:val="000000"/>
                <w:spacing w:val="-6"/>
                <w:kern w:val="21"/>
                <w:szCs w:val="21"/>
              </w:rPr>
            </w:pPr>
          </w:p>
        </w:tc>
        <w:tc>
          <w:tcPr>
            <w:tcW w:w="2580" w:type="dxa"/>
            <w:vAlign w:val="center"/>
          </w:tcPr>
          <w:p w14:paraId="7360373A">
            <w:pPr>
              <w:pStyle w:val="60"/>
              <w:spacing w:beforeLines="0" w:afterLines="0" w:line="240" w:lineRule="auto"/>
              <w:rPr>
                <w:rFonts w:ascii="Times New Roman"/>
                <w:color w:val="000000"/>
                <w:szCs w:val="24"/>
              </w:rPr>
            </w:pPr>
            <w:r>
              <w:rPr>
                <w:rFonts w:ascii="Times New Roman"/>
                <w:color w:val="000000"/>
                <w:szCs w:val="24"/>
              </w:rPr>
              <w:t>化灰渣</w:t>
            </w:r>
          </w:p>
        </w:tc>
        <w:tc>
          <w:tcPr>
            <w:tcW w:w="1590" w:type="dxa"/>
            <w:vAlign w:val="center"/>
          </w:tcPr>
          <w:p w14:paraId="3727800B">
            <w:pPr>
              <w:pStyle w:val="60"/>
              <w:spacing w:beforeLines="0" w:afterLines="0" w:line="240" w:lineRule="auto"/>
              <w:rPr>
                <w:rFonts w:ascii="Times New Roman"/>
                <w:color w:val="000000"/>
                <w:szCs w:val="24"/>
              </w:rPr>
            </w:pPr>
            <w:r>
              <w:rPr>
                <w:rFonts w:ascii="Times New Roman"/>
                <w:color w:val="000000"/>
                <w:szCs w:val="24"/>
              </w:rPr>
              <w:t>7012</w:t>
            </w:r>
          </w:p>
        </w:tc>
        <w:tc>
          <w:tcPr>
            <w:tcW w:w="1080" w:type="dxa"/>
            <w:vAlign w:val="center"/>
          </w:tcPr>
          <w:p w14:paraId="7C8E4664">
            <w:pPr>
              <w:pStyle w:val="60"/>
              <w:spacing w:beforeLines="0" w:afterLines="0" w:line="240" w:lineRule="auto"/>
              <w:rPr>
                <w:rFonts w:ascii="Times New Roman"/>
                <w:color w:val="000000"/>
                <w:szCs w:val="24"/>
              </w:rPr>
            </w:pPr>
          </w:p>
        </w:tc>
        <w:tc>
          <w:tcPr>
            <w:tcW w:w="1650" w:type="dxa"/>
            <w:vAlign w:val="center"/>
          </w:tcPr>
          <w:p w14:paraId="20C05180">
            <w:pPr>
              <w:pStyle w:val="60"/>
              <w:spacing w:beforeLines="0" w:afterLines="0" w:line="240" w:lineRule="auto"/>
              <w:rPr>
                <w:rFonts w:ascii="Times New Roman"/>
                <w:color w:val="000000"/>
                <w:szCs w:val="24"/>
              </w:rPr>
            </w:pPr>
          </w:p>
        </w:tc>
        <w:tc>
          <w:tcPr>
            <w:tcW w:w="1530" w:type="dxa"/>
            <w:vAlign w:val="center"/>
          </w:tcPr>
          <w:p w14:paraId="6F4E66A3">
            <w:pPr>
              <w:pStyle w:val="60"/>
              <w:spacing w:beforeLines="0" w:afterLines="0" w:line="240" w:lineRule="auto"/>
              <w:rPr>
                <w:rFonts w:ascii="Times New Roman"/>
                <w:color w:val="000000"/>
                <w:szCs w:val="24"/>
              </w:rPr>
            </w:pPr>
            <w:r>
              <w:rPr>
                <w:rFonts w:ascii="Times New Roman"/>
                <w:color w:val="000000"/>
                <w:szCs w:val="24"/>
              </w:rPr>
              <w:t>0</w:t>
            </w:r>
          </w:p>
        </w:tc>
        <w:tc>
          <w:tcPr>
            <w:tcW w:w="1425" w:type="dxa"/>
            <w:vAlign w:val="center"/>
          </w:tcPr>
          <w:p w14:paraId="7F8D17D8">
            <w:pPr>
              <w:pStyle w:val="60"/>
              <w:spacing w:beforeLines="0" w:afterLines="0" w:line="240" w:lineRule="auto"/>
              <w:rPr>
                <w:rFonts w:ascii="Times New Roman"/>
                <w:color w:val="000000"/>
                <w:szCs w:val="24"/>
              </w:rPr>
            </w:pPr>
          </w:p>
        </w:tc>
        <w:tc>
          <w:tcPr>
            <w:tcW w:w="1650" w:type="dxa"/>
            <w:vAlign w:val="center"/>
          </w:tcPr>
          <w:p w14:paraId="5A0B0665">
            <w:pPr>
              <w:pStyle w:val="60"/>
              <w:spacing w:beforeLines="0" w:afterLines="0" w:line="240" w:lineRule="auto"/>
              <w:rPr>
                <w:rFonts w:ascii="Times New Roman"/>
                <w:color w:val="000000"/>
                <w:szCs w:val="24"/>
              </w:rPr>
            </w:pPr>
            <w:r>
              <w:rPr>
                <w:rFonts w:ascii="Times New Roman"/>
                <w:color w:val="000000"/>
                <w:szCs w:val="24"/>
              </w:rPr>
              <w:t>7012</w:t>
            </w:r>
          </w:p>
        </w:tc>
        <w:tc>
          <w:tcPr>
            <w:tcW w:w="960" w:type="dxa"/>
            <w:vAlign w:val="center"/>
          </w:tcPr>
          <w:p w14:paraId="49FFEE49">
            <w:pPr>
              <w:pStyle w:val="60"/>
              <w:spacing w:beforeLines="0" w:afterLines="0" w:line="240" w:lineRule="auto"/>
              <w:rPr>
                <w:rFonts w:ascii="Times New Roman"/>
                <w:color w:val="000000"/>
                <w:szCs w:val="24"/>
              </w:rPr>
            </w:pPr>
            <w:r>
              <w:rPr>
                <w:rFonts w:ascii="Times New Roman"/>
                <w:color w:val="000000"/>
                <w:szCs w:val="24"/>
              </w:rPr>
              <w:t>0</w:t>
            </w:r>
          </w:p>
        </w:tc>
      </w:tr>
      <w:tr w14:paraId="1260E3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3" w:type="dxa"/>
            <w:vMerge w:val="continue"/>
            <w:vAlign w:val="center"/>
          </w:tcPr>
          <w:p w14:paraId="672302F1">
            <w:pPr>
              <w:pStyle w:val="60"/>
              <w:spacing w:beforeLines="0" w:afterLines="0" w:line="240" w:lineRule="auto"/>
              <w:rPr>
                <w:rFonts w:ascii="黑体" w:hAnsi="黑体" w:eastAsia="黑体" w:cs="宋体"/>
                <w:snapToGrid w:val="0"/>
                <w:color w:val="000000"/>
                <w:spacing w:val="-6"/>
                <w:kern w:val="21"/>
                <w:szCs w:val="21"/>
              </w:rPr>
            </w:pPr>
          </w:p>
        </w:tc>
        <w:tc>
          <w:tcPr>
            <w:tcW w:w="2580" w:type="dxa"/>
            <w:vAlign w:val="center"/>
          </w:tcPr>
          <w:p w14:paraId="16FCD7D6">
            <w:pPr>
              <w:pStyle w:val="60"/>
              <w:spacing w:beforeLines="0" w:afterLines="0" w:line="240" w:lineRule="auto"/>
              <w:rPr>
                <w:rFonts w:ascii="Times New Roman"/>
                <w:color w:val="000000"/>
                <w:szCs w:val="24"/>
              </w:rPr>
            </w:pPr>
            <w:r>
              <w:rPr>
                <w:rFonts w:ascii="Times New Roman"/>
                <w:color w:val="000000"/>
                <w:szCs w:val="24"/>
              </w:rPr>
              <w:t>赤泥</w:t>
            </w:r>
          </w:p>
        </w:tc>
        <w:tc>
          <w:tcPr>
            <w:tcW w:w="1590" w:type="dxa"/>
            <w:vAlign w:val="center"/>
          </w:tcPr>
          <w:p w14:paraId="0FCCC4ED">
            <w:pPr>
              <w:pStyle w:val="60"/>
              <w:spacing w:beforeLines="0" w:afterLines="0" w:line="240" w:lineRule="auto"/>
              <w:rPr>
                <w:rFonts w:ascii="Times New Roman"/>
                <w:color w:val="000000"/>
                <w:szCs w:val="24"/>
              </w:rPr>
            </w:pPr>
            <w:r>
              <w:rPr>
                <w:rFonts w:ascii="Times New Roman"/>
                <w:color w:val="000000"/>
                <w:szCs w:val="24"/>
              </w:rPr>
              <w:t>2</w:t>
            </w:r>
            <w:r>
              <w:rPr>
                <w:rFonts w:hint="eastAsia" w:ascii="Times New Roman"/>
                <w:color w:val="000000"/>
                <w:szCs w:val="24"/>
              </w:rPr>
              <w:t>4</w:t>
            </w:r>
            <w:r>
              <w:rPr>
                <w:rFonts w:ascii="Times New Roman"/>
                <w:color w:val="000000"/>
                <w:szCs w:val="24"/>
              </w:rPr>
              <w:t>9</w:t>
            </w:r>
            <w:r>
              <w:rPr>
                <w:rFonts w:hint="eastAsia" w:ascii="Times New Roman"/>
                <w:color w:val="000000"/>
                <w:szCs w:val="24"/>
              </w:rPr>
              <w:t>7</w:t>
            </w:r>
            <w:r>
              <w:rPr>
                <w:rFonts w:ascii="Times New Roman"/>
                <w:color w:val="000000"/>
                <w:szCs w:val="24"/>
              </w:rPr>
              <w:t>000</w:t>
            </w:r>
          </w:p>
        </w:tc>
        <w:tc>
          <w:tcPr>
            <w:tcW w:w="1080" w:type="dxa"/>
            <w:vAlign w:val="center"/>
          </w:tcPr>
          <w:p w14:paraId="7701815C">
            <w:pPr>
              <w:pStyle w:val="60"/>
              <w:spacing w:beforeLines="0" w:afterLines="0" w:line="240" w:lineRule="auto"/>
              <w:rPr>
                <w:rFonts w:ascii="Times New Roman"/>
                <w:color w:val="000000"/>
                <w:szCs w:val="24"/>
              </w:rPr>
            </w:pPr>
          </w:p>
        </w:tc>
        <w:tc>
          <w:tcPr>
            <w:tcW w:w="1650" w:type="dxa"/>
            <w:vAlign w:val="center"/>
          </w:tcPr>
          <w:p w14:paraId="4F7F0668">
            <w:pPr>
              <w:pStyle w:val="60"/>
              <w:spacing w:beforeLines="0" w:afterLines="0" w:line="240" w:lineRule="auto"/>
              <w:rPr>
                <w:rFonts w:ascii="Times New Roman"/>
                <w:color w:val="000000"/>
                <w:szCs w:val="24"/>
              </w:rPr>
            </w:pPr>
          </w:p>
        </w:tc>
        <w:tc>
          <w:tcPr>
            <w:tcW w:w="1530" w:type="dxa"/>
            <w:vAlign w:val="center"/>
          </w:tcPr>
          <w:p w14:paraId="051DED34">
            <w:pPr>
              <w:pStyle w:val="60"/>
              <w:spacing w:beforeLines="0" w:afterLines="0" w:line="240" w:lineRule="auto"/>
              <w:rPr>
                <w:rFonts w:ascii="Times New Roman"/>
                <w:color w:val="000000"/>
                <w:szCs w:val="24"/>
              </w:rPr>
            </w:pPr>
            <w:r>
              <w:rPr>
                <w:rFonts w:ascii="Times New Roman"/>
                <w:color w:val="000000"/>
                <w:szCs w:val="24"/>
              </w:rPr>
              <w:t>0</w:t>
            </w:r>
          </w:p>
        </w:tc>
        <w:tc>
          <w:tcPr>
            <w:tcW w:w="1425" w:type="dxa"/>
            <w:vAlign w:val="center"/>
          </w:tcPr>
          <w:p w14:paraId="159A2728">
            <w:pPr>
              <w:pStyle w:val="60"/>
              <w:spacing w:beforeLines="0" w:afterLines="0" w:line="240" w:lineRule="auto"/>
              <w:rPr>
                <w:rFonts w:ascii="Times New Roman"/>
                <w:color w:val="000000"/>
                <w:szCs w:val="24"/>
              </w:rPr>
            </w:pPr>
          </w:p>
        </w:tc>
        <w:tc>
          <w:tcPr>
            <w:tcW w:w="1650" w:type="dxa"/>
            <w:vAlign w:val="center"/>
          </w:tcPr>
          <w:p w14:paraId="7C8E2901">
            <w:pPr>
              <w:pStyle w:val="60"/>
              <w:spacing w:beforeLines="0" w:afterLines="0" w:line="240" w:lineRule="auto"/>
              <w:rPr>
                <w:rFonts w:ascii="Times New Roman"/>
                <w:color w:val="000000"/>
                <w:szCs w:val="24"/>
              </w:rPr>
            </w:pPr>
            <w:r>
              <w:rPr>
                <w:rFonts w:ascii="Times New Roman"/>
                <w:color w:val="000000"/>
                <w:szCs w:val="24"/>
              </w:rPr>
              <w:t>2</w:t>
            </w:r>
            <w:r>
              <w:rPr>
                <w:rFonts w:hint="eastAsia" w:ascii="Times New Roman"/>
                <w:color w:val="000000"/>
                <w:szCs w:val="24"/>
              </w:rPr>
              <w:t>497</w:t>
            </w:r>
            <w:r>
              <w:rPr>
                <w:rFonts w:ascii="Times New Roman"/>
                <w:color w:val="000000"/>
                <w:szCs w:val="24"/>
              </w:rPr>
              <w:t>000</w:t>
            </w:r>
          </w:p>
        </w:tc>
        <w:tc>
          <w:tcPr>
            <w:tcW w:w="960" w:type="dxa"/>
            <w:vAlign w:val="center"/>
          </w:tcPr>
          <w:p w14:paraId="5D0FF973">
            <w:pPr>
              <w:pStyle w:val="60"/>
              <w:spacing w:beforeLines="0" w:afterLines="0" w:line="240" w:lineRule="auto"/>
              <w:rPr>
                <w:rFonts w:ascii="Times New Roman"/>
                <w:color w:val="000000"/>
                <w:szCs w:val="24"/>
              </w:rPr>
            </w:pPr>
            <w:r>
              <w:rPr>
                <w:rFonts w:ascii="Times New Roman"/>
                <w:color w:val="000000"/>
                <w:szCs w:val="24"/>
              </w:rPr>
              <w:t>0</w:t>
            </w:r>
          </w:p>
        </w:tc>
      </w:tr>
      <w:tr w14:paraId="023AB4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3" w:type="dxa"/>
            <w:vMerge w:val="restart"/>
            <w:vAlign w:val="center"/>
          </w:tcPr>
          <w:p w14:paraId="53004251">
            <w:pPr>
              <w:pStyle w:val="60"/>
              <w:spacing w:beforeLines="0" w:afterLines="0" w:line="240" w:lineRule="auto"/>
              <w:rPr>
                <w:rFonts w:ascii="黑体" w:hAnsi="黑体" w:eastAsia="黑体" w:cs="宋体"/>
                <w:snapToGrid w:val="0"/>
                <w:color w:val="000000"/>
                <w:spacing w:val="-6"/>
                <w:kern w:val="21"/>
                <w:szCs w:val="21"/>
              </w:rPr>
            </w:pPr>
            <w:r>
              <w:rPr>
                <w:rFonts w:hint="eastAsia" w:ascii="黑体" w:hAnsi="黑体" w:eastAsia="黑体" w:cs="宋体"/>
                <w:snapToGrid w:val="0"/>
                <w:color w:val="000000"/>
                <w:spacing w:val="-6"/>
                <w:kern w:val="21"/>
                <w:szCs w:val="21"/>
              </w:rPr>
              <w:t>危险废物</w:t>
            </w:r>
          </w:p>
        </w:tc>
        <w:tc>
          <w:tcPr>
            <w:tcW w:w="2580" w:type="dxa"/>
            <w:vAlign w:val="center"/>
          </w:tcPr>
          <w:p w14:paraId="3B050377">
            <w:pPr>
              <w:pStyle w:val="60"/>
              <w:spacing w:beforeLines="0" w:afterLines="0" w:line="240" w:lineRule="auto"/>
              <w:rPr>
                <w:rFonts w:ascii="Times New Roman"/>
                <w:snapToGrid w:val="0"/>
                <w:color w:val="000000"/>
                <w:kern w:val="21"/>
                <w:szCs w:val="24"/>
              </w:rPr>
            </w:pPr>
            <w:r>
              <w:rPr>
                <w:rFonts w:ascii="Times New Roman"/>
                <w:bCs/>
                <w:color w:val="000000"/>
                <w:szCs w:val="24"/>
              </w:rPr>
              <w:t>废催化剂</w:t>
            </w:r>
          </w:p>
        </w:tc>
        <w:tc>
          <w:tcPr>
            <w:tcW w:w="1590" w:type="dxa"/>
            <w:vAlign w:val="center"/>
          </w:tcPr>
          <w:p w14:paraId="1D9057A4">
            <w:pPr>
              <w:pStyle w:val="73"/>
              <w:rPr>
                <w:color w:val="000000"/>
                <w:sz w:val="24"/>
                <w:szCs w:val="24"/>
              </w:rPr>
            </w:pPr>
            <w:r>
              <w:rPr>
                <w:sz w:val="24"/>
                <w:szCs w:val="24"/>
              </w:rPr>
              <w:t>12</w:t>
            </w:r>
          </w:p>
        </w:tc>
        <w:tc>
          <w:tcPr>
            <w:tcW w:w="1080" w:type="dxa"/>
            <w:vAlign w:val="center"/>
          </w:tcPr>
          <w:p w14:paraId="3A411FFE">
            <w:pPr>
              <w:pStyle w:val="60"/>
              <w:spacing w:beforeLines="0" w:afterLines="0" w:line="240" w:lineRule="auto"/>
              <w:rPr>
                <w:rFonts w:ascii="Times New Roman"/>
                <w:color w:val="000000"/>
                <w:szCs w:val="24"/>
              </w:rPr>
            </w:pPr>
          </w:p>
        </w:tc>
        <w:tc>
          <w:tcPr>
            <w:tcW w:w="1650" w:type="dxa"/>
            <w:vAlign w:val="center"/>
          </w:tcPr>
          <w:p w14:paraId="6A882319">
            <w:pPr>
              <w:pStyle w:val="60"/>
              <w:spacing w:beforeLines="0" w:afterLines="0" w:line="240" w:lineRule="auto"/>
              <w:rPr>
                <w:rFonts w:ascii="Times New Roman"/>
                <w:color w:val="000000"/>
                <w:szCs w:val="24"/>
              </w:rPr>
            </w:pPr>
          </w:p>
        </w:tc>
        <w:tc>
          <w:tcPr>
            <w:tcW w:w="1530" w:type="dxa"/>
            <w:vAlign w:val="center"/>
          </w:tcPr>
          <w:p w14:paraId="47805392">
            <w:pPr>
              <w:pStyle w:val="60"/>
              <w:spacing w:beforeLines="0" w:afterLines="0" w:line="240" w:lineRule="auto"/>
              <w:rPr>
                <w:rFonts w:ascii="Times New Roman"/>
                <w:color w:val="000000"/>
                <w:szCs w:val="24"/>
              </w:rPr>
            </w:pPr>
            <w:r>
              <w:rPr>
                <w:rFonts w:ascii="Times New Roman"/>
                <w:color w:val="000000"/>
                <w:szCs w:val="24"/>
              </w:rPr>
              <w:t>0</w:t>
            </w:r>
          </w:p>
        </w:tc>
        <w:tc>
          <w:tcPr>
            <w:tcW w:w="1425" w:type="dxa"/>
            <w:vAlign w:val="center"/>
          </w:tcPr>
          <w:p w14:paraId="62DE2E6A">
            <w:pPr>
              <w:pStyle w:val="60"/>
              <w:spacing w:beforeLines="0" w:afterLines="0" w:line="240" w:lineRule="auto"/>
              <w:rPr>
                <w:rFonts w:ascii="Times New Roman"/>
                <w:color w:val="000000"/>
                <w:szCs w:val="24"/>
              </w:rPr>
            </w:pPr>
          </w:p>
        </w:tc>
        <w:tc>
          <w:tcPr>
            <w:tcW w:w="1650" w:type="dxa"/>
            <w:vAlign w:val="center"/>
          </w:tcPr>
          <w:p w14:paraId="1B61770D">
            <w:pPr>
              <w:pStyle w:val="73"/>
              <w:rPr>
                <w:color w:val="000000"/>
                <w:sz w:val="24"/>
                <w:szCs w:val="24"/>
              </w:rPr>
            </w:pPr>
            <w:r>
              <w:rPr>
                <w:sz w:val="24"/>
                <w:szCs w:val="24"/>
              </w:rPr>
              <w:t>12</w:t>
            </w:r>
          </w:p>
        </w:tc>
        <w:tc>
          <w:tcPr>
            <w:tcW w:w="960" w:type="dxa"/>
            <w:vAlign w:val="center"/>
          </w:tcPr>
          <w:p w14:paraId="2229EACE">
            <w:pPr>
              <w:pStyle w:val="60"/>
              <w:spacing w:beforeLines="0" w:afterLines="0" w:line="240" w:lineRule="auto"/>
              <w:rPr>
                <w:rFonts w:ascii="Times New Roman"/>
                <w:color w:val="000000"/>
                <w:szCs w:val="24"/>
              </w:rPr>
            </w:pPr>
            <w:r>
              <w:rPr>
                <w:rFonts w:ascii="Times New Roman"/>
                <w:color w:val="000000"/>
                <w:szCs w:val="24"/>
              </w:rPr>
              <w:t>0</w:t>
            </w:r>
          </w:p>
        </w:tc>
      </w:tr>
      <w:tr w14:paraId="752FCA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3" w:type="dxa"/>
            <w:vMerge w:val="continue"/>
            <w:vAlign w:val="center"/>
          </w:tcPr>
          <w:p w14:paraId="61AD4A22">
            <w:pPr>
              <w:pStyle w:val="60"/>
              <w:spacing w:beforeLines="0" w:afterLines="0" w:line="240" w:lineRule="auto"/>
              <w:rPr>
                <w:rFonts w:ascii="Times New Roman" w:cs="宋体"/>
                <w:snapToGrid w:val="0"/>
                <w:color w:val="000000"/>
                <w:kern w:val="21"/>
                <w:szCs w:val="21"/>
              </w:rPr>
            </w:pPr>
          </w:p>
        </w:tc>
        <w:tc>
          <w:tcPr>
            <w:tcW w:w="2580" w:type="dxa"/>
            <w:vAlign w:val="center"/>
          </w:tcPr>
          <w:p w14:paraId="6627FE4A">
            <w:pPr>
              <w:pStyle w:val="60"/>
              <w:spacing w:beforeLines="0" w:afterLines="0" w:line="240" w:lineRule="auto"/>
              <w:rPr>
                <w:rFonts w:ascii="Times New Roman"/>
                <w:color w:val="000000"/>
                <w:szCs w:val="24"/>
              </w:rPr>
            </w:pPr>
            <w:r>
              <w:rPr>
                <w:rFonts w:ascii="Times New Roman"/>
                <w:szCs w:val="24"/>
              </w:rPr>
              <w:t>草酸盐（未经苛化无害化处理）</w:t>
            </w:r>
          </w:p>
        </w:tc>
        <w:tc>
          <w:tcPr>
            <w:tcW w:w="1590" w:type="dxa"/>
            <w:vAlign w:val="center"/>
          </w:tcPr>
          <w:p w14:paraId="6CC8C6E2">
            <w:pPr>
              <w:pStyle w:val="73"/>
              <w:rPr>
                <w:color w:val="000000"/>
                <w:sz w:val="24"/>
                <w:szCs w:val="24"/>
              </w:rPr>
            </w:pPr>
            <w:r>
              <w:rPr>
                <w:sz w:val="24"/>
                <w:szCs w:val="24"/>
              </w:rPr>
              <w:t>8000</w:t>
            </w:r>
          </w:p>
        </w:tc>
        <w:tc>
          <w:tcPr>
            <w:tcW w:w="1080" w:type="dxa"/>
            <w:vAlign w:val="center"/>
          </w:tcPr>
          <w:p w14:paraId="09E42808">
            <w:pPr>
              <w:pStyle w:val="60"/>
              <w:spacing w:beforeLines="0" w:afterLines="0" w:line="240" w:lineRule="auto"/>
              <w:rPr>
                <w:rFonts w:ascii="Times New Roman"/>
                <w:color w:val="000000"/>
                <w:szCs w:val="24"/>
              </w:rPr>
            </w:pPr>
          </w:p>
        </w:tc>
        <w:tc>
          <w:tcPr>
            <w:tcW w:w="1650" w:type="dxa"/>
            <w:vAlign w:val="center"/>
          </w:tcPr>
          <w:p w14:paraId="603012F1">
            <w:pPr>
              <w:pStyle w:val="60"/>
              <w:spacing w:beforeLines="0" w:afterLines="0" w:line="240" w:lineRule="auto"/>
              <w:rPr>
                <w:rFonts w:ascii="Times New Roman"/>
                <w:color w:val="000000"/>
                <w:szCs w:val="24"/>
              </w:rPr>
            </w:pPr>
          </w:p>
        </w:tc>
        <w:tc>
          <w:tcPr>
            <w:tcW w:w="1530" w:type="dxa"/>
            <w:vAlign w:val="center"/>
          </w:tcPr>
          <w:p w14:paraId="43CC56BD">
            <w:pPr>
              <w:pStyle w:val="60"/>
              <w:spacing w:beforeLines="0" w:afterLines="0" w:line="240" w:lineRule="auto"/>
              <w:rPr>
                <w:rFonts w:ascii="Times New Roman"/>
                <w:color w:val="000000"/>
                <w:szCs w:val="24"/>
              </w:rPr>
            </w:pPr>
            <w:r>
              <w:rPr>
                <w:rFonts w:ascii="Times New Roman"/>
                <w:color w:val="000000"/>
                <w:szCs w:val="24"/>
              </w:rPr>
              <w:t>0</w:t>
            </w:r>
          </w:p>
        </w:tc>
        <w:tc>
          <w:tcPr>
            <w:tcW w:w="1425" w:type="dxa"/>
            <w:vAlign w:val="center"/>
          </w:tcPr>
          <w:p w14:paraId="7078C49E">
            <w:pPr>
              <w:pStyle w:val="60"/>
              <w:spacing w:beforeLines="0" w:afterLines="0" w:line="240" w:lineRule="auto"/>
              <w:rPr>
                <w:rFonts w:ascii="Times New Roman"/>
                <w:color w:val="000000"/>
                <w:szCs w:val="24"/>
              </w:rPr>
            </w:pPr>
          </w:p>
        </w:tc>
        <w:tc>
          <w:tcPr>
            <w:tcW w:w="1650" w:type="dxa"/>
            <w:vAlign w:val="center"/>
          </w:tcPr>
          <w:p w14:paraId="25B8630B">
            <w:pPr>
              <w:pStyle w:val="73"/>
              <w:rPr>
                <w:color w:val="000000"/>
                <w:sz w:val="24"/>
                <w:szCs w:val="24"/>
              </w:rPr>
            </w:pPr>
            <w:r>
              <w:rPr>
                <w:sz w:val="24"/>
                <w:szCs w:val="24"/>
              </w:rPr>
              <w:t>8000</w:t>
            </w:r>
          </w:p>
        </w:tc>
        <w:tc>
          <w:tcPr>
            <w:tcW w:w="960" w:type="dxa"/>
            <w:vAlign w:val="center"/>
          </w:tcPr>
          <w:p w14:paraId="434222A3">
            <w:pPr>
              <w:pStyle w:val="60"/>
              <w:spacing w:beforeLines="0" w:afterLines="0" w:line="240" w:lineRule="auto"/>
              <w:rPr>
                <w:rFonts w:ascii="Times New Roman"/>
                <w:color w:val="000000"/>
                <w:szCs w:val="24"/>
              </w:rPr>
            </w:pPr>
            <w:r>
              <w:rPr>
                <w:rFonts w:ascii="Times New Roman"/>
                <w:color w:val="000000"/>
                <w:szCs w:val="24"/>
              </w:rPr>
              <w:t>0</w:t>
            </w:r>
          </w:p>
        </w:tc>
      </w:tr>
      <w:tr w14:paraId="04625E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3" w:type="dxa"/>
            <w:vMerge w:val="continue"/>
            <w:vAlign w:val="center"/>
          </w:tcPr>
          <w:p w14:paraId="77D768A2">
            <w:pPr>
              <w:pStyle w:val="60"/>
              <w:spacing w:beforeLines="0" w:afterLines="0" w:line="240" w:lineRule="auto"/>
              <w:rPr>
                <w:rFonts w:ascii="Times New Roman" w:cs="宋体"/>
                <w:snapToGrid w:val="0"/>
                <w:color w:val="000000"/>
                <w:kern w:val="21"/>
                <w:szCs w:val="21"/>
              </w:rPr>
            </w:pPr>
          </w:p>
        </w:tc>
        <w:tc>
          <w:tcPr>
            <w:tcW w:w="2580" w:type="dxa"/>
            <w:vAlign w:val="center"/>
          </w:tcPr>
          <w:p w14:paraId="09A1DD48">
            <w:pPr>
              <w:pStyle w:val="60"/>
              <w:spacing w:beforeLines="0" w:afterLines="0" w:line="240" w:lineRule="auto"/>
              <w:rPr>
                <w:rFonts w:ascii="Times New Roman"/>
                <w:color w:val="000000"/>
                <w:szCs w:val="24"/>
              </w:rPr>
            </w:pPr>
            <w:r>
              <w:rPr>
                <w:rFonts w:ascii="Times New Roman"/>
                <w:bCs/>
                <w:color w:val="000000"/>
                <w:szCs w:val="24"/>
              </w:rPr>
              <w:t>废机油及废机油桶</w:t>
            </w:r>
          </w:p>
        </w:tc>
        <w:tc>
          <w:tcPr>
            <w:tcW w:w="1590" w:type="dxa"/>
            <w:vAlign w:val="center"/>
          </w:tcPr>
          <w:p w14:paraId="3A831A58">
            <w:pPr>
              <w:pStyle w:val="73"/>
              <w:rPr>
                <w:color w:val="000000"/>
                <w:sz w:val="24"/>
                <w:szCs w:val="24"/>
              </w:rPr>
            </w:pPr>
            <w:r>
              <w:rPr>
                <w:sz w:val="24"/>
                <w:szCs w:val="24"/>
              </w:rPr>
              <w:t>16</w:t>
            </w:r>
          </w:p>
        </w:tc>
        <w:tc>
          <w:tcPr>
            <w:tcW w:w="1080" w:type="dxa"/>
            <w:vAlign w:val="center"/>
          </w:tcPr>
          <w:p w14:paraId="3C88017D">
            <w:pPr>
              <w:pStyle w:val="60"/>
              <w:spacing w:beforeLines="0" w:afterLines="0" w:line="240" w:lineRule="auto"/>
              <w:rPr>
                <w:rFonts w:ascii="Times New Roman"/>
                <w:color w:val="000000"/>
                <w:szCs w:val="24"/>
              </w:rPr>
            </w:pPr>
          </w:p>
        </w:tc>
        <w:tc>
          <w:tcPr>
            <w:tcW w:w="1650" w:type="dxa"/>
            <w:vAlign w:val="center"/>
          </w:tcPr>
          <w:p w14:paraId="724186FF">
            <w:pPr>
              <w:pStyle w:val="60"/>
              <w:spacing w:beforeLines="0" w:afterLines="0" w:line="240" w:lineRule="auto"/>
              <w:rPr>
                <w:rFonts w:ascii="Times New Roman"/>
                <w:color w:val="000000"/>
                <w:szCs w:val="24"/>
              </w:rPr>
            </w:pPr>
          </w:p>
        </w:tc>
        <w:tc>
          <w:tcPr>
            <w:tcW w:w="1530" w:type="dxa"/>
            <w:vAlign w:val="center"/>
          </w:tcPr>
          <w:p w14:paraId="0FB56838">
            <w:pPr>
              <w:pStyle w:val="60"/>
              <w:spacing w:beforeLines="0" w:afterLines="0" w:line="240" w:lineRule="auto"/>
              <w:rPr>
                <w:rFonts w:ascii="Times New Roman"/>
                <w:color w:val="000000"/>
                <w:szCs w:val="24"/>
              </w:rPr>
            </w:pPr>
            <w:r>
              <w:rPr>
                <w:rFonts w:ascii="Times New Roman"/>
                <w:color w:val="000000"/>
                <w:szCs w:val="24"/>
              </w:rPr>
              <w:t>0</w:t>
            </w:r>
          </w:p>
        </w:tc>
        <w:tc>
          <w:tcPr>
            <w:tcW w:w="1425" w:type="dxa"/>
            <w:vAlign w:val="center"/>
          </w:tcPr>
          <w:p w14:paraId="077ADCD3">
            <w:pPr>
              <w:pStyle w:val="60"/>
              <w:spacing w:beforeLines="0" w:afterLines="0" w:line="240" w:lineRule="auto"/>
              <w:rPr>
                <w:rFonts w:ascii="Times New Roman"/>
                <w:color w:val="000000"/>
                <w:szCs w:val="24"/>
              </w:rPr>
            </w:pPr>
          </w:p>
        </w:tc>
        <w:tc>
          <w:tcPr>
            <w:tcW w:w="1650" w:type="dxa"/>
            <w:vAlign w:val="center"/>
          </w:tcPr>
          <w:p w14:paraId="2E377EB0">
            <w:pPr>
              <w:pStyle w:val="73"/>
              <w:rPr>
                <w:color w:val="000000"/>
                <w:sz w:val="24"/>
                <w:szCs w:val="24"/>
              </w:rPr>
            </w:pPr>
            <w:r>
              <w:rPr>
                <w:sz w:val="24"/>
                <w:szCs w:val="24"/>
              </w:rPr>
              <w:t>16</w:t>
            </w:r>
          </w:p>
        </w:tc>
        <w:tc>
          <w:tcPr>
            <w:tcW w:w="960" w:type="dxa"/>
            <w:vAlign w:val="center"/>
          </w:tcPr>
          <w:p w14:paraId="3DC08AEA">
            <w:pPr>
              <w:pStyle w:val="60"/>
              <w:spacing w:beforeLines="0" w:afterLines="0" w:line="240" w:lineRule="auto"/>
              <w:rPr>
                <w:rFonts w:ascii="Times New Roman"/>
                <w:color w:val="000000"/>
                <w:szCs w:val="24"/>
              </w:rPr>
            </w:pPr>
            <w:r>
              <w:rPr>
                <w:rFonts w:ascii="Times New Roman"/>
                <w:color w:val="000000"/>
                <w:szCs w:val="24"/>
              </w:rPr>
              <w:t>0</w:t>
            </w:r>
          </w:p>
        </w:tc>
      </w:tr>
    </w:tbl>
    <w:p w14:paraId="755127E0">
      <w:pPr>
        <w:pStyle w:val="60"/>
        <w:spacing w:beforeLines="80" w:after="24"/>
        <w:ind w:firstLine="480"/>
        <w:jc w:val="left"/>
        <w:rPr>
          <w:rFonts w:hAnsi="宋体"/>
          <w:snapToGrid w:val="0"/>
          <w:color w:val="000000"/>
          <w:spacing w:val="-6"/>
          <w:kern w:val="21"/>
          <w:szCs w:val="21"/>
        </w:rPr>
        <w:sectPr>
          <w:footerReference r:id="rId8" w:type="default"/>
          <w:pgSz w:w="16838" w:h="11906" w:orient="landscape"/>
          <w:pgMar w:top="1531" w:right="1701" w:bottom="1531" w:left="1701" w:header="851" w:footer="851" w:gutter="0"/>
          <w:cols w:space="720" w:num="1"/>
          <w:docGrid w:linePitch="326" w:charSpace="0"/>
        </w:sectPr>
      </w:pPr>
      <w:r>
        <w:rPr>
          <w:rFonts w:hAnsi="宋体"/>
          <w:snapToGrid w:val="0"/>
          <w:color w:val="000000"/>
          <w:kern w:val="21"/>
          <w:szCs w:val="21"/>
        </w:rPr>
        <w:t>注：</w:t>
      </w:r>
      <w:r>
        <w:rPr>
          <w:rFonts w:hint="eastAsia" w:hAnsi="宋体"/>
          <w:color w:val="000000"/>
          <w:szCs w:val="21"/>
        </w:rPr>
        <w:t>⑥</w:t>
      </w:r>
      <w:r>
        <w:rPr>
          <w:rFonts w:hAnsi="宋体"/>
          <w:snapToGrid w:val="0"/>
          <w:color w:val="000000"/>
          <w:spacing w:val="-16"/>
          <w:kern w:val="21"/>
          <w:szCs w:val="21"/>
        </w:rPr>
        <w:t>=</w:t>
      </w:r>
      <w:r>
        <w:rPr>
          <w:rFonts w:hint="eastAsia" w:hAnsi="宋体"/>
          <w:color w:val="000000"/>
          <w:szCs w:val="21"/>
        </w:rPr>
        <w:t>①</w:t>
      </w:r>
      <w:r>
        <w:rPr>
          <w:rFonts w:hAnsi="宋体"/>
          <w:snapToGrid w:val="0"/>
          <w:color w:val="000000"/>
          <w:spacing w:val="-6"/>
          <w:kern w:val="21"/>
          <w:szCs w:val="21"/>
        </w:rPr>
        <w:t>+</w:t>
      </w:r>
      <w:r>
        <w:rPr>
          <w:rFonts w:hint="eastAsia" w:hAnsi="宋体"/>
          <w:color w:val="000000"/>
          <w:szCs w:val="21"/>
        </w:rPr>
        <w:t>③</w:t>
      </w:r>
      <w:r>
        <w:rPr>
          <w:rFonts w:hAnsi="宋体"/>
          <w:snapToGrid w:val="0"/>
          <w:color w:val="000000"/>
          <w:spacing w:val="-6"/>
          <w:kern w:val="21"/>
          <w:szCs w:val="21"/>
        </w:rPr>
        <w:t>+</w:t>
      </w:r>
      <w:r>
        <w:rPr>
          <w:rFonts w:hint="eastAsia" w:hAnsi="宋体"/>
          <w:color w:val="000000"/>
          <w:szCs w:val="21"/>
        </w:rPr>
        <w:t>④</w:t>
      </w:r>
      <w:r>
        <w:rPr>
          <w:rFonts w:hAnsi="宋体"/>
          <w:snapToGrid w:val="0"/>
          <w:color w:val="000000"/>
          <w:spacing w:val="-6"/>
          <w:kern w:val="21"/>
          <w:szCs w:val="21"/>
        </w:rPr>
        <w:t>-</w:t>
      </w:r>
      <w:r>
        <w:rPr>
          <w:rFonts w:hint="eastAsia" w:hAnsi="宋体"/>
          <w:color w:val="000000"/>
          <w:szCs w:val="21"/>
        </w:rPr>
        <w:t>⑤</w:t>
      </w:r>
      <w:r>
        <w:rPr>
          <w:rFonts w:hAnsi="宋体"/>
          <w:snapToGrid w:val="0"/>
          <w:color w:val="000000"/>
          <w:spacing w:val="-16"/>
          <w:kern w:val="21"/>
          <w:szCs w:val="21"/>
        </w:rPr>
        <w:t>；</w:t>
      </w:r>
      <w:r>
        <w:rPr>
          <w:rFonts w:hint="eastAsia" w:hAnsi="宋体"/>
          <w:color w:val="000000"/>
          <w:szCs w:val="21"/>
        </w:rPr>
        <w:t>⑦</w:t>
      </w:r>
      <w:r>
        <w:rPr>
          <w:rFonts w:hAnsi="宋体"/>
          <w:snapToGrid w:val="0"/>
          <w:color w:val="000000"/>
          <w:spacing w:val="-6"/>
          <w:kern w:val="21"/>
          <w:szCs w:val="21"/>
        </w:rPr>
        <w:t>=</w:t>
      </w:r>
      <w:r>
        <w:rPr>
          <w:rFonts w:hint="eastAsia" w:hAnsi="宋体"/>
          <w:color w:val="000000"/>
          <w:szCs w:val="21"/>
        </w:rPr>
        <w:t>⑥</w:t>
      </w:r>
      <w:r>
        <w:rPr>
          <w:rFonts w:hAnsi="宋体"/>
          <w:snapToGrid w:val="0"/>
          <w:color w:val="000000"/>
          <w:spacing w:val="-16"/>
          <w:kern w:val="21"/>
          <w:szCs w:val="21"/>
        </w:rPr>
        <w:t>-</w:t>
      </w:r>
      <w:r>
        <w:rPr>
          <w:rFonts w:hint="eastAsia" w:hAnsi="宋体"/>
          <w:color w:val="000000"/>
          <w:szCs w:val="21"/>
        </w:rPr>
        <w:t>①</w:t>
      </w:r>
    </w:p>
    <w:p w14:paraId="01F09FC7">
      <w:r>
        <w:rPr>
          <w:rFonts w:hint="eastAsia"/>
        </w:rPr>
        <w:drawing>
          <wp:inline distT="0" distB="0" distL="114300" distR="114300">
            <wp:extent cx="5609590" cy="7933690"/>
            <wp:effectExtent l="0" t="0" r="10160" b="10160"/>
            <wp:docPr id="2" name="图片 2" descr="地理位置图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地理位置图_00(1)"/>
                    <pic:cNvPicPr>
                      <a:picLocks noChangeAspect="1"/>
                    </pic:cNvPicPr>
                  </pic:nvPicPr>
                  <pic:blipFill>
                    <a:blip r:embed="rId12" cstate="print"/>
                    <a:stretch>
                      <a:fillRect/>
                    </a:stretch>
                  </pic:blipFill>
                  <pic:spPr>
                    <a:xfrm>
                      <a:off x="0" y="0"/>
                      <a:ext cx="5609590" cy="7933690"/>
                    </a:xfrm>
                    <a:prstGeom prst="rect">
                      <a:avLst/>
                    </a:prstGeom>
                  </pic:spPr>
                </pic:pic>
              </a:graphicData>
            </a:graphic>
          </wp:inline>
        </w:drawing>
      </w:r>
    </w:p>
    <w:p w14:paraId="451EE3D2">
      <w:pPr>
        <w:pStyle w:val="9"/>
        <w:ind w:firstLine="480"/>
      </w:pPr>
    </w:p>
    <w:p w14:paraId="6B913867">
      <w:pPr>
        <w:jc w:val="center"/>
        <w:rPr>
          <w:b/>
          <w:bCs/>
        </w:rPr>
      </w:pPr>
      <w:r>
        <w:rPr>
          <w:rFonts w:hint="eastAsia"/>
          <w:b/>
          <w:bCs/>
        </w:rPr>
        <w:t>附图1    地理位置图</w:t>
      </w:r>
    </w:p>
    <w:p w14:paraId="12AB3F12">
      <w:pPr>
        <w:sectPr>
          <w:pgSz w:w="11906" w:h="16838"/>
          <w:pgMar w:top="1701" w:right="1531" w:bottom="1701" w:left="1531" w:header="851" w:footer="851" w:gutter="0"/>
          <w:cols w:space="720" w:num="1"/>
          <w:docGrid w:linePitch="326" w:charSpace="0"/>
        </w:sectPr>
      </w:pPr>
    </w:p>
    <w:p w14:paraId="1B7BE93C">
      <w:pPr>
        <w:pStyle w:val="9"/>
        <w:ind w:firstLine="0" w:firstLineChars="0"/>
        <w:jc w:val="center"/>
      </w:pPr>
      <w:r>
        <w:rPr>
          <w:rFonts w:hint="eastAsia"/>
        </w:rPr>
        <w:drawing>
          <wp:inline distT="0" distB="0" distL="114300" distR="114300">
            <wp:extent cx="7432040" cy="5255260"/>
            <wp:effectExtent l="0" t="0" r="16510" b="2540"/>
            <wp:docPr id="3" name="图片 3" descr="周边关系图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周边关系图_00"/>
                    <pic:cNvPicPr>
                      <a:picLocks noChangeAspect="1"/>
                    </pic:cNvPicPr>
                  </pic:nvPicPr>
                  <pic:blipFill>
                    <a:blip r:embed="rId13" cstate="print"/>
                    <a:stretch>
                      <a:fillRect/>
                    </a:stretch>
                  </pic:blipFill>
                  <pic:spPr>
                    <a:xfrm>
                      <a:off x="0" y="0"/>
                      <a:ext cx="7432040" cy="5255260"/>
                    </a:xfrm>
                    <a:prstGeom prst="rect">
                      <a:avLst/>
                    </a:prstGeom>
                  </pic:spPr>
                </pic:pic>
              </a:graphicData>
            </a:graphic>
          </wp:inline>
        </w:drawing>
      </w:r>
    </w:p>
    <w:p w14:paraId="17636BDE">
      <w:pPr>
        <w:jc w:val="center"/>
      </w:pPr>
      <w:r>
        <w:rPr>
          <w:rFonts w:hint="eastAsia"/>
          <w:b/>
          <w:bCs/>
        </w:rPr>
        <w:t>附图2    周边关系图</w:t>
      </w:r>
    </w:p>
    <w:p w14:paraId="150BBB14">
      <w:pPr>
        <w:sectPr>
          <w:pgSz w:w="16838" w:h="11906" w:orient="landscape"/>
          <w:pgMar w:top="1531" w:right="1701" w:bottom="1531" w:left="1701" w:header="851" w:footer="851" w:gutter="0"/>
          <w:cols w:space="720" w:num="1"/>
          <w:docGrid w:linePitch="326" w:charSpace="0"/>
        </w:sectPr>
      </w:pPr>
    </w:p>
    <w:p w14:paraId="0AC9B1DE">
      <w:pPr>
        <w:pStyle w:val="9"/>
        <w:ind w:firstLine="0" w:firstLineChars="0"/>
      </w:pPr>
      <w:r>
        <w:rPr>
          <w:rFonts w:hint="eastAsia"/>
        </w:rPr>
        <w:drawing>
          <wp:inline distT="0" distB="0" distL="114300" distR="114300">
            <wp:extent cx="8517255" cy="5184140"/>
            <wp:effectExtent l="0" t="0" r="17145" b="16510"/>
            <wp:docPr id="4" name="图片 4" descr="1-附图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附图_03"/>
                    <pic:cNvPicPr>
                      <a:picLocks noChangeAspect="1"/>
                    </pic:cNvPicPr>
                  </pic:nvPicPr>
                  <pic:blipFill>
                    <a:blip r:embed="rId14" cstate="print"/>
                    <a:stretch>
                      <a:fillRect/>
                    </a:stretch>
                  </pic:blipFill>
                  <pic:spPr>
                    <a:xfrm>
                      <a:off x="0" y="0"/>
                      <a:ext cx="8517255" cy="5184140"/>
                    </a:xfrm>
                    <a:prstGeom prst="rect">
                      <a:avLst/>
                    </a:prstGeom>
                  </pic:spPr>
                </pic:pic>
              </a:graphicData>
            </a:graphic>
          </wp:inline>
        </w:drawing>
      </w:r>
    </w:p>
    <w:p w14:paraId="292823AC">
      <w:pPr>
        <w:pStyle w:val="9"/>
        <w:ind w:firstLine="482"/>
        <w:jc w:val="center"/>
      </w:pPr>
      <w:r>
        <w:rPr>
          <w:rFonts w:hint="eastAsia"/>
          <w:b/>
          <w:bCs/>
        </w:rPr>
        <w:t>附图3  厂区平面布置图</w:t>
      </w:r>
    </w:p>
    <w:p w14:paraId="5B014009">
      <w:pPr>
        <w:sectPr>
          <w:pgSz w:w="16838" w:h="11906" w:orient="landscape"/>
          <w:pgMar w:top="1531" w:right="1701" w:bottom="1531" w:left="1701" w:header="851" w:footer="851" w:gutter="0"/>
          <w:cols w:space="720" w:num="1"/>
          <w:docGrid w:linePitch="326" w:charSpace="0"/>
        </w:sectPr>
      </w:pPr>
    </w:p>
    <w:p w14:paraId="69C9288B">
      <w:pPr>
        <w:jc w:val="center"/>
      </w:pPr>
      <w:r>
        <w:rPr>
          <w:rFonts w:hint="eastAsia"/>
        </w:rPr>
        <w:drawing>
          <wp:inline distT="0" distB="0" distL="114300" distR="114300">
            <wp:extent cx="6335395" cy="6939280"/>
            <wp:effectExtent l="0" t="0" r="8255" b="13970"/>
            <wp:docPr id="5" name="图片 5" descr="危22(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危22(1)_00"/>
                    <pic:cNvPicPr>
                      <a:picLocks noChangeAspect="1"/>
                    </pic:cNvPicPr>
                  </pic:nvPicPr>
                  <pic:blipFill>
                    <a:blip r:embed="rId15" cstate="print"/>
                    <a:srcRect l="2670" t="950" r="3332" b="2206"/>
                    <a:stretch>
                      <a:fillRect/>
                    </a:stretch>
                  </pic:blipFill>
                  <pic:spPr>
                    <a:xfrm>
                      <a:off x="0" y="0"/>
                      <a:ext cx="6335395" cy="6939280"/>
                    </a:xfrm>
                    <a:prstGeom prst="rect">
                      <a:avLst/>
                    </a:prstGeom>
                  </pic:spPr>
                </pic:pic>
              </a:graphicData>
            </a:graphic>
          </wp:inline>
        </w:drawing>
      </w:r>
    </w:p>
    <w:p w14:paraId="0DC2DED1">
      <w:pPr>
        <w:pStyle w:val="9"/>
        <w:ind w:firstLine="482"/>
        <w:jc w:val="center"/>
        <w:rPr>
          <w:b/>
          <w:bCs/>
        </w:rPr>
      </w:pPr>
    </w:p>
    <w:p w14:paraId="72334836">
      <w:pPr>
        <w:pStyle w:val="9"/>
        <w:ind w:firstLine="482"/>
        <w:jc w:val="center"/>
        <w:rPr>
          <w:b/>
          <w:bCs/>
        </w:rPr>
      </w:pPr>
    </w:p>
    <w:p w14:paraId="4A455FF9">
      <w:pPr>
        <w:pStyle w:val="9"/>
        <w:ind w:firstLine="482"/>
        <w:jc w:val="center"/>
      </w:pPr>
      <w:r>
        <w:rPr>
          <w:rFonts w:hint="eastAsia"/>
          <w:b/>
          <w:bCs/>
        </w:rPr>
        <w:t>附图4 危废库平面布局图</w:t>
      </w:r>
    </w:p>
    <w:p w14:paraId="5490DAE1">
      <w:pPr>
        <w:sectPr>
          <w:pgSz w:w="11906" w:h="16838"/>
          <w:pgMar w:top="1701" w:right="1531" w:bottom="1701" w:left="1531" w:header="851" w:footer="851" w:gutter="0"/>
          <w:cols w:space="720" w:num="1"/>
          <w:docGrid w:linePitch="326" w:charSpace="0"/>
        </w:sectPr>
      </w:pPr>
    </w:p>
    <w:p w14:paraId="4956D6F2">
      <w:pPr>
        <w:pStyle w:val="9"/>
        <w:ind w:firstLine="0" w:firstLineChars="0"/>
        <w:rPr>
          <w:b/>
          <w:bCs/>
        </w:rPr>
      </w:pPr>
      <w:r>
        <w:rPr>
          <w:rFonts w:hint="eastAsia"/>
          <w:b/>
          <w:bCs/>
        </w:rPr>
        <w:t>附件1 备案证</w:t>
      </w:r>
    </w:p>
    <w:p w14:paraId="574B3CCA">
      <w:r>
        <w:drawing>
          <wp:inline distT="0" distB="0" distL="114300" distR="114300">
            <wp:extent cx="5615305" cy="7945755"/>
            <wp:effectExtent l="0" t="0" r="4445" b="17145"/>
            <wp:docPr id="6" name="图片 6" descr="草酸盐危废库备案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草酸盐危废库备案_00"/>
                    <pic:cNvPicPr>
                      <a:picLocks noChangeAspect="1"/>
                    </pic:cNvPicPr>
                  </pic:nvPicPr>
                  <pic:blipFill>
                    <a:blip r:embed="rId16" cstate="print"/>
                    <a:stretch>
                      <a:fillRect/>
                    </a:stretch>
                  </pic:blipFill>
                  <pic:spPr>
                    <a:xfrm>
                      <a:off x="0" y="0"/>
                      <a:ext cx="5615305" cy="7945755"/>
                    </a:xfrm>
                    <a:prstGeom prst="rect">
                      <a:avLst/>
                    </a:prstGeom>
                  </pic:spPr>
                </pic:pic>
              </a:graphicData>
            </a:graphic>
          </wp:inline>
        </w:drawing>
      </w:r>
    </w:p>
    <w:p w14:paraId="66A2FD05">
      <w:pPr>
        <w:sectPr>
          <w:pgSz w:w="11906" w:h="16838"/>
          <w:pgMar w:top="1701" w:right="1531" w:bottom="1701" w:left="1531" w:header="851" w:footer="851" w:gutter="0"/>
          <w:cols w:space="720" w:num="1"/>
          <w:docGrid w:linePitch="326" w:charSpace="0"/>
        </w:sectPr>
      </w:pPr>
    </w:p>
    <w:p w14:paraId="2926CFF8">
      <w:pPr>
        <w:pStyle w:val="9"/>
        <w:ind w:firstLine="0" w:firstLineChars="0"/>
      </w:pPr>
      <w:r>
        <w:rPr>
          <w:rFonts w:hint="eastAsia"/>
          <w:b/>
          <w:bCs/>
        </w:rPr>
        <w:t>附件2 原环评批复及验收</w:t>
      </w:r>
    </w:p>
    <w:p w14:paraId="1C586F9E">
      <w:r>
        <w:rPr>
          <w:rFonts w:hint="eastAsia"/>
        </w:rPr>
        <w:drawing>
          <wp:inline distT="0" distB="0" distL="114300" distR="114300">
            <wp:extent cx="5610860" cy="7934960"/>
            <wp:effectExtent l="0" t="0" r="8890" b="8890"/>
            <wp:docPr id="17" name="图片 17" descr="2-附件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2-附件_01"/>
                    <pic:cNvPicPr>
                      <a:picLocks noChangeAspect="1"/>
                    </pic:cNvPicPr>
                  </pic:nvPicPr>
                  <pic:blipFill>
                    <a:blip r:embed="rId17" cstate="print"/>
                    <a:stretch>
                      <a:fillRect/>
                    </a:stretch>
                  </pic:blipFill>
                  <pic:spPr>
                    <a:xfrm>
                      <a:off x="0" y="0"/>
                      <a:ext cx="5610860" cy="7934960"/>
                    </a:xfrm>
                    <a:prstGeom prst="rect">
                      <a:avLst/>
                    </a:prstGeom>
                  </pic:spPr>
                </pic:pic>
              </a:graphicData>
            </a:graphic>
          </wp:inline>
        </w:drawing>
      </w:r>
      <w:r>
        <w:rPr>
          <w:rFonts w:hint="eastAsia"/>
        </w:rPr>
        <w:drawing>
          <wp:inline distT="0" distB="0" distL="114300" distR="114300">
            <wp:extent cx="5610860" cy="7934960"/>
            <wp:effectExtent l="0" t="0" r="8890" b="8890"/>
            <wp:docPr id="16" name="图片 16" descr="2-附件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附件_02"/>
                    <pic:cNvPicPr>
                      <a:picLocks noChangeAspect="1"/>
                    </pic:cNvPicPr>
                  </pic:nvPicPr>
                  <pic:blipFill>
                    <a:blip r:embed="rId18" cstate="print"/>
                    <a:stretch>
                      <a:fillRect/>
                    </a:stretch>
                  </pic:blipFill>
                  <pic:spPr>
                    <a:xfrm>
                      <a:off x="0" y="0"/>
                      <a:ext cx="5610860" cy="7934960"/>
                    </a:xfrm>
                    <a:prstGeom prst="rect">
                      <a:avLst/>
                    </a:prstGeom>
                  </pic:spPr>
                </pic:pic>
              </a:graphicData>
            </a:graphic>
          </wp:inline>
        </w:drawing>
      </w:r>
      <w:r>
        <w:rPr>
          <w:rFonts w:hint="eastAsia"/>
        </w:rPr>
        <w:drawing>
          <wp:inline distT="0" distB="0" distL="114300" distR="114300">
            <wp:extent cx="5610860" cy="7934960"/>
            <wp:effectExtent l="0" t="0" r="8890" b="8890"/>
            <wp:docPr id="15" name="图片 15" descr="2-附件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2-附件_03"/>
                    <pic:cNvPicPr>
                      <a:picLocks noChangeAspect="1"/>
                    </pic:cNvPicPr>
                  </pic:nvPicPr>
                  <pic:blipFill>
                    <a:blip r:embed="rId19" cstate="print"/>
                    <a:stretch>
                      <a:fillRect/>
                    </a:stretch>
                  </pic:blipFill>
                  <pic:spPr>
                    <a:xfrm>
                      <a:off x="0" y="0"/>
                      <a:ext cx="5610860" cy="7934960"/>
                    </a:xfrm>
                    <a:prstGeom prst="rect">
                      <a:avLst/>
                    </a:prstGeom>
                  </pic:spPr>
                </pic:pic>
              </a:graphicData>
            </a:graphic>
          </wp:inline>
        </w:drawing>
      </w:r>
      <w:r>
        <w:rPr>
          <w:rFonts w:hint="eastAsia"/>
        </w:rPr>
        <w:drawing>
          <wp:inline distT="0" distB="0" distL="114300" distR="114300">
            <wp:extent cx="5610860" cy="7934960"/>
            <wp:effectExtent l="0" t="0" r="8890" b="8890"/>
            <wp:docPr id="14" name="图片 14" descr="2-附件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2-附件_04"/>
                    <pic:cNvPicPr>
                      <a:picLocks noChangeAspect="1"/>
                    </pic:cNvPicPr>
                  </pic:nvPicPr>
                  <pic:blipFill>
                    <a:blip r:embed="rId20" cstate="print"/>
                    <a:stretch>
                      <a:fillRect/>
                    </a:stretch>
                  </pic:blipFill>
                  <pic:spPr>
                    <a:xfrm>
                      <a:off x="0" y="0"/>
                      <a:ext cx="5610860" cy="7934960"/>
                    </a:xfrm>
                    <a:prstGeom prst="rect">
                      <a:avLst/>
                    </a:prstGeom>
                  </pic:spPr>
                </pic:pic>
              </a:graphicData>
            </a:graphic>
          </wp:inline>
        </w:drawing>
      </w:r>
      <w:r>
        <w:rPr>
          <w:rFonts w:hint="eastAsia"/>
        </w:rPr>
        <w:drawing>
          <wp:inline distT="0" distB="0" distL="114300" distR="114300">
            <wp:extent cx="5610860" cy="7934960"/>
            <wp:effectExtent l="0" t="0" r="8890" b="8890"/>
            <wp:docPr id="13" name="图片 13" descr="2-附件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2-附件_05"/>
                    <pic:cNvPicPr>
                      <a:picLocks noChangeAspect="1"/>
                    </pic:cNvPicPr>
                  </pic:nvPicPr>
                  <pic:blipFill>
                    <a:blip r:embed="rId21" cstate="print"/>
                    <a:stretch>
                      <a:fillRect/>
                    </a:stretch>
                  </pic:blipFill>
                  <pic:spPr>
                    <a:xfrm>
                      <a:off x="0" y="0"/>
                      <a:ext cx="5610860" cy="7934960"/>
                    </a:xfrm>
                    <a:prstGeom prst="rect">
                      <a:avLst/>
                    </a:prstGeom>
                  </pic:spPr>
                </pic:pic>
              </a:graphicData>
            </a:graphic>
          </wp:inline>
        </w:drawing>
      </w:r>
      <w:r>
        <w:rPr>
          <w:rFonts w:hint="eastAsia"/>
        </w:rPr>
        <w:drawing>
          <wp:inline distT="0" distB="0" distL="114300" distR="114300">
            <wp:extent cx="5610860" cy="7934960"/>
            <wp:effectExtent l="0" t="0" r="8890" b="8890"/>
            <wp:docPr id="12" name="图片 12" descr="2-附件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附件_06"/>
                    <pic:cNvPicPr>
                      <a:picLocks noChangeAspect="1"/>
                    </pic:cNvPicPr>
                  </pic:nvPicPr>
                  <pic:blipFill>
                    <a:blip r:embed="rId22" cstate="print"/>
                    <a:stretch>
                      <a:fillRect/>
                    </a:stretch>
                  </pic:blipFill>
                  <pic:spPr>
                    <a:xfrm>
                      <a:off x="0" y="0"/>
                      <a:ext cx="5610860" cy="7934960"/>
                    </a:xfrm>
                    <a:prstGeom prst="rect">
                      <a:avLst/>
                    </a:prstGeom>
                  </pic:spPr>
                </pic:pic>
              </a:graphicData>
            </a:graphic>
          </wp:inline>
        </w:drawing>
      </w:r>
      <w:r>
        <w:rPr>
          <w:rFonts w:hint="eastAsia"/>
        </w:rPr>
        <w:drawing>
          <wp:inline distT="0" distB="0" distL="114300" distR="114300">
            <wp:extent cx="5610860" cy="7934960"/>
            <wp:effectExtent l="0" t="0" r="8890" b="8890"/>
            <wp:docPr id="11" name="图片 11" descr="2-附件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附件_07"/>
                    <pic:cNvPicPr>
                      <a:picLocks noChangeAspect="1"/>
                    </pic:cNvPicPr>
                  </pic:nvPicPr>
                  <pic:blipFill>
                    <a:blip r:embed="rId23" cstate="print"/>
                    <a:stretch>
                      <a:fillRect/>
                    </a:stretch>
                  </pic:blipFill>
                  <pic:spPr>
                    <a:xfrm>
                      <a:off x="0" y="0"/>
                      <a:ext cx="5610860" cy="7934960"/>
                    </a:xfrm>
                    <a:prstGeom prst="rect">
                      <a:avLst/>
                    </a:prstGeom>
                  </pic:spPr>
                </pic:pic>
              </a:graphicData>
            </a:graphic>
          </wp:inline>
        </w:drawing>
      </w:r>
      <w:r>
        <w:rPr>
          <w:rFonts w:hint="eastAsia"/>
        </w:rPr>
        <w:drawing>
          <wp:inline distT="0" distB="0" distL="114300" distR="114300">
            <wp:extent cx="5610860" cy="7934960"/>
            <wp:effectExtent l="0" t="0" r="8890" b="8890"/>
            <wp:docPr id="10" name="图片 10" descr="2-附件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2-附件_08"/>
                    <pic:cNvPicPr>
                      <a:picLocks noChangeAspect="1"/>
                    </pic:cNvPicPr>
                  </pic:nvPicPr>
                  <pic:blipFill>
                    <a:blip r:embed="rId24" cstate="print"/>
                    <a:stretch>
                      <a:fillRect/>
                    </a:stretch>
                  </pic:blipFill>
                  <pic:spPr>
                    <a:xfrm>
                      <a:off x="0" y="0"/>
                      <a:ext cx="5610860" cy="7934960"/>
                    </a:xfrm>
                    <a:prstGeom prst="rect">
                      <a:avLst/>
                    </a:prstGeom>
                  </pic:spPr>
                </pic:pic>
              </a:graphicData>
            </a:graphic>
          </wp:inline>
        </w:drawing>
      </w:r>
      <w:r>
        <w:rPr>
          <w:rFonts w:hint="eastAsia"/>
        </w:rPr>
        <w:drawing>
          <wp:inline distT="0" distB="0" distL="114300" distR="114300">
            <wp:extent cx="5610860" cy="7934960"/>
            <wp:effectExtent l="0" t="0" r="8890" b="8890"/>
            <wp:docPr id="9" name="图片 9" descr="2-附件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2-附件_09"/>
                    <pic:cNvPicPr>
                      <a:picLocks noChangeAspect="1"/>
                    </pic:cNvPicPr>
                  </pic:nvPicPr>
                  <pic:blipFill>
                    <a:blip r:embed="rId25" cstate="print"/>
                    <a:stretch>
                      <a:fillRect/>
                    </a:stretch>
                  </pic:blipFill>
                  <pic:spPr>
                    <a:xfrm>
                      <a:off x="0" y="0"/>
                      <a:ext cx="5610860" cy="7934960"/>
                    </a:xfrm>
                    <a:prstGeom prst="rect">
                      <a:avLst/>
                    </a:prstGeom>
                  </pic:spPr>
                </pic:pic>
              </a:graphicData>
            </a:graphic>
          </wp:inline>
        </w:drawing>
      </w:r>
      <w:r>
        <w:rPr>
          <w:rFonts w:hint="eastAsia"/>
        </w:rPr>
        <w:drawing>
          <wp:inline distT="0" distB="0" distL="114300" distR="114300">
            <wp:extent cx="5610860" cy="7934960"/>
            <wp:effectExtent l="0" t="0" r="8890" b="8890"/>
            <wp:docPr id="8" name="图片 8" descr="2-附件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2-附件_10"/>
                    <pic:cNvPicPr>
                      <a:picLocks noChangeAspect="1"/>
                    </pic:cNvPicPr>
                  </pic:nvPicPr>
                  <pic:blipFill>
                    <a:blip r:embed="rId26" cstate="print"/>
                    <a:stretch>
                      <a:fillRect/>
                    </a:stretch>
                  </pic:blipFill>
                  <pic:spPr>
                    <a:xfrm>
                      <a:off x="0" y="0"/>
                      <a:ext cx="5610860" cy="7934960"/>
                    </a:xfrm>
                    <a:prstGeom prst="rect">
                      <a:avLst/>
                    </a:prstGeom>
                  </pic:spPr>
                </pic:pic>
              </a:graphicData>
            </a:graphic>
          </wp:inline>
        </w:drawing>
      </w:r>
    </w:p>
    <w:p w14:paraId="2A2E464A"/>
    <w:p w14:paraId="458FF779"/>
    <w:p w14:paraId="3BE48719"/>
    <w:p w14:paraId="70632889">
      <w:r>
        <w:rPr>
          <w:rFonts w:hint="eastAsia"/>
        </w:rPr>
        <w:drawing>
          <wp:inline distT="0" distB="0" distL="114300" distR="114300">
            <wp:extent cx="5615305" cy="7942580"/>
            <wp:effectExtent l="0" t="0" r="4445" b="1270"/>
            <wp:docPr id="25" name="图片 25" descr="验收专家意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验收专家意见_00"/>
                    <pic:cNvPicPr>
                      <a:picLocks noChangeAspect="1"/>
                    </pic:cNvPicPr>
                  </pic:nvPicPr>
                  <pic:blipFill>
                    <a:blip r:embed="rId27" cstate="print"/>
                    <a:stretch>
                      <a:fillRect/>
                    </a:stretch>
                  </pic:blipFill>
                  <pic:spPr>
                    <a:xfrm>
                      <a:off x="0" y="0"/>
                      <a:ext cx="5615305" cy="7942580"/>
                    </a:xfrm>
                    <a:prstGeom prst="rect">
                      <a:avLst/>
                    </a:prstGeom>
                  </pic:spPr>
                </pic:pic>
              </a:graphicData>
            </a:graphic>
          </wp:inline>
        </w:drawing>
      </w:r>
      <w:r>
        <w:rPr>
          <w:rFonts w:hint="eastAsia"/>
        </w:rPr>
        <w:drawing>
          <wp:inline distT="0" distB="0" distL="114300" distR="114300">
            <wp:extent cx="5615305" cy="7942580"/>
            <wp:effectExtent l="0" t="0" r="4445" b="1270"/>
            <wp:docPr id="24" name="图片 24" descr="验收专家意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验收专家意见_01"/>
                    <pic:cNvPicPr>
                      <a:picLocks noChangeAspect="1"/>
                    </pic:cNvPicPr>
                  </pic:nvPicPr>
                  <pic:blipFill>
                    <a:blip r:embed="rId28" cstate="print"/>
                    <a:stretch>
                      <a:fillRect/>
                    </a:stretch>
                  </pic:blipFill>
                  <pic:spPr>
                    <a:xfrm>
                      <a:off x="0" y="0"/>
                      <a:ext cx="5615305" cy="7942580"/>
                    </a:xfrm>
                    <a:prstGeom prst="rect">
                      <a:avLst/>
                    </a:prstGeom>
                  </pic:spPr>
                </pic:pic>
              </a:graphicData>
            </a:graphic>
          </wp:inline>
        </w:drawing>
      </w:r>
      <w:r>
        <w:rPr>
          <w:rFonts w:hint="eastAsia"/>
        </w:rPr>
        <w:drawing>
          <wp:inline distT="0" distB="0" distL="114300" distR="114300">
            <wp:extent cx="5615305" cy="7942580"/>
            <wp:effectExtent l="0" t="0" r="4445" b="1270"/>
            <wp:docPr id="23" name="图片 23" descr="验收专家意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验收专家意见_02"/>
                    <pic:cNvPicPr>
                      <a:picLocks noChangeAspect="1"/>
                    </pic:cNvPicPr>
                  </pic:nvPicPr>
                  <pic:blipFill>
                    <a:blip r:embed="rId29" cstate="print"/>
                    <a:stretch>
                      <a:fillRect/>
                    </a:stretch>
                  </pic:blipFill>
                  <pic:spPr>
                    <a:xfrm>
                      <a:off x="0" y="0"/>
                      <a:ext cx="5615305" cy="7942580"/>
                    </a:xfrm>
                    <a:prstGeom prst="rect">
                      <a:avLst/>
                    </a:prstGeom>
                  </pic:spPr>
                </pic:pic>
              </a:graphicData>
            </a:graphic>
          </wp:inline>
        </w:drawing>
      </w:r>
      <w:r>
        <w:rPr>
          <w:rFonts w:hint="eastAsia"/>
        </w:rPr>
        <w:drawing>
          <wp:inline distT="0" distB="0" distL="114300" distR="114300">
            <wp:extent cx="5615305" cy="7942580"/>
            <wp:effectExtent l="0" t="0" r="4445" b="1270"/>
            <wp:docPr id="22" name="图片 22" descr="验收专家意见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验收专家意见_03"/>
                    <pic:cNvPicPr>
                      <a:picLocks noChangeAspect="1"/>
                    </pic:cNvPicPr>
                  </pic:nvPicPr>
                  <pic:blipFill>
                    <a:blip r:embed="rId30" cstate="print"/>
                    <a:stretch>
                      <a:fillRect/>
                    </a:stretch>
                  </pic:blipFill>
                  <pic:spPr>
                    <a:xfrm>
                      <a:off x="0" y="0"/>
                      <a:ext cx="5615305" cy="7942580"/>
                    </a:xfrm>
                    <a:prstGeom prst="rect">
                      <a:avLst/>
                    </a:prstGeom>
                  </pic:spPr>
                </pic:pic>
              </a:graphicData>
            </a:graphic>
          </wp:inline>
        </w:drawing>
      </w:r>
      <w:r>
        <w:rPr>
          <w:rFonts w:hint="eastAsia"/>
        </w:rPr>
        <w:drawing>
          <wp:inline distT="0" distB="0" distL="114300" distR="114300">
            <wp:extent cx="5615305" cy="7942580"/>
            <wp:effectExtent l="0" t="0" r="4445" b="1270"/>
            <wp:docPr id="21" name="图片 21" descr="验收专家意见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验收专家意见_04"/>
                    <pic:cNvPicPr>
                      <a:picLocks noChangeAspect="1"/>
                    </pic:cNvPicPr>
                  </pic:nvPicPr>
                  <pic:blipFill>
                    <a:blip r:embed="rId31" cstate="print"/>
                    <a:stretch>
                      <a:fillRect/>
                    </a:stretch>
                  </pic:blipFill>
                  <pic:spPr>
                    <a:xfrm>
                      <a:off x="0" y="0"/>
                      <a:ext cx="5615305" cy="7942580"/>
                    </a:xfrm>
                    <a:prstGeom prst="rect">
                      <a:avLst/>
                    </a:prstGeom>
                  </pic:spPr>
                </pic:pic>
              </a:graphicData>
            </a:graphic>
          </wp:inline>
        </w:drawing>
      </w:r>
      <w:r>
        <w:rPr>
          <w:rFonts w:hint="eastAsia"/>
        </w:rPr>
        <w:drawing>
          <wp:inline distT="0" distB="0" distL="114300" distR="114300">
            <wp:extent cx="5615305" cy="7942580"/>
            <wp:effectExtent l="0" t="0" r="4445" b="1270"/>
            <wp:docPr id="20" name="图片 20" descr="验收专家意见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验收专家意见_05"/>
                    <pic:cNvPicPr>
                      <a:picLocks noChangeAspect="1"/>
                    </pic:cNvPicPr>
                  </pic:nvPicPr>
                  <pic:blipFill>
                    <a:blip r:embed="rId32" cstate="print"/>
                    <a:stretch>
                      <a:fillRect/>
                    </a:stretch>
                  </pic:blipFill>
                  <pic:spPr>
                    <a:xfrm>
                      <a:off x="0" y="0"/>
                      <a:ext cx="5615305" cy="7942580"/>
                    </a:xfrm>
                    <a:prstGeom prst="rect">
                      <a:avLst/>
                    </a:prstGeom>
                  </pic:spPr>
                </pic:pic>
              </a:graphicData>
            </a:graphic>
          </wp:inline>
        </w:drawing>
      </w:r>
      <w:r>
        <w:rPr>
          <w:rFonts w:hint="eastAsia"/>
        </w:rPr>
        <w:drawing>
          <wp:inline distT="0" distB="0" distL="114300" distR="114300">
            <wp:extent cx="5615305" cy="7942580"/>
            <wp:effectExtent l="0" t="0" r="4445" b="1270"/>
            <wp:docPr id="19" name="图片 19" descr="验收专家意见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验收专家意见_06"/>
                    <pic:cNvPicPr>
                      <a:picLocks noChangeAspect="1"/>
                    </pic:cNvPicPr>
                  </pic:nvPicPr>
                  <pic:blipFill>
                    <a:blip r:embed="rId33" cstate="print"/>
                    <a:stretch>
                      <a:fillRect/>
                    </a:stretch>
                  </pic:blipFill>
                  <pic:spPr>
                    <a:xfrm>
                      <a:off x="0" y="0"/>
                      <a:ext cx="5615305" cy="7942580"/>
                    </a:xfrm>
                    <a:prstGeom prst="rect">
                      <a:avLst/>
                    </a:prstGeom>
                  </pic:spPr>
                </pic:pic>
              </a:graphicData>
            </a:graphic>
          </wp:inline>
        </w:drawing>
      </w:r>
      <w:r>
        <w:rPr>
          <w:rFonts w:hint="eastAsia"/>
        </w:rPr>
        <w:drawing>
          <wp:inline distT="0" distB="0" distL="114300" distR="114300">
            <wp:extent cx="5615305" cy="7942580"/>
            <wp:effectExtent l="0" t="0" r="4445" b="1270"/>
            <wp:docPr id="18" name="图片 18" descr="验收专家意见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验收专家意见_07"/>
                    <pic:cNvPicPr>
                      <a:picLocks noChangeAspect="1"/>
                    </pic:cNvPicPr>
                  </pic:nvPicPr>
                  <pic:blipFill>
                    <a:blip r:embed="rId34" cstate="print"/>
                    <a:stretch>
                      <a:fillRect/>
                    </a:stretch>
                  </pic:blipFill>
                  <pic:spPr>
                    <a:xfrm>
                      <a:off x="0" y="0"/>
                      <a:ext cx="5615305" cy="7942580"/>
                    </a:xfrm>
                    <a:prstGeom prst="rect">
                      <a:avLst/>
                    </a:prstGeom>
                  </pic:spPr>
                </pic:pic>
              </a:graphicData>
            </a:graphic>
          </wp:inline>
        </w:drawing>
      </w:r>
    </w:p>
    <w:p w14:paraId="53C2C8AB">
      <w:pPr>
        <w:sectPr>
          <w:pgSz w:w="11906" w:h="16838"/>
          <w:pgMar w:top="1701" w:right="1531" w:bottom="1701" w:left="1531" w:header="851" w:footer="851" w:gutter="0"/>
          <w:cols w:space="720" w:num="1"/>
          <w:docGrid w:linePitch="326" w:charSpace="0"/>
        </w:sectPr>
      </w:pPr>
    </w:p>
    <w:p w14:paraId="27E8E2DC">
      <w:pPr>
        <w:rPr>
          <w:b/>
          <w:bCs/>
        </w:rPr>
      </w:pPr>
      <w:r>
        <w:rPr>
          <w:rFonts w:hint="eastAsia"/>
          <w:b/>
          <w:bCs/>
        </w:rPr>
        <w:t>附件3 排污许可证</w:t>
      </w:r>
    </w:p>
    <w:p w14:paraId="232912A7">
      <w:pPr>
        <w:rPr>
          <w:b/>
          <w:bCs/>
        </w:rPr>
      </w:pPr>
    </w:p>
    <w:p w14:paraId="3B62D843">
      <w:pPr>
        <w:pStyle w:val="9"/>
        <w:ind w:firstLine="0" w:firstLineChars="0"/>
        <w:jc w:val="center"/>
      </w:pPr>
      <w:r>
        <w:drawing>
          <wp:inline distT="0" distB="0" distL="114300" distR="114300">
            <wp:extent cx="5610860" cy="7934960"/>
            <wp:effectExtent l="0" t="0" r="8890" b="8890"/>
            <wp:docPr id="26" name="图片 26" descr="2-附件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2-附件_14"/>
                    <pic:cNvPicPr>
                      <a:picLocks noChangeAspect="1"/>
                    </pic:cNvPicPr>
                  </pic:nvPicPr>
                  <pic:blipFill>
                    <a:blip r:embed="rId35" cstate="print"/>
                    <a:stretch>
                      <a:fillRect/>
                    </a:stretch>
                  </pic:blipFill>
                  <pic:spPr>
                    <a:xfrm>
                      <a:off x="0" y="0"/>
                      <a:ext cx="5610860" cy="7934960"/>
                    </a:xfrm>
                    <a:prstGeom prst="rect">
                      <a:avLst/>
                    </a:prstGeom>
                  </pic:spPr>
                </pic:pic>
              </a:graphicData>
            </a:graphic>
          </wp:inline>
        </w:drawing>
      </w:r>
    </w:p>
    <w:sectPr>
      <w:pgSz w:w="11906" w:h="16838"/>
      <w:pgMar w:top="1701" w:right="1531" w:bottom="1701" w:left="1531" w:header="851" w:footer="851" w:gutter="0"/>
      <w:cols w:space="720" w:num="1"/>
      <w:docGrid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21412ED5-08ED-4063-BA39-7B51AFCCCDC4}"/>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ourier New">
    <w:panose1 w:val="02070309020205020404"/>
    <w:charset w:val="00"/>
    <w:family w:val="modern"/>
    <w:pitch w:val="default"/>
    <w:sig w:usb0="E0002AFF" w:usb1="C0007843" w:usb2="00000009" w:usb3="00000000" w:csb0="400001FF" w:csb1="FFFF0000"/>
  </w:font>
  <w:font w:name="等线">
    <w:altName w:val="微软雅黑"/>
    <w:panose1 w:val="00000000000000000000"/>
    <w:charset w:val="86"/>
    <w:family w:val="auto"/>
    <w:pitch w:val="default"/>
    <w:sig w:usb0="00000000" w:usb1="00000000" w:usb2="00000016" w:usb3="00000000" w:csb0="0004000F" w:csb1="00000000"/>
  </w:font>
  <w:font w:name="Arial Unicode MS">
    <w:altName w:val="宋体"/>
    <w:panose1 w:val="020B0604020202020204"/>
    <w:charset w:val="86"/>
    <w:family w:val="swiss"/>
    <w:pitch w:val="default"/>
    <w:sig w:usb0="00000000" w:usb1="00000000" w:usb2="0000003F" w:usb3="00000000" w:csb0="003F01FF" w:csb1="00000000"/>
  </w:font>
  <w:font w:name="Arial">
    <w:panose1 w:val="020B0604020202020204"/>
    <w:charset w:val="00"/>
    <w:family w:val="swiss"/>
    <w:pitch w:val="default"/>
    <w:sig w:usb0="E0002AFF" w:usb1="C0007843" w:usb2="00000009" w:usb3="00000000" w:csb0="400001FF" w:csb1="FFFF0000"/>
    <w:embedRegular r:id="rId2" w:fontKey="{BDCD531E-95DC-4F6F-997B-9447CA042BCE}"/>
  </w:font>
  <w:font w:name="Verdana">
    <w:panose1 w:val="020B0604030504040204"/>
    <w:charset w:val="00"/>
    <w:family w:val="swiss"/>
    <w:pitch w:val="default"/>
    <w:sig w:usb0="A10006FF" w:usb1="4000205B" w:usb2="00000010" w:usb3="00000000" w:csb0="2000019F" w:csb1="00000000"/>
  </w:font>
  <w:font w:name="Century Schoolbook">
    <w:altName w:val="Segoe Print"/>
    <w:panose1 w:val="02040604050505020304"/>
    <w:charset w:val="00"/>
    <w:family w:val="roman"/>
    <w:pitch w:val="default"/>
    <w:sig w:usb0="00000000" w:usb1="00000000" w:usb2="00000000" w:usb3="00000000" w:csb0="0000009F" w:csb1="00000000"/>
  </w:font>
  <w:font w:name="仿宋_GB2312">
    <w:panose1 w:val="02010609030101010101"/>
    <w:charset w:val="86"/>
    <w:family w:val="modern"/>
    <w:pitch w:val="default"/>
    <w:sig w:usb0="00000001" w:usb1="080E0000" w:usb2="00000000" w:usb3="00000000" w:csb0="00040000" w:csb1="00000000"/>
    <w:embedRegular r:id="rId3" w:fontKey="{BE0F8435-ACD9-48D8-AD5A-34D46F2054BE}"/>
  </w:font>
  <w:font w:name="方正小标宋_GBK">
    <w:altName w:val="微软雅黑"/>
    <w:panose1 w:val="00000000000000000000"/>
    <w:charset w:val="86"/>
    <w:family w:val="script"/>
    <w:pitch w:val="default"/>
    <w:sig w:usb0="00000000" w:usb1="00000000" w:usb2="00082016" w:usb3="00000000" w:csb0="00040001" w:csb1="00000000"/>
    <w:embedRegular r:id="rId4" w:fontKey="{123EBB8F-54EB-44A2-9B4C-C9E10CE440A0}"/>
  </w:font>
  <w:font w:name="楷体_GB2312">
    <w:altName w:val="楷体"/>
    <w:panose1 w:val="00000000000000000000"/>
    <w:charset w:val="86"/>
    <w:family w:val="modern"/>
    <w:pitch w:val="default"/>
    <w:sig w:usb0="00000000" w:usb1="00000000" w:usb2="00000010" w:usb3="00000000" w:csb0="00040000" w:csb1="00000000"/>
    <w:embedRegular r:id="rId5" w:fontKey="{C0D931EB-3FA8-4C41-8B98-3513CAFC6574}"/>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embedRegular r:id="rId6" w:fontKey="{CD1B8B75-0EEE-45B1-AAB0-D952060F97E5}"/>
  </w:font>
  <w:font w:name="Wingdings 2">
    <w:panose1 w:val="05020102010507070707"/>
    <w:charset w:val="02"/>
    <w:family w:val="roman"/>
    <w:pitch w:val="default"/>
    <w:sig w:usb0="00000000" w:usb1="00000000" w:usb2="00000000" w:usb3="00000000" w:csb0="80000000" w:csb1="00000000"/>
    <w:embedRegular r:id="rId7" w:fontKey="{3412D51D-1C50-42FF-92D8-5F5481484182}"/>
  </w:font>
  <w:font w:name="微软雅黑">
    <w:panose1 w:val="020B0503020204020204"/>
    <w:charset w:val="86"/>
    <w:family w:val="auto"/>
    <w:pitch w:val="default"/>
    <w:sig w:usb0="80000287" w:usb1="280F3C52" w:usb2="00000016" w:usb3="00000000" w:csb0="0004001F" w:csb1="00000000"/>
  </w:font>
  <w:font w:name="Segoe UI">
    <w:panose1 w:val="020B0502040204020203"/>
    <w:charset w:val="00"/>
    <w:family w:val="swiss"/>
    <w:pitch w:val="default"/>
    <w:sig w:usb0="E10022FF" w:usb1="C000E47F" w:usb2="00000029" w:usb3="00000000" w:csb0="200001DF" w:csb1="20000000"/>
    <w:embedRegular r:id="rId8" w:fontKey="{B2579DEA-C9E1-45D6-9196-081486E0770F}"/>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229E7A">
    <w:pPr>
      <w:pStyle w:val="20"/>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980851">
    <w:pPr>
      <w:pStyle w:val="20"/>
      <w:framePr w:wrap="around" w:vAnchor="text" w:hAnchor="margin" w:xAlign="center" w:y="1"/>
      <w:ind w:firstLine="360"/>
      <w:rPr>
        <w:rStyle w:val="32"/>
      </w:rPr>
    </w:pPr>
    <w:r>
      <w:fldChar w:fldCharType="begin"/>
    </w:r>
    <w:r>
      <w:rPr>
        <w:rStyle w:val="32"/>
      </w:rPr>
      <w:instrText xml:space="preserve">PAGE  </w:instrText>
    </w:r>
    <w:r>
      <w:fldChar w:fldCharType="end"/>
    </w:r>
  </w:p>
  <w:p w14:paraId="31DC6A95">
    <w:pPr>
      <w:pStyle w:val="20"/>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616493">
    <w:pPr>
      <w:pStyle w:val="20"/>
      <w:ind w:firstLine="420"/>
      <w:jc w:val="center"/>
      <w:rPr>
        <w:sz w:val="21"/>
        <w:szCs w:val="22"/>
      </w:rPr>
    </w:pPr>
    <w:r>
      <w:rPr>
        <w:sz w:val="21"/>
        <w:szCs w:val="22"/>
      </w:rPr>
      <w:fldChar w:fldCharType="begin"/>
    </w:r>
    <w:r>
      <w:rPr>
        <w:sz w:val="21"/>
        <w:szCs w:val="22"/>
      </w:rPr>
      <w:instrText xml:space="preserve">PAGE   \* MERGEFORMAT</w:instrText>
    </w:r>
    <w:r>
      <w:rPr>
        <w:sz w:val="21"/>
        <w:szCs w:val="22"/>
      </w:rPr>
      <w:fldChar w:fldCharType="separate"/>
    </w:r>
    <w:r>
      <w:rPr>
        <w:sz w:val="21"/>
        <w:szCs w:val="22"/>
        <w:lang w:val="zh-CN"/>
      </w:rPr>
      <w:t>15</w:t>
    </w:r>
    <w:r>
      <w:rPr>
        <w:sz w:val="21"/>
        <w:szCs w:val="22"/>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E04809">
    <w:pPr>
      <w:pStyle w:val="20"/>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343535" cy="131445"/>
              <wp:effectExtent l="0" t="0" r="0" b="0"/>
              <wp:wrapNone/>
              <wp:docPr id="226250409" name="文本框 1033"/>
              <wp:cNvGraphicFramePr/>
              <a:graphic xmlns:a="http://schemas.openxmlformats.org/drawingml/2006/main">
                <a:graphicData uri="http://schemas.microsoft.com/office/word/2010/wordprocessingShape">
                  <wps:wsp>
                    <wps:cNvSpPr txBox="1">
                      <a:spLocks noChangeArrowheads="1"/>
                    </wps:cNvSpPr>
                    <wps:spPr bwMode="auto">
                      <a:xfrm>
                        <a:off x="0" y="0"/>
                        <a:ext cx="343535" cy="131445"/>
                      </a:xfrm>
                      <a:prstGeom prst="rect">
                        <a:avLst/>
                      </a:prstGeom>
                      <a:noFill/>
                      <a:ln>
                        <a:noFill/>
                      </a:ln>
                      <a:effectLst/>
                    </wps:spPr>
                    <wps:txbx>
                      <w:txbxContent>
                        <w:p w14:paraId="137E637B">
                          <w:pPr>
                            <w:pStyle w:val="20"/>
                            <w:ind w:firstLine="360"/>
                          </w:pPr>
                          <w:r>
                            <w:fldChar w:fldCharType="begin"/>
                          </w:r>
                          <w:r>
                            <w:instrText xml:space="preserve"> PAGE  \* MERGEFORMAT </w:instrText>
                          </w:r>
                          <w:r>
                            <w:fldChar w:fldCharType="separate"/>
                          </w:r>
                          <w:r>
                            <w:t>17</w:t>
                          </w:r>
                          <w:r>
                            <w:fldChar w:fldCharType="end"/>
                          </w:r>
                        </w:p>
                      </w:txbxContent>
                    </wps:txbx>
                    <wps:bodyPr rot="0" vert="horz" wrap="none" lIns="0" tIns="0" rIns="0" bIns="0" anchor="t" anchorCtr="0" upright="1">
                      <a:spAutoFit/>
                    </wps:bodyPr>
                  </wps:wsp>
                </a:graphicData>
              </a:graphic>
            </wp:anchor>
          </w:drawing>
        </mc:Choice>
        <mc:Fallback>
          <w:pict>
            <v:shape id="文本框 1033" o:spid="_x0000_s1026" o:spt="202" type="#_x0000_t202" style="position:absolute;left:0pt;margin-top:0pt;height:10.35pt;width:27.05pt;mso-position-horizontal:center;mso-position-horizontal-relative:margin;mso-wrap-style:none;z-index:251659264;mso-width-relative:page;mso-height-relative:page;" filled="f" stroked="f" coordsize="21600,21600" o:gfxdata="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Om2gV0QAAAAMBAAAPAAAAAAAA&#10;AAEAIAAAACIAAABkcnMvZG93bnJldi54bWxQSwECFAAUAAAACACHTuJAgpi5ohkCAAAbBAAADgAA&#10;AAAAAAABACAAAAAgAQAAZHJzL2Uyb0RvYy54bWxQSwUGAAAAAAYABgBZAQAAqwUAAAAA&#10;">
              <v:fill on="f" focussize="0,0"/>
              <v:stroke on="f"/>
              <v:imagedata o:title=""/>
              <o:lock v:ext="edit" aspectratio="f"/>
              <v:textbox inset="0mm,0mm,0mm,0mm" style="mso-fit-shape-to-text:t;">
                <w:txbxContent>
                  <w:p w14:paraId="137E637B">
                    <w:pPr>
                      <w:pStyle w:val="20"/>
                      <w:ind w:firstLine="360"/>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45ECEF">
    <w:pPr>
      <w:pStyle w:val="20"/>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343535" cy="131445"/>
              <wp:effectExtent l="0" t="0" r="0" b="0"/>
              <wp:wrapNone/>
              <wp:docPr id="1271647988" name="文本框 1035"/>
              <wp:cNvGraphicFramePr/>
              <a:graphic xmlns:a="http://schemas.openxmlformats.org/drawingml/2006/main">
                <a:graphicData uri="http://schemas.microsoft.com/office/word/2010/wordprocessingShape">
                  <wps:wsp>
                    <wps:cNvSpPr txBox="1">
                      <a:spLocks noChangeArrowheads="1"/>
                    </wps:cNvSpPr>
                    <wps:spPr bwMode="auto">
                      <a:xfrm>
                        <a:off x="0" y="0"/>
                        <a:ext cx="343535" cy="131445"/>
                      </a:xfrm>
                      <a:prstGeom prst="rect">
                        <a:avLst/>
                      </a:prstGeom>
                      <a:noFill/>
                      <a:ln>
                        <a:noFill/>
                      </a:ln>
                      <a:effectLst/>
                    </wps:spPr>
                    <wps:txbx>
                      <w:txbxContent>
                        <w:p w14:paraId="38FB7D97">
                          <w:pPr>
                            <w:pStyle w:val="20"/>
                            <w:ind w:firstLine="360"/>
                          </w:pPr>
                          <w:r>
                            <w:fldChar w:fldCharType="begin"/>
                          </w:r>
                          <w:r>
                            <w:instrText xml:space="preserve"> PAGE  \* MERGEFORMAT </w:instrText>
                          </w:r>
                          <w:r>
                            <w:fldChar w:fldCharType="separate"/>
                          </w:r>
                          <w:r>
                            <w:t>8</w:t>
                          </w:r>
                          <w:r>
                            <w:fldChar w:fldCharType="end"/>
                          </w:r>
                        </w:p>
                      </w:txbxContent>
                    </wps:txbx>
                    <wps:bodyPr rot="0" vert="horz" wrap="none" lIns="0" tIns="0" rIns="0" bIns="0" anchor="t" anchorCtr="0" upright="1">
                      <a:spAutoFit/>
                    </wps:bodyPr>
                  </wps:wsp>
                </a:graphicData>
              </a:graphic>
            </wp:anchor>
          </w:drawing>
        </mc:Choice>
        <mc:Fallback>
          <w:pict>
            <v:shape id="文本框 1035" o:spid="_x0000_s1026" o:spt="202" type="#_x0000_t202" style="position:absolute;left:0pt;margin-top:0pt;height:10.35pt;width:27.05pt;mso-position-horizontal:center;mso-position-horizontal-relative:margin;mso-wrap-style:none;z-index:251660288;mso-width-relative:page;mso-height-relative:page;" filled="f" stroked="f" coordsize="21600,21600" o:gfxdata="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A6baBXRAAAAAwEAAA8AAAAAAAAA&#10;AQAgAAAAIgAAAGRycy9kb3ducmV2LnhtbFBLAQIUABQAAAAIAIdO4kDWuWK9GAIAABwEAAAOAAAA&#10;AAAAAAEAIAAAACABAABkcnMvZTJvRG9jLnhtbFBLBQYAAAAABgAGAFkBAACqBQAAAAA=&#10;">
              <v:fill on="f" focussize="0,0"/>
              <v:stroke on="f"/>
              <v:imagedata o:title=""/>
              <o:lock v:ext="edit" aspectratio="f"/>
              <v:textbox inset="0mm,0mm,0mm,0mm" style="mso-fit-shape-to-text:t;">
                <w:txbxContent>
                  <w:p w14:paraId="38FB7D97">
                    <w:pPr>
                      <w:pStyle w:val="20"/>
                      <w:ind w:firstLine="360"/>
                    </w:pPr>
                    <w:r>
                      <w:fldChar w:fldCharType="begin"/>
                    </w:r>
                    <w:r>
                      <w:instrText xml:space="preserve"> PAGE  \* MERGEFORMAT </w:instrText>
                    </w:r>
                    <w:r>
                      <w:fldChar w:fldCharType="separate"/>
                    </w:r>
                    <w:r>
                      <w:t>8</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9E0C3A">
    <w:pPr>
      <w:pStyle w:val="21"/>
      <w:pBdr>
        <w:bottom w:val="none" w:color="auto" w:sz="0" w:space="0"/>
      </w:pBd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052290A"/>
    <w:multiLevelType w:val="multilevel"/>
    <w:tmpl w:val="2052290A"/>
    <w:lvl w:ilvl="0" w:tentative="0">
      <w:start w:val="1"/>
      <w:numFmt w:val="decimal"/>
      <w:pStyle w:val="117"/>
      <w:lvlText w:val="表5.8-%1"/>
      <w:lvlJc w:val="center"/>
      <w:pPr>
        <w:tabs>
          <w:tab w:val="left" w:pos="720"/>
        </w:tabs>
        <w:ind w:left="-4" w:firstLine="4"/>
      </w:pPr>
      <w:rPr>
        <w:rFonts w:hint="default" w:ascii="Times New Roman" w:hAnsi="Times New Roman"/>
        <w:b/>
        <w:i w:val="0"/>
        <w:sz w:val="24"/>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
    <w:nsid w:val="2B272D94"/>
    <w:multiLevelType w:val="multilevel"/>
    <w:tmpl w:val="2B272D94"/>
    <w:lvl w:ilvl="0" w:tentative="0">
      <w:start w:val="3"/>
      <w:numFmt w:val="decimal"/>
      <w:isLgl/>
      <w:suff w:val="space"/>
      <w:lvlText w:val="%1"/>
      <w:lvlJc w:val="left"/>
      <w:pPr>
        <w:ind w:left="0" w:firstLine="0"/>
      </w:pPr>
      <w:rPr>
        <w:rFonts w:hint="default" w:ascii="Times New Roman" w:hAnsi="Times New Roman" w:eastAsia="宋体"/>
        <w:b/>
        <w:i w:val="0"/>
        <w:sz w:val="32"/>
      </w:rPr>
    </w:lvl>
    <w:lvl w:ilvl="1" w:tentative="0">
      <w:start w:val="1"/>
      <w:numFmt w:val="decimal"/>
      <w:pStyle w:val="44"/>
      <w:isLgl/>
      <w:suff w:val="space"/>
      <w:lvlText w:val="%1.%2"/>
      <w:lvlJc w:val="left"/>
      <w:pPr>
        <w:ind w:left="710" w:firstLine="0"/>
      </w:pPr>
      <w:rPr>
        <w:rFonts w:hint="default" w:ascii="Times New Roman" w:hAnsi="Times New Roman" w:eastAsia="宋体"/>
        <w:b/>
        <w:i w:val="0"/>
        <w:sz w:val="30"/>
      </w:rPr>
    </w:lvl>
    <w:lvl w:ilvl="2" w:tentative="0">
      <w:start w:val="1"/>
      <w:numFmt w:val="decimal"/>
      <w:pStyle w:val="45"/>
      <w:isLgl/>
      <w:suff w:val="space"/>
      <w:lvlText w:val="%1.%2.%3"/>
      <w:lvlJc w:val="left"/>
      <w:pPr>
        <w:ind w:left="0" w:firstLine="0"/>
      </w:pPr>
      <w:rPr>
        <w:rFonts w:hint="default" w:ascii="Times New Roman" w:hAnsi="Times New Roman" w:eastAsia="宋体"/>
        <w:b/>
        <w:i w:val="0"/>
        <w:sz w:val="28"/>
      </w:rPr>
    </w:lvl>
    <w:lvl w:ilvl="3" w:tentative="0">
      <w:start w:val="1"/>
      <w:numFmt w:val="decimal"/>
      <w:pStyle w:val="46"/>
      <w:isLgl/>
      <w:suff w:val="space"/>
      <w:lvlText w:val="%1.%2.%3.%4"/>
      <w:lvlJc w:val="left"/>
      <w:rPr>
        <w:rFonts w:hint="default" w:ascii="Times New Roman" w:hAnsi="Times New Roman" w:cs="Times New Roman"/>
        <w:b/>
        <w:bCs w:val="0"/>
        <w:i w:val="0"/>
        <w:iCs w:val="0"/>
        <w:caps w:val="0"/>
        <w:smallCaps w:val="0"/>
        <w:strike w:val="0"/>
        <w:dstrike w:val="0"/>
        <w:vanish w:val="0"/>
        <w:color w:val="000000"/>
        <w:spacing w:val="0"/>
        <w:position w:val="0"/>
        <w:u w:val="none"/>
        <w:vertAlign w:val="baseline"/>
      </w:rPr>
    </w:lvl>
    <w:lvl w:ilvl="4" w:tentative="0">
      <w:start w:val="1"/>
      <w:numFmt w:val="decimal"/>
      <w:lvlRestart w:val="2"/>
      <w:pStyle w:val="41"/>
      <w:isLgl/>
      <w:suff w:val="space"/>
      <w:lvlText w:val="表%1.%2-%5"/>
      <w:lvlJc w:val="left"/>
      <w:rPr>
        <w:rFonts w:hint="default" w:ascii="Times New Roman" w:hAnsi="Times New Roman" w:cs="Times New Roman"/>
        <w:b/>
        <w:bCs w:val="0"/>
        <w:i w:val="0"/>
        <w:iCs w:val="0"/>
        <w:caps w:val="0"/>
        <w:smallCaps w:val="0"/>
        <w:strike w:val="0"/>
        <w:dstrike w:val="0"/>
        <w:vanish w:val="0"/>
        <w:color w:val="000000"/>
        <w:spacing w:val="0"/>
        <w:kern w:val="0"/>
        <w:position w:val="0"/>
        <w:u w:val="none"/>
        <w:vertAlign w:val="baseline"/>
      </w:rPr>
    </w:lvl>
    <w:lvl w:ilvl="5" w:tentative="0">
      <w:start w:val="1"/>
      <w:numFmt w:val="decimal"/>
      <w:lvlRestart w:val="2"/>
      <w:pStyle w:val="47"/>
      <w:isLgl/>
      <w:lvlText w:val="图%1.%2-%6"/>
      <w:lvlJc w:val="left"/>
      <w:pPr>
        <w:ind w:left="0" w:firstLine="0"/>
      </w:pPr>
      <w:rPr>
        <w:rFonts w:hint="default" w:ascii="Times New Roman" w:hAnsi="Times New Roman" w:eastAsia="宋体"/>
        <w:b/>
        <w:i w:val="0"/>
        <w:sz w:val="21"/>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abstractNum w:abstractNumId="2">
    <w:nsid w:val="37A04360"/>
    <w:multiLevelType w:val="multilevel"/>
    <w:tmpl w:val="37A04360"/>
    <w:lvl w:ilvl="0" w:tentative="0">
      <w:start w:val="1"/>
      <w:numFmt w:val="decimal"/>
      <w:pStyle w:val="113"/>
      <w:lvlText w:val="表1.11-%1"/>
      <w:lvlJc w:val="center"/>
      <w:pPr>
        <w:tabs>
          <w:tab w:val="left" w:pos="2444"/>
        </w:tabs>
        <w:ind w:left="1720" w:firstLine="4"/>
      </w:pPr>
      <w:rPr>
        <w:rFonts w:hint="default" w:ascii="Times New Roman" w:hAnsi="Times New Roman"/>
        <w:b/>
        <w:i w:val="0"/>
        <w:sz w:val="24"/>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saveSubsetFonts/>
  <w:attachedTemplate r:id="rId1"/>
  <w:documentProtection w:edit="trackedChanges" w:enforcement="0"/>
  <w:defaultTabStop w:val="420"/>
  <w:noPunctuationKerning w:val="1"/>
  <w:characterSpacingControl w:val="doNotCompress"/>
  <w:hdrShapeDefaults>
    <o:shapelayout v:ext="edit">
      <o:idmap v:ext="edit" data="2"/>
    </o:shapelayout>
  </w:hdrShapeDefaults>
  <w:compat>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2Y3YzZkZThhMWY3NzU0N2Y5YTE5NTlmZGJiZTA0MjYifQ=="/>
  </w:docVars>
  <w:rsids>
    <w:rsidRoot w:val="00A14947"/>
    <w:rsid w:val="00002404"/>
    <w:rsid w:val="000060B3"/>
    <w:rsid w:val="00011691"/>
    <w:rsid w:val="00013B30"/>
    <w:rsid w:val="0001636E"/>
    <w:rsid w:val="0002130D"/>
    <w:rsid w:val="000231DD"/>
    <w:rsid w:val="00030BB0"/>
    <w:rsid w:val="00032A7A"/>
    <w:rsid w:val="00033195"/>
    <w:rsid w:val="00035F09"/>
    <w:rsid w:val="0004162E"/>
    <w:rsid w:val="00041B37"/>
    <w:rsid w:val="00041FF1"/>
    <w:rsid w:val="0004364B"/>
    <w:rsid w:val="00054F2B"/>
    <w:rsid w:val="000554BA"/>
    <w:rsid w:val="0005686D"/>
    <w:rsid w:val="00061B1F"/>
    <w:rsid w:val="000650A0"/>
    <w:rsid w:val="0007127A"/>
    <w:rsid w:val="000733C4"/>
    <w:rsid w:val="00074783"/>
    <w:rsid w:val="0007619C"/>
    <w:rsid w:val="00077F45"/>
    <w:rsid w:val="0008070B"/>
    <w:rsid w:val="000810AC"/>
    <w:rsid w:val="00081A02"/>
    <w:rsid w:val="000821AF"/>
    <w:rsid w:val="00082231"/>
    <w:rsid w:val="000832A5"/>
    <w:rsid w:val="0009002A"/>
    <w:rsid w:val="0009270E"/>
    <w:rsid w:val="00092D38"/>
    <w:rsid w:val="000930BE"/>
    <w:rsid w:val="0009377B"/>
    <w:rsid w:val="00095D49"/>
    <w:rsid w:val="000A1224"/>
    <w:rsid w:val="000A1831"/>
    <w:rsid w:val="000A20C9"/>
    <w:rsid w:val="000A7403"/>
    <w:rsid w:val="000B058F"/>
    <w:rsid w:val="000B2B58"/>
    <w:rsid w:val="000B4467"/>
    <w:rsid w:val="000B4B4F"/>
    <w:rsid w:val="000B4DB9"/>
    <w:rsid w:val="000B6D17"/>
    <w:rsid w:val="000C09AC"/>
    <w:rsid w:val="000C30DB"/>
    <w:rsid w:val="000C767F"/>
    <w:rsid w:val="000C7EEF"/>
    <w:rsid w:val="000D0B31"/>
    <w:rsid w:val="000D0D65"/>
    <w:rsid w:val="000D25AF"/>
    <w:rsid w:val="000D3388"/>
    <w:rsid w:val="000D497F"/>
    <w:rsid w:val="000D5A44"/>
    <w:rsid w:val="000E363B"/>
    <w:rsid w:val="000E3ED2"/>
    <w:rsid w:val="000F1702"/>
    <w:rsid w:val="000F1C2B"/>
    <w:rsid w:val="00100D19"/>
    <w:rsid w:val="001021BB"/>
    <w:rsid w:val="00104B78"/>
    <w:rsid w:val="0011309D"/>
    <w:rsid w:val="00114BF6"/>
    <w:rsid w:val="00114E11"/>
    <w:rsid w:val="00131F42"/>
    <w:rsid w:val="001357F1"/>
    <w:rsid w:val="0013673C"/>
    <w:rsid w:val="0013778F"/>
    <w:rsid w:val="00140FA8"/>
    <w:rsid w:val="00142FEB"/>
    <w:rsid w:val="00143A2D"/>
    <w:rsid w:val="00145A41"/>
    <w:rsid w:val="00147AE0"/>
    <w:rsid w:val="0015000F"/>
    <w:rsid w:val="00151675"/>
    <w:rsid w:val="00152557"/>
    <w:rsid w:val="00154CFA"/>
    <w:rsid w:val="00155BDF"/>
    <w:rsid w:val="00157435"/>
    <w:rsid w:val="00163949"/>
    <w:rsid w:val="00163F32"/>
    <w:rsid w:val="00166196"/>
    <w:rsid w:val="001744BC"/>
    <w:rsid w:val="0017504D"/>
    <w:rsid w:val="0017671A"/>
    <w:rsid w:val="00177422"/>
    <w:rsid w:val="00184590"/>
    <w:rsid w:val="001870D1"/>
    <w:rsid w:val="0018781E"/>
    <w:rsid w:val="00187D47"/>
    <w:rsid w:val="00190685"/>
    <w:rsid w:val="0019262D"/>
    <w:rsid w:val="00195667"/>
    <w:rsid w:val="001A1B35"/>
    <w:rsid w:val="001A48A2"/>
    <w:rsid w:val="001A661B"/>
    <w:rsid w:val="001A6F61"/>
    <w:rsid w:val="001B022E"/>
    <w:rsid w:val="001B118C"/>
    <w:rsid w:val="001B1657"/>
    <w:rsid w:val="001B232E"/>
    <w:rsid w:val="001B2C6A"/>
    <w:rsid w:val="001B646E"/>
    <w:rsid w:val="001B72B8"/>
    <w:rsid w:val="001C69B3"/>
    <w:rsid w:val="001C6EDA"/>
    <w:rsid w:val="001D5595"/>
    <w:rsid w:val="001D6081"/>
    <w:rsid w:val="001D7874"/>
    <w:rsid w:val="001D7F22"/>
    <w:rsid w:val="001F050C"/>
    <w:rsid w:val="001F0F17"/>
    <w:rsid w:val="001F3347"/>
    <w:rsid w:val="001F5DD5"/>
    <w:rsid w:val="001F69E4"/>
    <w:rsid w:val="00206AF9"/>
    <w:rsid w:val="00210323"/>
    <w:rsid w:val="002125B4"/>
    <w:rsid w:val="00212CA6"/>
    <w:rsid w:val="002155B8"/>
    <w:rsid w:val="0021648B"/>
    <w:rsid w:val="00224839"/>
    <w:rsid w:val="002249B2"/>
    <w:rsid w:val="00225ECC"/>
    <w:rsid w:val="00226574"/>
    <w:rsid w:val="002278EC"/>
    <w:rsid w:val="0023133D"/>
    <w:rsid w:val="0023280E"/>
    <w:rsid w:val="002377D1"/>
    <w:rsid w:val="00240196"/>
    <w:rsid w:val="002417F2"/>
    <w:rsid w:val="0024638F"/>
    <w:rsid w:val="002506BC"/>
    <w:rsid w:val="00253F49"/>
    <w:rsid w:val="00254345"/>
    <w:rsid w:val="00260E96"/>
    <w:rsid w:val="00263E5F"/>
    <w:rsid w:val="00264557"/>
    <w:rsid w:val="002805AB"/>
    <w:rsid w:val="00284204"/>
    <w:rsid w:val="00285B0B"/>
    <w:rsid w:val="002876BD"/>
    <w:rsid w:val="0029169E"/>
    <w:rsid w:val="00291773"/>
    <w:rsid w:val="00292E84"/>
    <w:rsid w:val="002A168C"/>
    <w:rsid w:val="002A3DC7"/>
    <w:rsid w:val="002B00EF"/>
    <w:rsid w:val="002B0189"/>
    <w:rsid w:val="002B49E2"/>
    <w:rsid w:val="002B7714"/>
    <w:rsid w:val="002B7B00"/>
    <w:rsid w:val="002B7C44"/>
    <w:rsid w:val="002C2B17"/>
    <w:rsid w:val="002C5306"/>
    <w:rsid w:val="002D3DD0"/>
    <w:rsid w:val="002D448A"/>
    <w:rsid w:val="002D5A54"/>
    <w:rsid w:val="002E1F3A"/>
    <w:rsid w:val="002E298A"/>
    <w:rsid w:val="002E37B5"/>
    <w:rsid w:val="002E65EF"/>
    <w:rsid w:val="002E6CF7"/>
    <w:rsid w:val="002E7632"/>
    <w:rsid w:val="00301522"/>
    <w:rsid w:val="00301978"/>
    <w:rsid w:val="00301A3C"/>
    <w:rsid w:val="0030332C"/>
    <w:rsid w:val="00303CAF"/>
    <w:rsid w:val="00304338"/>
    <w:rsid w:val="003051C2"/>
    <w:rsid w:val="00312296"/>
    <w:rsid w:val="00314F0E"/>
    <w:rsid w:val="00315768"/>
    <w:rsid w:val="00316546"/>
    <w:rsid w:val="00316C0E"/>
    <w:rsid w:val="00316D6E"/>
    <w:rsid w:val="00316E37"/>
    <w:rsid w:val="00320F83"/>
    <w:rsid w:val="003216B3"/>
    <w:rsid w:val="00321D8E"/>
    <w:rsid w:val="003242A5"/>
    <w:rsid w:val="00325928"/>
    <w:rsid w:val="003315C1"/>
    <w:rsid w:val="00332863"/>
    <w:rsid w:val="00333EC4"/>
    <w:rsid w:val="0033684D"/>
    <w:rsid w:val="00337B42"/>
    <w:rsid w:val="00337DE5"/>
    <w:rsid w:val="00340205"/>
    <w:rsid w:val="00340CC8"/>
    <w:rsid w:val="00341B42"/>
    <w:rsid w:val="0034348F"/>
    <w:rsid w:val="003439C6"/>
    <w:rsid w:val="003450C7"/>
    <w:rsid w:val="003460F0"/>
    <w:rsid w:val="003524E1"/>
    <w:rsid w:val="00353348"/>
    <w:rsid w:val="00353CE1"/>
    <w:rsid w:val="00354AB1"/>
    <w:rsid w:val="00356653"/>
    <w:rsid w:val="0035743F"/>
    <w:rsid w:val="00357BE2"/>
    <w:rsid w:val="0036170C"/>
    <w:rsid w:val="00362F6F"/>
    <w:rsid w:val="00366E0F"/>
    <w:rsid w:val="00372490"/>
    <w:rsid w:val="00375A64"/>
    <w:rsid w:val="00381A72"/>
    <w:rsid w:val="00384676"/>
    <w:rsid w:val="003863A6"/>
    <w:rsid w:val="003906FE"/>
    <w:rsid w:val="00390857"/>
    <w:rsid w:val="00391F7B"/>
    <w:rsid w:val="003927EA"/>
    <w:rsid w:val="003A1177"/>
    <w:rsid w:val="003A4BF3"/>
    <w:rsid w:val="003B1611"/>
    <w:rsid w:val="003B2D37"/>
    <w:rsid w:val="003B420D"/>
    <w:rsid w:val="003B58C1"/>
    <w:rsid w:val="003C589B"/>
    <w:rsid w:val="003C6C16"/>
    <w:rsid w:val="003D1D65"/>
    <w:rsid w:val="003D6F5C"/>
    <w:rsid w:val="003D794D"/>
    <w:rsid w:val="003E3058"/>
    <w:rsid w:val="003E45CA"/>
    <w:rsid w:val="003E712C"/>
    <w:rsid w:val="003E76A9"/>
    <w:rsid w:val="003F00BF"/>
    <w:rsid w:val="003F0809"/>
    <w:rsid w:val="003F2F57"/>
    <w:rsid w:val="003F6A8C"/>
    <w:rsid w:val="003F755C"/>
    <w:rsid w:val="004010FE"/>
    <w:rsid w:val="00401A98"/>
    <w:rsid w:val="0040449F"/>
    <w:rsid w:val="004052E1"/>
    <w:rsid w:val="00406F01"/>
    <w:rsid w:val="00416BF6"/>
    <w:rsid w:val="00416D50"/>
    <w:rsid w:val="00416FD5"/>
    <w:rsid w:val="00417772"/>
    <w:rsid w:val="00420E6A"/>
    <w:rsid w:val="004249C6"/>
    <w:rsid w:val="00425A9E"/>
    <w:rsid w:val="00426D6B"/>
    <w:rsid w:val="00426F71"/>
    <w:rsid w:val="004301A6"/>
    <w:rsid w:val="00431E6C"/>
    <w:rsid w:val="00433CE7"/>
    <w:rsid w:val="00437FD1"/>
    <w:rsid w:val="004402B9"/>
    <w:rsid w:val="004464FA"/>
    <w:rsid w:val="004476C3"/>
    <w:rsid w:val="00450D20"/>
    <w:rsid w:val="00452738"/>
    <w:rsid w:val="00456091"/>
    <w:rsid w:val="00462BDA"/>
    <w:rsid w:val="004639FB"/>
    <w:rsid w:val="0046614C"/>
    <w:rsid w:val="00466321"/>
    <w:rsid w:val="004673ED"/>
    <w:rsid w:val="0047625E"/>
    <w:rsid w:val="00477102"/>
    <w:rsid w:val="00484B9B"/>
    <w:rsid w:val="00484C84"/>
    <w:rsid w:val="004855F6"/>
    <w:rsid w:val="0048661E"/>
    <w:rsid w:val="00487D05"/>
    <w:rsid w:val="00490928"/>
    <w:rsid w:val="00494670"/>
    <w:rsid w:val="004A321C"/>
    <w:rsid w:val="004A3823"/>
    <w:rsid w:val="004A5182"/>
    <w:rsid w:val="004A55F5"/>
    <w:rsid w:val="004B4C9B"/>
    <w:rsid w:val="004B537C"/>
    <w:rsid w:val="004B6FCC"/>
    <w:rsid w:val="004B7C66"/>
    <w:rsid w:val="004C4D1A"/>
    <w:rsid w:val="004D20D2"/>
    <w:rsid w:val="004D507D"/>
    <w:rsid w:val="004D6E50"/>
    <w:rsid w:val="004E06C2"/>
    <w:rsid w:val="004E3253"/>
    <w:rsid w:val="004E38DB"/>
    <w:rsid w:val="004E4A23"/>
    <w:rsid w:val="004E6946"/>
    <w:rsid w:val="004E7C1C"/>
    <w:rsid w:val="004F01A7"/>
    <w:rsid w:val="004F0F48"/>
    <w:rsid w:val="004F1AD8"/>
    <w:rsid w:val="004F3AEB"/>
    <w:rsid w:val="004F7CBD"/>
    <w:rsid w:val="0050296B"/>
    <w:rsid w:val="005039CB"/>
    <w:rsid w:val="005053A1"/>
    <w:rsid w:val="0050558F"/>
    <w:rsid w:val="00506286"/>
    <w:rsid w:val="00510813"/>
    <w:rsid w:val="00511990"/>
    <w:rsid w:val="00511DE0"/>
    <w:rsid w:val="00514870"/>
    <w:rsid w:val="00514B9B"/>
    <w:rsid w:val="00517536"/>
    <w:rsid w:val="00517F02"/>
    <w:rsid w:val="00521A8B"/>
    <w:rsid w:val="00524303"/>
    <w:rsid w:val="005258A2"/>
    <w:rsid w:val="00533EF8"/>
    <w:rsid w:val="005401AE"/>
    <w:rsid w:val="00542E07"/>
    <w:rsid w:val="00545424"/>
    <w:rsid w:val="0055184E"/>
    <w:rsid w:val="00552838"/>
    <w:rsid w:val="00552A98"/>
    <w:rsid w:val="00554A7B"/>
    <w:rsid w:val="0055572C"/>
    <w:rsid w:val="0056106A"/>
    <w:rsid w:val="005720AE"/>
    <w:rsid w:val="00575F97"/>
    <w:rsid w:val="00581D8E"/>
    <w:rsid w:val="0058272C"/>
    <w:rsid w:val="00582D80"/>
    <w:rsid w:val="00583565"/>
    <w:rsid w:val="005851F4"/>
    <w:rsid w:val="00590C8A"/>
    <w:rsid w:val="00594D77"/>
    <w:rsid w:val="005969E4"/>
    <w:rsid w:val="005A04D4"/>
    <w:rsid w:val="005A06B7"/>
    <w:rsid w:val="005A1759"/>
    <w:rsid w:val="005A1F4D"/>
    <w:rsid w:val="005A68A7"/>
    <w:rsid w:val="005A7BB2"/>
    <w:rsid w:val="005B36D4"/>
    <w:rsid w:val="005C6EDA"/>
    <w:rsid w:val="005D25D6"/>
    <w:rsid w:val="005D36AB"/>
    <w:rsid w:val="005E584B"/>
    <w:rsid w:val="005E68C1"/>
    <w:rsid w:val="005F6B9A"/>
    <w:rsid w:val="0060764A"/>
    <w:rsid w:val="006129B3"/>
    <w:rsid w:val="00617975"/>
    <w:rsid w:val="00617CC3"/>
    <w:rsid w:val="00621B42"/>
    <w:rsid w:val="00627082"/>
    <w:rsid w:val="00627D8D"/>
    <w:rsid w:val="0063593A"/>
    <w:rsid w:val="00635C8C"/>
    <w:rsid w:val="006377A6"/>
    <w:rsid w:val="006378AC"/>
    <w:rsid w:val="00637A3D"/>
    <w:rsid w:val="006411EF"/>
    <w:rsid w:val="00643E38"/>
    <w:rsid w:val="00644D23"/>
    <w:rsid w:val="00651183"/>
    <w:rsid w:val="006545EC"/>
    <w:rsid w:val="006563D5"/>
    <w:rsid w:val="00661F21"/>
    <w:rsid w:val="00664306"/>
    <w:rsid w:val="00664B64"/>
    <w:rsid w:val="006748B8"/>
    <w:rsid w:val="00675356"/>
    <w:rsid w:val="0067577B"/>
    <w:rsid w:val="006775C3"/>
    <w:rsid w:val="006808A7"/>
    <w:rsid w:val="0068692C"/>
    <w:rsid w:val="0069046E"/>
    <w:rsid w:val="0069290A"/>
    <w:rsid w:val="006974A8"/>
    <w:rsid w:val="0069775A"/>
    <w:rsid w:val="00697813"/>
    <w:rsid w:val="006A3EE8"/>
    <w:rsid w:val="006A72BF"/>
    <w:rsid w:val="006B03F2"/>
    <w:rsid w:val="006B37DC"/>
    <w:rsid w:val="006B4F68"/>
    <w:rsid w:val="006B7FB3"/>
    <w:rsid w:val="006C0592"/>
    <w:rsid w:val="006C0B29"/>
    <w:rsid w:val="006C15CD"/>
    <w:rsid w:val="006C272E"/>
    <w:rsid w:val="006C5479"/>
    <w:rsid w:val="006D024C"/>
    <w:rsid w:val="006D13B5"/>
    <w:rsid w:val="006E12FF"/>
    <w:rsid w:val="006E28A0"/>
    <w:rsid w:val="006E607E"/>
    <w:rsid w:val="006F14C5"/>
    <w:rsid w:val="006F1F05"/>
    <w:rsid w:val="006F3E62"/>
    <w:rsid w:val="006F5506"/>
    <w:rsid w:val="00700024"/>
    <w:rsid w:val="0070185C"/>
    <w:rsid w:val="00701DF4"/>
    <w:rsid w:val="00706547"/>
    <w:rsid w:val="00706C5D"/>
    <w:rsid w:val="00707A30"/>
    <w:rsid w:val="007111F4"/>
    <w:rsid w:val="00711AB1"/>
    <w:rsid w:val="00720B9A"/>
    <w:rsid w:val="00721BED"/>
    <w:rsid w:val="00726F30"/>
    <w:rsid w:val="00730C72"/>
    <w:rsid w:val="00731409"/>
    <w:rsid w:val="00732922"/>
    <w:rsid w:val="00735BD7"/>
    <w:rsid w:val="00735F75"/>
    <w:rsid w:val="007411C1"/>
    <w:rsid w:val="00742EBA"/>
    <w:rsid w:val="00743D90"/>
    <w:rsid w:val="00744C82"/>
    <w:rsid w:val="0075162E"/>
    <w:rsid w:val="00752294"/>
    <w:rsid w:val="00754034"/>
    <w:rsid w:val="00756239"/>
    <w:rsid w:val="00756556"/>
    <w:rsid w:val="007618C4"/>
    <w:rsid w:val="00767936"/>
    <w:rsid w:val="00767980"/>
    <w:rsid w:val="00770B19"/>
    <w:rsid w:val="0077463F"/>
    <w:rsid w:val="00775C33"/>
    <w:rsid w:val="00775E2C"/>
    <w:rsid w:val="00777052"/>
    <w:rsid w:val="00781396"/>
    <w:rsid w:val="007836EA"/>
    <w:rsid w:val="00784CDA"/>
    <w:rsid w:val="007906C4"/>
    <w:rsid w:val="007940EA"/>
    <w:rsid w:val="0079525D"/>
    <w:rsid w:val="007967E8"/>
    <w:rsid w:val="0079702B"/>
    <w:rsid w:val="007A0B58"/>
    <w:rsid w:val="007A2170"/>
    <w:rsid w:val="007A22BF"/>
    <w:rsid w:val="007A3323"/>
    <w:rsid w:val="007B1748"/>
    <w:rsid w:val="007B3D0D"/>
    <w:rsid w:val="007B72B8"/>
    <w:rsid w:val="007B7A58"/>
    <w:rsid w:val="007C21B5"/>
    <w:rsid w:val="007C3366"/>
    <w:rsid w:val="007D034A"/>
    <w:rsid w:val="007D70D7"/>
    <w:rsid w:val="007E0191"/>
    <w:rsid w:val="007E02F9"/>
    <w:rsid w:val="007E4BD2"/>
    <w:rsid w:val="007E7AAE"/>
    <w:rsid w:val="007F132F"/>
    <w:rsid w:val="007F4E69"/>
    <w:rsid w:val="007F5D8B"/>
    <w:rsid w:val="00801393"/>
    <w:rsid w:val="008018A4"/>
    <w:rsid w:val="00802F88"/>
    <w:rsid w:val="008038BE"/>
    <w:rsid w:val="00804249"/>
    <w:rsid w:val="008070E1"/>
    <w:rsid w:val="0081293E"/>
    <w:rsid w:val="00815465"/>
    <w:rsid w:val="00816CB7"/>
    <w:rsid w:val="008171BF"/>
    <w:rsid w:val="00817E9A"/>
    <w:rsid w:val="008226FA"/>
    <w:rsid w:val="0082271F"/>
    <w:rsid w:val="008306BD"/>
    <w:rsid w:val="00831A80"/>
    <w:rsid w:val="00833743"/>
    <w:rsid w:val="008340A4"/>
    <w:rsid w:val="0083445D"/>
    <w:rsid w:val="00841459"/>
    <w:rsid w:val="008438A2"/>
    <w:rsid w:val="00845449"/>
    <w:rsid w:val="00851605"/>
    <w:rsid w:val="00851F01"/>
    <w:rsid w:val="008637C5"/>
    <w:rsid w:val="00865789"/>
    <w:rsid w:val="00866389"/>
    <w:rsid w:val="00866470"/>
    <w:rsid w:val="0087135F"/>
    <w:rsid w:val="00872584"/>
    <w:rsid w:val="00872D34"/>
    <w:rsid w:val="00872D94"/>
    <w:rsid w:val="0087482E"/>
    <w:rsid w:val="00875A92"/>
    <w:rsid w:val="0087761F"/>
    <w:rsid w:val="00880364"/>
    <w:rsid w:val="00881CF7"/>
    <w:rsid w:val="0088293E"/>
    <w:rsid w:val="00883828"/>
    <w:rsid w:val="0088425E"/>
    <w:rsid w:val="00890171"/>
    <w:rsid w:val="00891592"/>
    <w:rsid w:val="00891E9E"/>
    <w:rsid w:val="008972B5"/>
    <w:rsid w:val="008A289B"/>
    <w:rsid w:val="008A2BB8"/>
    <w:rsid w:val="008A2F57"/>
    <w:rsid w:val="008A2F68"/>
    <w:rsid w:val="008A4704"/>
    <w:rsid w:val="008B4FA6"/>
    <w:rsid w:val="008B5282"/>
    <w:rsid w:val="008B7C17"/>
    <w:rsid w:val="008C2476"/>
    <w:rsid w:val="008C2D01"/>
    <w:rsid w:val="008C40E6"/>
    <w:rsid w:val="008C5741"/>
    <w:rsid w:val="008D0F7A"/>
    <w:rsid w:val="008D2251"/>
    <w:rsid w:val="008D2509"/>
    <w:rsid w:val="008D60F5"/>
    <w:rsid w:val="008D68C7"/>
    <w:rsid w:val="008D68E4"/>
    <w:rsid w:val="008E0506"/>
    <w:rsid w:val="008E0CFF"/>
    <w:rsid w:val="008E27AE"/>
    <w:rsid w:val="008E5D6B"/>
    <w:rsid w:val="008E76F0"/>
    <w:rsid w:val="008F08CE"/>
    <w:rsid w:val="008F15FE"/>
    <w:rsid w:val="008F2D29"/>
    <w:rsid w:val="008F5187"/>
    <w:rsid w:val="008F5635"/>
    <w:rsid w:val="008F60D8"/>
    <w:rsid w:val="00900ECF"/>
    <w:rsid w:val="00902727"/>
    <w:rsid w:val="00902C8D"/>
    <w:rsid w:val="0090312B"/>
    <w:rsid w:val="00903524"/>
    <w:rsid w:val="0090482C"/>
    <w:rsid w:val="009101B1"/>
    <w:rsid w:val="009124F0"/>
    <w:rsid w:val="0091736D"/>
    <w:rsid w:val="0092068E"/>
    <w:rsid w:val="009241F2"/>
    <w:rsid w:val="0093037A"/>
    <w:rsid w:val="00934E5A"/>
    <w:rsid w:val="0094154D"/>
    <w:rsid w:val="009462F3"/>
    <w:rsid w:val="0094630F"/>
    <w:rsid w:val="00947F7D"/>
    <w:rsid w:val="0095155F"/>
    <w:rsid w:val="00954429"/>
    <w:rsid w:val="00955E68"/>
    <w:rsid w:val="009563CE"/>
    <w:rsid w:val="00971E4C"/>
    <w:rsid w:val="00976328"/>
    <w:rsid w:val="0097680D"/>
    <w:rsid w:val="009814E4"/>
    <w:rsid w:val="00982438"/>
    <w:rsid w:val="0098404C"/>
    <w:rsid w:val="00985283"/>
    <w:rsid w:val="00994E06"/>
    <w:rsid w:val="00995992"/>
    <w:rsid w:val="00997EDB"/>
    <w:rsid w:val="009A03E5"/>
    <w:rsid w:val="009A0F3B"/>
    <w:rsid w:val="009A1978"/>
    <w:rsid w:val="009A1BB4"/>
    <w:rsid w:val="009A2628"/>
    <w:rsid w:val="009A3200"/>
    <w:rsid w:val="009B0897"/>
    <w:rsid w:val="009B342B"/>
    <w:rsid w:val="009B785D"/>
    <w:rsid w:val="009B7BD9"/>
    <w:rsid w:val="009C7DD5"/>
    <w:rsid w:val="009D3AD0"/>
    <w:rsid w:val="009E227D"/>
    <w:rsid w:val="009E2DE7"/>
    <w:rsid w:val="009E5019"/>
    <w:rsid w:val="009E62B1"/>
    <w:rsid w:val="009F35A6"/>
    <w:rsid w:val="00A001E2"/>
    <w:rsid w:val="00A04F1B"/>
    <w:rsid w:val="00A0501B"/>
    <w:rsid w:val="00A111C7"/>
    <w:rsid w:val="00A14947"/>
    <w:rsid w:val="00A16B8A"/>
    <w:rsid w:val="00A21C66"/>
    <w:rsid w:val="00A23069"/>
    <w:rsid w:val="00A26734"/>
    <w:rsid w:val="00A270F5"/>
    <w:rsid w:val="00A32911"/>
    <w:rsid w:val="00A32A83"/>
    <w:rsid w:val="00A337FE"/>
    <w:rsid w:val="00A368DB"/>
    <w:rsid w:val="00A369D5"/>
    <w:rsid w:val="00A403F6"/>
    <w:rsid w:val="00A423AA"/>
    <w:rsid w:val="00A43827"/>
    <w:rsid w:val="00A45B2C"/>
    <w:rsid w:val="00A53D3F"/>
    <w:rsid w:val="00A53EC6"/>
    <w:rsid w:val="00A5524A"/>
    <w:rsid w:val="00A55C0F"/>
    <w:rsid w:val="00A62B92"/>
    <w:rsid w:val="00A66E60"/>
    <w:rsid w:val="00A8713F"/>
    <w:rsid w:val="00A9036B"/>
    <w:rsid w:val="00A90BA1"/>
    <w:rsid w:val="00A92373"/>
    <w:rsid w:val="00A92AB6"/>
    <w:rsid w:val="00A93967"/>
    <w:rsid w:val="00A9429C"/>
    <w:rsid w:val="00A97A9A"/>
    <w:rsid w:val="00AA0671"/>
    <w:rsid w:val="00AA2531"/>
    <w:rsid w:val="00AA3018"/>
    <w:rsid w:val="00AA4290"/>
    <w:rsid w:val="00AA6A5E"/>
    <w:rsid w:val="00AA6E5F"/>
    <w:rsid w:val="00AB1E09"/>
    <w:rsid w:val="00AB5330"/>
    <w:rsid w:val="00AB7747"/>
    <w:rsid w:val="00AC09ED"/>
    <w:rsid w:val="00AC14CE"/>
    <w:rsid w:val="00AC2A56"/>
    <w:rsid w:val="00AC4911"/>
    <w:rsid w:val="00AD055E"/>
    <w:rsid w:val="00AD31BD"/>
    <w:rsid w:val="00AD47A7"/>
    <w:rsid w:val="00AD48B7"/>
    <w:rsid w:val="00AD63F0"/>
    <w:rsid w:val="00AE2042"/>
    <w:rsid w:val="00AE3052"/>
    <w:rsid w:val="00AE4D73"/>
    <w:rsid w:val="00AE68AF"/>
    <w:rsid w:val="00AF0CBF"/>
    <w:rsid w:val="00AF1D98"/>
    <w:rsid w:val="00AF257F"/>
    <w:rsid w:val="00AF33CF"/>
    <w:rsid w:val="00AF4D50"/>
    <w:rsid w:val="00AF6179"/>
    <w:rsid w:val="00B01251"/>
    <w:rsid w:val="00B01711"/>
    <w:rsid w:val="00B04503"/>
    <w:rsid w:val="00B06FCF"/>
    <w:rsid w:val="00B1295A"/>
    <w:rsid w:val="00B1631B"/>
    <w:rsid w:val="00B20A45"/>
    <w:rsid w:val="00B22C5C"/>
    <w:rsid w:val="00B24DD8"/>
    <w:rsid w:val="00B24F30"/>
    <w:rsid w:val="00B27D5E"/>
    <w:rsid w:val="00B31ABF"/>
    <w:rsid w:val="00B33BE3"/>
    <w:rsid w:val="00B34130"/>
    <w:rsid w:val="00B3602B"/>
    <w:rsid w:val="00B414E3"/>
    <w:rsid w:val="00B42A70"/>
    <w:rsid w:val="00B4689B"/>
    <w:rsid w:val="00B46EB0"/>
    <w:rsid w:val="00B47B96"/>
    <w:rsid w:val="00B51DA8"/>
    <w:rsid w:val="00B52D99"/>
    <w:rsid w:val="00B53B5D"/>
    <w:rsid w:val="00B6055E"/>
    <w:rsid w:val="00B61E63"/>
    <w:rsid w:val="00B6317D"/>
    <w:rsid w:val="00B67953"/>
    <w:rsid w:val="00B70A38"/>
    <w:rsid w:val="00B74F2B"/>
    <w:rsid w:val="00B75D30"/>
    <w:rsid w:val="00B7723F"/>
    <w:rsid w:val="00B80534"/>
    <w:rsid w:val="00B8102B"/>
    <w:rsid w:val="00B8433C"/>
    <w:rsid w:val="00B85F95"/>
    <w:rsid w:val="00B87491"/>
    <w:rsid w:val="00B87E35"/>
    <w:rsid w:val="00B91291"/>
    <w:rsid w:val="00B941C6"/>
    <w:rsid w:val="00B95F3D"/>
    <w:rsid w:val="00BA0644"/>
    <w:rsid w:val="00BA0B23"/>
    <w:rsid w:val="00BA29E9"/>
    <w:rsid w:val="00BA4EB6"/>
    <w:rsid w:val="00BA6DCF"/>
    <w:rsid w:val="00BA7142"/>
    <w:rsid w:val="00BB237C"/>
    <w:rsid w:val="00BB41A3"/>
    <w:rsid w:val="00BB47AD"/>
    <w:rsid w:val="00BB6D78"/>
    <w:rsid w:val="00BB734F"/>
    <w:rsid w:val="00BC0FBD"/>
    <w:rsid w:val="00BC1D42"/>
    <w:rsid w:val="00BC27C1"/>
    <w:rsid w:val="00BC32DC"/>
    <w:rsid w:val="00BC34AD"/>
    <w:rsid w:val="00BC35B6"/>
    <w:rsid w:val="00BD1B51"/>
    <w:rsid w:val="00BD4596"/>
    <w:rsid w:val="00BD4B3B"/>
    <w:rsid w:val="00BD51C9"/>
    <w:rsid w:val="00BD7407"/>
    <w:rsid w:val="00BE0A52"/>
    <w:rsid w:val="00BE1405"/>
    <w:rsid w:val="00BE312D"/>
    <w:rsid w:val="00BE7E7F"/>
    <w:rsid w:val="00BF0C86"/>
    <w:rsid w:val="00BF1C20"/>
    <w:rsid w:val="00BF4345"/>
    <w:rsid w:val="00BF55B5"/>
    <w:rsid w:val="00BF6032"/>
    <w:rsid w:val="00BF72BB"/>
    <w:rsid w:val="00C04CD7"/>
    <w:rsid w:val="00C061E6"/>
    <w:rsid w:val="00C10578"/>
    <w:rsid w:val="00C135BC"/>
    <w:rsid w:val="00C15C95"/>
    <w:rsid w:val="00C17CCB"/>
    <w:rsid w:val="00C238B8"/>
    <w:rsid w:val="00C23A74"/>
    <w:rsid w:val="00C23F3B"/>
    <w:rsid w:val="00C2596A"/>
    <w:rsid w:val="00C27537"/>
    <w:rsid w:val="00C328FE"/>
    <w:rsid w:val="00C33507"/>
    <w:rsid w:val="00C36D1A"/>
    <w:rsid w:val="00C41E75"/>
    <w:rsid w:val="00C4409D"/>
    <w:rsid w:val="00C44E72"/>
    <w:rsid w:val="00C45A06"/>
    <w:rsid w:val="00C47E5B"/>
    <w:rsid w:val="00C55F5C"/>
    <w:rsid w:val="00C56E9F"/>
    <w:rsid w:val="00C619C2"/>
    <w:rsid w:val="00C61E4B"/>
    <w:rsid w:val="00C635D2"/>
    <w:rsid w:val="00C64BFF"/>
    <w:rsid w:val="00C67385"/>
    <w:rsid w:val="00C704E9"/>
    <w:rsid w:val="00C763C9"/>
    <w:rsid w:val="00C80057"/>
    <w:rsid w:val="00C80931"/>
    <w:rsid w:val="00C81656"/>
    <w:rsid w:val="00C81CC8"/>
    <w:rsid w:val="00C82232"/>
    <w:rsid w:val="00C82913"/>
    <w:rsid w:val="00C972B1"/>
    <w:rsid w:val="00CA0234"/>
    <w:rsid w:val="00CA2CCE"/>
    <w:rsid w:val="00CA43FD"/>
    <w:rsid w:val="00CA57EE"/>
    <w:rsid w:val="00CA5911"/>
    <w:rsid w:val="00CA7EF8"/>
    <w:rsid w:val="00CB00B6"/>
    <w:rsid w:val="00CB4373"/>
    <w:rsid w:val="00CC489B"/>
    <w:rsid w:val="00CC59FE"/>
    <w:rsid w:val="00CD2BCD"/>
    <w:rsid w:val="00CD3A4C"/>
    <w:rsid w:val="00CD435D"/>
    <w:rsid w:val="00CE10E9"/>
    <w:rsid w:val="00CE2910"/>
    <w:rsid w:val="00CE34AD"/>
    <w:rsid w:val="00CE5393"/>
    <w:rsid w:val="00CE7E52"/>
    <w:rsid w:val="00CF36BE"/>
    <w:rsid w:val="00CF6000"/>
    <w:rsid w:val="00CF62B6"/>
    <w:rsid w:val="00D00096"/>
    <w:rsid w:val="00D003F3"/>
    <w:rsid w:val="00D0364F"/>
    <w:rsid w:val="00D06834"/>
    <w:rsid w:val="00D07C07"/>
    <w:rsid w:val="00D10E2A"/>
    <w:rsid w:val="00D14244"/>
    <w:rsid w:val="00D14B77"/>
    <w:rsid w:val="00D15BFA"/>
    <w:rsid w:val="00D15C71"/>
    <w:rsid w:val="00D16562"/>
    <w:rsid w:val="00D210B6"/>
    <w:rsid w:val="00D24345"/>
    <w:rsid w:val="00D2564E"/>
    <w:rsid w:val="00D2665E"/>
    <w:rsid w:val="00D30293"/>
    <w:rsid w:val="00D308ED"/>
    <w:rsid w:val="00D33490"/>
    <w:rsid w:val="00D36D86"/>
    <w:rsid w:val="00D373FD"/>
    <w:rsid w:val="00D40D72"/>
    <w:rsid w:val="00D428AA"/>
    <w:rsid w:val="00D50A34"/>
    <w:rsid w:val="00D53EFA"/>
    <w:rsid w:val="00D549DD"/>
    <w:rsid w:val="00D56E5D"/>
    <w:rsid w:val="00D71CAB"/>
    <w:rsid w:val="00D7679F"/>
    <w:rsid w:val="00D83876"/>
    <w:rsid w:val="00D84927"/>
    <w:rsid w:val="00D87729"/>
    <w:rsid w:val="00D92390"/>
    <w:rsid w:val="00D92ABA"/>
    <w:rsid w:val="00D94A7C"/>
    <w:rsid w:val="00D95896"/>
    <w:rsid w:val="00DA0957"/>
    <w:rsid w:val="00DA3CD9"/>
    <w:rsid w:val="00DB11F3"/>
    <w:rsid w:val="00DB212B"/>
    <w:rsid w:val="00DB2983"/>
    <w:rsid w:val="00DC1257"/>
    <w:rsid w:val="00DC3DC0"/>
    <w:rsid w:val="00DC5B2B"/>
    <w:rsid w:val="00DD318D"/>
    <w:rsid w:val="00DD3248"/>
    <w:rsid w:val="00DD50F7"/>
    <w:rsid w:val="00DD7527"/>
    <w:rsid w:val="00DE326A"/>
    <w:rsid w:val="00DE354F"/>
    <w:rsid w:val="00DE4F46"/>
    <w:rsid w:val="00DE6716"/>
    <w:rsid w:val="00DE722B"/>
    <w:rsid w:val="00DF0486"/>
    <w:rsid w:val="00DF120D"/>
    <w:rsid w:val="00DF23F2"/>
    <w:rsid w:val="00DF2E12"/>
    <w:rsid w:val="00DF514A"/>
    <w:rsid w:val="00DF6690"/>
    <w:rsid w:val="00DF6804"/>
    <w:rsid w:val="00E0358D"/>
    <w:rsid w:val="00E04323"/>
    <w:rsid w:val="00E070A2"/>
    <w:rsid w:val="00E1018E"/>
    <w:rsid w:val="00E15314"/>
    <w:rsid w:val="00E15A16"/>
    <w:rsid w:val="00E2112A"/>
    <w:rsid w:val="00E21F01"/>
    <w:rsid w:val="00E23C37"/>
    <w:rsid w:val="00E2656A"/>
    <w:rsid w:val="00E27593"/>
    <w:rsid w:val="00E304FA"/>
    <w:rsid w:val="00E33147"/>
    <w:rsid w:val="00E371B9"/>
    <w:rsid w:val="00E412D0"/>
    <w:rsid w:val="00E43D0F"/>
    <w:rsid w:val="00E444D3"/>
    <w:rsid w:val="00E4488A"/>
    <w:rsid w:val="00E511E1"/>
    <w:rsid w:val="00E54638"/>
    <w:rsid w:val="00E55634"/>
    <w:rsid w:val="00E55A63"/>
    <w:rsid w:val="00E56322"/>
    <w:rsid w:val="00E60140"/>
    <w:rsid w:val="00E60982"/>
    <w:rsid w:val="00E60A18"/>
    <w:rsid w:val="00E60DEF"/>
    <w:rsid w:val="00E62C62"/>
    <w:rsid w:val="00E6300C"/>
    <w:rsid w:val="00E63BF1"/>
    <w:rsid w:val="00E64650"/>
    <w:rsid w:val="00E654C1"/>
    <w:rsid w:val="00E65769"/>
    <w:rsid w:val="00E65D97"/>
    <w:rsid w:val="00E719A0"/>
    <w:rsid w:val="00E72A5A"/>
    <w:rsid w:val="00E730A6"/>
    <w:rsid w:val="00E73354"/>
    <w:rsid w:val="00E77900"/>
    <w:rsid w:val="00E80DDB"/>
    <w:rsid w:val="00E812F4"/>
    <w:rsid w:val="00E9242D"/>
    <w:rsid w:val="00E94219"/>
    <w:rsid w:val="00E9519D"/>
    <w:rsid w:val="00E962AD"/>
    <w:rsid w:val="00EA2520"/>
    <w:rsid w:val="00EA5258"/>
    <w:rsid w:val="00EA695A"/>
    <w:rsid w:val="00EB1317"/>
    <w:rsid w:val="00EB2A39"/>
    <w:rsid w:val="00EB5255"/>
    <w:rsid w:val="00EB5C47"/>
    <w:rsid w:val="00EC2585"/>
    <w:rsid w:val="00EC4006"/>
    <w:rsid w:val="00EC5F2A"/>
    <w:rsid w:val="00EC786D"/>
    <w:rsid w:val="00ED0639"/>
    <w:rsid w:val="00ED7048"/>
    <w:rsid w:val="00ED7E86"/>
    <w:rsid w:val="00EE5466"/>
    <w:rsid w:val="00EF185F"/>
    <w:rsid w:val="00EF443E"/>
    <w:rsid w:val="00EF4755"/>
    <w:rsid w:val="00EF50B8"/>
    <w:rsid w:val="00EF7135"/>
    <w:rsid w:val="00F027DB"/>
    <w:rsid w:val="00F06537"/>
    <w:rsid w:val="00F0679E"/>
    <w:rsid w:val="00F07315"/>
    <w:rsid w:val="00F13B2E"/>
    <w:rsid w:val="00F14A7A"/>
    <w:rsid w:val="00F14CFD"/>
    <w:rsid w:val="00F15BC6"/>
    <w:rsid w:val="00F22985"/>
    <w:rsid w:val="00F243CA"/>
    <w:rsid w:val="00F25974"/>
    <w:rsid w:val="00F25F1B"/>
    <w:rsid w:val="00F32475"/>
    <w:rsid w:val="00F3383E"/>
    <w:rsid w:val="00F42422"/>
    <w:rsid w:val="00F4275F"/>
    <w:rsid w:val="00F457BF"/>
    <w:rsid w:val="00F465A7"/>
    <w:rsid w:val="00F50B7C"/>
    <w:rsid w:val="00F550E6"/>
    <w:rsid w:val="00F56804"/>
    <w:rsid w:val="00F60228"/>
    <w:rsid w:val="00F65E3E"/>
    <w:rsid w:val="00F67C46"/>
    <w:rsid w:val="00F70A25"/>
    <w:rsid w:val="00F73D4A"/>
    <w:rsid w:val="00F74345"/>
    <w:rsid w:val="00F80A0A"/>
    <w:rsid w:val="00F82B19"/>
    <w:rsid w:val="00F86D19"/>
    <w:rsid w:val="00F9212D"/>
    <w:rsid w:val="00F95D8F"/>
    <w:rsid w:val="00F9612C"/>
    <w:rsid w:val="00F965DA"/>
    <w:rsid w:val="00F97A23"/>
    <w:rsid w:val="00F97EEF"/>
    <w:rsid w:val="00FA406A"/>
    <w:rsid w:val="00FA4BF9"/>
    <w:rsid w:val="00FB0589"/>
    <w:rsid w:val="00FB3FAC"/>
    <w:rsid w:val="00FB503A"/>
    <w:rsid w:val="00FB516C"/>
    <w:rsid w:val="00FB7D95"/>
    <w:rsid w:val="00FC6459"/>
    <w:rsid w:val="00FD0236"/>
    <w:rsid w:val="00FD18F4"/>
    <w:rsid w:val="00FD5280"/>
    <w:rsid w:val="00FD54DB"/>
    <w:rsid w:val="00FD619F"/>
    <w:rsid w:val="00FD6344"/>
    <w:rsid w:val="00FF13DE"/>
    <w:rsid w:val="00FF5386"/>
    <w:rsid w:val="00FF7D60"/>
    <w:rsid w:val="01290F7E"/>
    <w:rsid w:val="015D1E09"/>
    <w:rsid w:val="02697903"/>
    <w:rsid w:val="02F96569"/>
    <w:rsid w:val="03D251BA"/>
    <w:rsid w:val="03EA7B21"/>
    <w:rsid w:val="04EF1A04"/>
    <w:rsid w:val="05F83EAE"/>
    <w:rsid w:val="063E7D85"/>
    <w:rsid w:val="07293586"/>
    <w:rsid w:val="07295285"/>
    <w:rsid w:val="07636392"/>
    <w:rsid w:val="076E3F95"/>
    <w:rsid w:val="07770C56"/>
    <w:rsid w:val="092217DD"/>
    <w:rsid w:val="093A7294"/>
    <w:rsid w:val="0A263993"/>
    <w:rsid w:val="0A2D3AC2"/>
    <w:rsid w:val="0AA755DF"/>
    <w:rsid w:val="0B120D44"/>
    <w:rsid w:val="0BD27BF6"/>
    <w:rsid w:val="0C3B3C7D"/>
    <w:rsid w:val="0CAB2EAE"/>
    <w:rsid w:val="0D621C7D"/>
    <w:rsid w:val="0E73034D"/>
    <w:rsid w:val="0F13775A"/>
    <w:rsid w:val="0F5F45FE"/>
    <w:rsid w:val="0F9A112B"/>
    <w:rsid w:val="106D2F64"/>
    <w:rsid w:val="10B63710"/>
    <w:rsid w:val="10F10820"/>
    <w:rsid w:val="111C2F7A"/>
    <w:rsid w:val="11665CA1"/>
    <w:rsid w:val="13951726"/>
    <w:rsid w:val="14396509"/>
    <w:rsid w:val="14DD2C3C"/>
    <w:rsid w:val="16087E1D"/>
    <w:rsid w:val="17701D14"/>
    <w:rsid w:val="17735226"/>
    <w:rsid w:val="189F624C"/>
    <w:rsid w:val="1A1C66C0"/>
    <w:rsid w:val="1A42393B"/>
    <w:rsid w:val="1AAD45DE"/>
    <w:rsid w:val="1B046F80"/>
    <w:rsid w:val="1B05604F"/>
    <w:rsid w:val="1B3267B5"/>
    <w:rsid w:val="1B40161D"/>
    <w:rsid w:val="1B441859"/>
    <w:rsid w:val="1B6606B1"/>
    <w:rsid w:val="1C5E7925"/>
    <w:rsid w:val="1CFD070F"/>
    <w:rsid w:val="1D5F6196"/>
    <w:rsid w:val="1D6132A5"/>
    <w:rsid w:val="1D8E56D5"/>
    <w:rsid w:val="1E7A43DA"/>
    <w:rsid w:val="1F693A18"/>
    <w:rsid w:val="1FE7539E"/>
    <w:rsid w:val="20671BE0"/>
    <w:rsid w:val="20963CB8"/>
    <w:rsid w:val="20A81A1B"/>
    <w:rsid w:val="20B07FB6"/>
    <w:rsid w:val="20B646FB"/>
    <w:rsid w:val="213B74B1"/>
    <w:rsid w:val="215A2310"/>
    <w:rsid w:val="21DE318A"/>
    <w:rsid w:val="21EF5B80"/>
    <w:rsid w:val="22576990"/>
    <w:rsid w:val="22F47480"/>
    <w:rsid w:val="23DE1C48"/>
    <w:rsid w:val="240210CD"/>
    <w:rsid w:val="24BF09F7"/>
    <w:rsid w:val="252D53FE"/>
    <w:rsid w:val="25EC2D81"/>
    <w:rsid w:val="277057A2"/>
    <w:rsid w:val="28C06059"/>
    <w:rsid w:val="28E026ED"/>
    <w:rsid w:val="29206EB8"/>
    <w:rsid w:val="293B3CB2"/>
    <w:rsid w:val="29595666"/>
    <w:rsid w:val="29874881"/>
    <w:rsid w:val="29E325E0"/>
    <w:rsid w:val="2A3E70CF"/>
    <w:rsid w:val="2A452503"/>
    <w:rsid w:val="2BA936A8"/>
    <w:rsid w:val="2C315A5A"/>
    <w:rsid w:val="2C4B1C25"/>
    <w:rsid w:val="2C6324F5"/>
    <w:rsid w:val="2D9E56F5"/>
    <w:rsid w:val="2E667F96"/>
    <w:rsid w:val="2E8226AB"/>
    <w:rsid w:val="2E9447F1"/>
    <w:rsid w:val="2FD065E6"/>
    <w:rsid w:val="2FD96870"/>
    <w:rsid w:val="302428C3"/>
    <w:rsid w:val="30580BC9"/>
    <w:rsid w:val="311E2ED7"/>
    <w:rsid w:val="315619EE"/>
    <w:rsid w:val="315C449C"/>
    <w:rsid w:val="31B82709"/>
    <w:rsid w:val="31D05482"/>
    <w:rsid w:val="32400B34"/>
    <w:rsid w:val="329E6876"/>
    <w:rsid w:val="333015F2"/>
    <w:rsid w:val="334B6320"/>
    <w:rsid w:val="33D934D4"/>
    <w:rsid w:val="33FE2F6A"/>
    <w:rsid w:val="340E07E5"/>
    <w:rsid w:val="34235BF7"/>
    <w:rsid w:val="358C5FA8"/>
    <w:rsid w:val="35C15DF1"/>
    <w:rsid w:val="36074A7F"/>
    <w:rsid w:val="36923549"/>
    <w:rsid w:val="36B75FBF"/>
    <w:rsid w:val="36BD0C45"/>
    <w:rsid w:val="37920A5A"/>
    <w:rsid w:val="37E00298"/>
    <w:rsid w:val="37EB4AAD"/>
    <w:rsid w:val="38B302F9"/>
    <w:rsid w:val="38F12CD3"/>
    <w:rsid w:val="38F94775"/>
    <w:rsid w:val="392971ED"/>
    <w:rsid w:val="39325651"/>
    <w:rsid w:val="3A872856"/>
    <w:rsid w:val="3B3763D1"/>
    <w:rsid w:val="3C2F6E1E"/>
    <w:rsid w:val="3C4F64BA"/>
    <w:rsid w:val="3CDA245A"/>
    <w:rsid w:val="3D1E06B7"/>
    <w:rsid w:val="3E4F49A0"/>
    <w:rsid w:val="3EDA0523"/>
    <w:rsid w:val="407A6407"/>
    <w:rsid w:val="4200449D"/>
    <w:rsid w:val="423A3BCC"/>
    <w:rsid w:val="424E57D2"/>
    <w:rsid w:val="42B26C49"/>
    <w:rsid w:val="433A6FE6"/>
    <w:rsid w:val="43480868"/>
    <w:rsid w:val="4350713C"/>
    <w:rsid w:val="436653E0"/>
    <w:rsid w:val="43C4431A"/>
    <w:rsid w:val="44B951CC"/>
    <w:rsid w:val="44CD14E0"/>
    <w:rsid w:val="44F20B0B"/>
    <w:rsid w:val="452E5F4C"/>
    <w:rsid w:val="45612018"/>
    <w:rsid w:val="458946E9"/>
    <w:rsid w:val="45A47C0E"/>
    <w:rsid w:val="46577FD6"/>
    <w:rsid w:val="46D955A7"/>
    <w:rsid w:val="47133957"/>
    <w:rsid w:val="47A07E0C"/>
    <w:rsid w:val="4870272E"/>
    <w:rsid w:val="48BA449A"/>
    <w:rsid w:val="49DC7715"/>
    <w:rsid w:val="4A023139"/>
    <w:rsid w:val="4A7B576F"/>
    <w:rsid w:val="4AF561A9"/>
    <w:rsid w:val="4C4A0649"/>
    <w:rsid w:val="4C7E5ECA"/>
    <w:rsid w:val="4C876AA5"/>
    <w:rsid w:val="4D0E00FB"/>
    <w:rsid w:val="4D176606"/>
    <w:rsid w:val="4DEC4FB0"/>
    <w:rsid w:val="4E075D8A"/>
    <w:rsid w:val="4E143B1F"/>
    <w:rsid w:val="4EC00FAD"/>
    <w:rsid w:val="4F9843DC"/>
    <w:rsid w:val="4FC62A8C"/>
    <w:rsid w:val="4FE20F0D"/>
    <w:rsid w:val="4FE51552"/>
    <w:rsid w:val="4FF260E2"/>
    <w:rsid w:val="50504C4B"/>
    <w:rsid w:val="509C6E7C"/>
    <w:rsid w:val="5162104E"/>
    <w:rsid w:val="529835CD"/>
    <w:rsid w:val="53A039CC"/>
    <w:rsid w:val="53A1505A"/>
    <w:rsid w:val="54063E08"/>
    <w:rsid w:val="543437E8"/>
    <w:rsid w:val="54F73313"/>
    <w:rsid w:val="54F80955"/>
    <w:rsid w:val="555170A7"/>
    <w:rsid w:val="5587536D"/>
    <w:rsid w:val="559B174B"/>
    <w:rsid w:val="55CE0CF4"/>
    <w:rsid w:val="55FF2524"/>
    <w:rsid w:val="56B22A9C"/>
    <w:rsid w:val="57B72A76"/>
    <w:rsid w:val="57C3426C"/>
    <w:rsid w:val="57CE1F93"/>
    <w:rsid w:val="588743D1"/>
    <w:rsid w:val="5887701A"/>
    <w:rsid w:val="59C0439F"/>
    <w:rsid w:val="5ABE2233"/>
    <w:rsid w:val="5BDF5D95"/>
    <w:rsid w:val="5BFE7528"/>
    <w:rsid w:val="5E2467F1"/>
    <w:rsid w:val="5EE17A4E"/>
    <w:rsid w:val="5F1A2B43"/>
    <w:rsid w:val="5F5C5FB8"/>
    <w:rsid w:val="5FB837BB"/>
    <w:rsid w:val="60CC405A"/>
    <w:rsid w:val="60DA7E88"/>
    <w:rsid w:val="61E215D8"/>
    <w:rsid w:val="621B3775"/>
    <w:rsid w:val="62364782"/>
    <w:rsid w:val="6394356A"/>
    <w:rsid w:val="63C61B2C"/>
    <w:rsid w:val="63D40BE9"/>
    <w:rsid w:val="64102431"/>
    <w:rsid w:val="64A5243A"/>
    <w:rsid w:val="64F531DE"/>
    <w:rsid w:val="65373578"/>
    <w:rsid w:val="671F124A"/>
    <w:rsid w:val="677A33C6"/>
    <w:rsid w:val="681F6961"/>
    <w:rsid w:val="68610A2F"/>
    <w:rsid w:val="68805514"/>
    <w:rsid w:val="69316E2F"/>
    <w:rsid w:val="694E2071"/>
    <w:rsid w:val="69766163"/>
    <w:rsid w:val="697A3B33"/>
    <w:rsid w:val="69D44760"/>
    <w:rsid w:val="6A520EC7"/>
    <w:rsid w:val="6AF87E20"/>
    <w:rsid w:val="6B322639"/>
    <w:rsid w:val="6C636C38"/>
    <w:rsid w:val="6DB34098"/>
    <w:rsid w:val="6DB545B6"/>
    <w:rsid w:val="6DE02FB4"/>
    <w:rsid w:val="6E514CED"/>
    <w:rsid w:val="6EB563D5"/>
    <w:rsid w:val="6ED92677"/>
    <w:rsid w:val="6F225983"/>
    <w:rsid w:val="6FFC5590"/>
    <w:rsid w:val="706D1DD0"/>
    <w:rsid w:val="70856B87"/>
    <w:rsid w:val="70D527EE"/>
    <w:rsid w:val="7112100E"/>
    <w:rsid w:val="715B5300"/>
    <w:rsid w:val="71D27F8A"/>
    <w:rsid w:val="7241451B"/>
    <w:rsid w:val="72553024"/>
    <w:rsid w:val="73122968"/>
    <w:rsid w:val="731F5D5E"/>
    <w:rsid w:val="73C51AD5"/>
    <w:rsid w:val="741E793C"/>
    <w:rsid w:val="745E3944"/>
    <w:rsid w:val="7635099D"/>
    <w:rsid w:val="766C3FAD"/>
    <w:rsid w:val="77762421"/>
    <w:rsid w:val="77B56B1F"/>
    <w:rsid w:val="780F09F4"/>
    <w:rsid w:val="78526331"/>
    <w:rsid w:val="78A90480"/>
    <w:rsid w:val="7A364017"/>
    <w:rsid w:val="7A8265E1"/>
    <w:rsid w:val="7B5E286D"/>
    <w:rsid w:val="7B686D42"/>
    <w:rsid w:val="7B841746"/>
    <w:rsid w:val="7C6C5AC7"/>
    <w:rsid w:val="7CC6544B"/>
    <w:rsid w:val="7D0239FF"/>
    <w:rsid w:val="7D5E40CD"/>
    <w:rsid w:val="7DCD56F2"/>
    <w:rsid w:val="7F001CE7"/>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nhideWhenUsed="0" w:uiPriority="0" w:semiHidden="0" w:name="heading 2" w:locked="1"/>
    <w:lsdException w:qFormat="1" w:unhideWhenUsed="0" w:uiPriority="0" w:semiHidden="0" w:name="heading 3" w:locked="1"/>
    <w:lsdException w:qFormat="1" w:unhideWhenUsed="0" w:uiPriority="99" w:semiHidden="0" w:name="heading 4" w:locked="1"/>
    <w:lsdException w:qFormat="1" w:unhideWhenUsed="0" w:uiPriority="99" w:semiHidden="0" w:name="heading 5" w:locked="1"/>
    <w:lsdException w:qFormat="1" w:uiPriority="0" w:semiHidden="0" w:name="heading 6" w:locked="1"/>
    <w:lsdException w:qFormat="1" w:unhideWhenUsed="0" w:uiPriority="0" w:semiHidden="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qFormat="1" w:unhideWhenUsed="0"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99"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iPriority="99"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qFormat="1" w:unhideWhenUsed="0" w:uiPriority="0" w:semiHidden="0" w:name="Block Text" w:locked="1"/>
    <w:lsdException w:qFormat="1" w:unhideWhenUsed="0" w:uiPriority="99" w:semiHidden="0" w:name="Hyperlink" w:locked="1"/>
    <w:lsdException w:qFormat="1" w:uiPriority="99" w:semiHidden="0" w:name="FollowedHyperlink" w:locked="1"/>
    <w:lsdException w:qFormat="1" w:unhideWhenUsed="0" w:uiPriority="0" w:semiHidden="0" w:name="Strong" w:locked="1"/>
    <w:lsdException w:qFormat="1" w:unhideWhenUsed="0" w:uiPriority="0" w:semiHidden="0" w:name="Emphasis" w:locked="1"/>
    <w:lsdException w:qFormat="1"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99" w:semiHidden="0" w:name="Table Grid"/>
    <w:lsdException w:uiPriority="0" w:name="Table Theme" w:locked="1"/>
    <w:lsdException w:qFormat="1" w:uiPriority="99" w:semiHidden="0"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4"/>
      <w:szCs w:val="24"/>
      <w:lang w:val="en-US" w:eastAsia="zh-CN" w:bidi="ar-SA"/>
    </w:rPr>
  </w:style>
  <w:style w:type="paragraph" w:styleId="2">
    <w:name w:val="heading 1"/>
    <w:basedOn w:val="1"/>
    <w:next w:val="1"/>
    <w:qFormat/>
    <w:locked/>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link w:val="38"/>
    <w:qFormat/>
    <w:locked/>
    <w:uiPriority w:val="0"/>
    <w:pPr>
      <w:spacing w:before="240" w:after="60" w:line="360" w:lineRule="auto"/>
      <w:outlineLvl w:val="1"/>
    </w:pPr>
    <w:rPr>
      <w:b/>
      <w:bCs/>
      <w:sz w:val="30"/>
      <w:szCs w:val="30"/>
    </w:rPr>
  </w:style>
  <w:style w:type="paragraph" w:styleId="4">
    <w:name w:val="heading 3"/>
    <w:basedOn w:val="1"/>
    <w:next w:val="1"/>
    <w:link w:val="36"/>
    <w:qFormat/>
    <w:locked/>
    <w:uiPriority w:val="0"/>
    <w:pPr>
      <w:spacing w:before="60" w:after="60" w:line="360" w:lineRule="auto"/>
      <w:outlineLvl w:val="2"/>
    </w:pPr>
    <w:rPr>
      <w:b/>
      <w:sz w:val="28"/>
      <w:szCs w:val="28"/>
    </w:rPr>
  </w:style>
  <w:style w:type="paragraph" w:styleId="5">
    <w:name w:val="heading 4"/>
    <w:basedOn w:val="1"/>
    <w:next w:val="1"/>
    <w:link w:val="37"/>
    <w:qFormat/>
    <w:locked/>
    <w:uiPriority w:val="99"/>
    <w:pPr>
      <w:spacing w:line="360" w:lineRule="auto"/>
      <w:outlineLvl w:val="3"/>
    </w:pPr>
    <w:rPr>
      <w:b/>
    </w:rPr>
  </w:style>
  <w:style w:type="paragraph" w:styleId="6">
    <w:name w:val="heading 5"/>
    <w:basedOn w:val="1"/>
    <w:next w:val="1"/>
    <w:link w:val="40"/>
    <w:qFormat/>
    <w:locked/>
    <w:uiPriority w:val="99"/>
    <w:pPr>
      <w:keepNext/>
      <w:keepLines/>
      <w:spacing w:before="280" w:after="290" w:line="376" w:lineRule="auto"/>
      <w:outlineLvl w:val="4"/>
    </w:pPr>
    <w:rPr>
      <w:b/>
      <w:bCs/>
      <w:sz w:val="28"/>
      <w:szCs w:val="28"/>
    </w:rPr>
  </w:style>
  <w:style w:type="paragraph" w:styleId="7">
    <w:name w:val="heading 6"/>
    <w:basedOn w:val="1"/>
    <w:next w:val="1"/>
    <w:link w:val="39"/>
    <w:unhideWhenUsed/>
    <w:qFormat/>
    <w:locked/>
    <w:uiPriority w:val="0"/>
    <w:pPr>
      <w:keepNext/>
      <w:keepLines/>
      <w:spacing w:before="240" w:after="64" w:line="320" w:lineRule="auto"/>
      <w:jc w:val="center"/>
      <w:outlineLvl w:val="5"/>
    </w:pPr>
    <w:rPr>
      <w:rFonts w:ascii="宋体" w:hAnsi="宋体"/>
      <w:b/>
      <w:bCs/>
    </w:rPr>
  </w:style>
  <w:style w:type="paragraph" w:styleId="8">
    <w:name w:val="heading 7"/>
    <w:basedOn w:val="1"/>
    <w:next w:val="1"/>
    <w:link w:val="80"/>
    <w:qFormat/>
    <w:locked/>
    <w:uiPriority w:val="0"/>
    <w:pPr>
      <w:keepNext/>
      <w:keepLines/>
      <w:spacing w:before="240" w:after="64" w:line="320" w:lineRule="auto"/>
      <w:ind w:firstLine="480" w:firstLineChars="200"/>
      <w:outlineLvl w:val="6"/>
    </w:pPr>
    <w:rPr>
      <w:b/>
      <w:bCs/>
    </w:r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styleId="9">
    <w:name w:val="Normal Indent"/>
    <w:basedOn w:val="1"/>
    <w:next w:val="1"/>
    <w:qFormat/>
    <w:locked/>
    <w:uiPriority w:val="99"/>
    <w:pPr>
      <w:spacing w:line="360" w:lineRule="auto"/>
      <w:ind w:firstLine="420" w:firstLineChars="200"/>
    </w:pPr>
  </w:style>
  <w:style w:type="paragraph" w:styleId="10">
    <w:name w:val="caption"/>
    <w:basedOn w:val="1"/>
    <w:next w:val="1"/>
    <w:unhideWhenUsed/>
    <w:qFormat/>
    <w:locked/>
    <w:uiPriority w:val="0"/>
    <w:pPr>
      <w:spacing w:line="480" w:lineRule="exact"/>
      <w:ind w:firstLine="200" w:firstLineChars="200"/>
      <w:jc w:val="center"/>
    </w:pPr>
    <w:rPr>
      <w:rFonts w:eastAsia="黑体"/>
      <w:sz w:val="21"/>
      <w:szCs w:val="22"/>
    </w:rPr>
  </w:style>
  <w:style w:type="paragraph" w:styleId="11">
    <w:name w:val="Document Map"/>
    <w:basedOn w:val="1"/>
    <w:link w:val="92"/>
    <w:qFormat/>
    <w:locked/>
    <w:uiPriority w:val="0"/>
    <w:pPr>
      <w:shd w:val="clear" w:color="auto" w:fill="000080"/>
      <w:spacing w:line="360" w:lineRule="auto"/>
      <w:ind w:firstLine="480" w:firstLineChars="200"/>
    </w:pPr>
  </w:style>
  <w:style w:type="paragraph" w:styleId="12">
    <w:name w:val="annotation text"/>
    <w:basedOn w:val="1"/>
    <w:link w:val="48"/>
    <w:semiHidden/>
    <w:qFormat/>
    <w:uiPriority w:val="0"/>
    <w:pPr>
      <w:jc w:val="left"/>
    </w:pPr>
    <w:rPr>
      <w:kern w:val="0"/>
      <w:szCs w:val="20"/>
    </w:rPr>
  </w:style>
  <w:style w:type="paragraph" w:styleId="13">
    <w:name w:val="Body Text"/>
    <w:basedOn w:val="1"/>
    <w:link w:val="49"/>
    <w:qFormat/>
    <w:uiPriority w:val="0"/>
    <w:pPr>
      <w:widowControl/>
      <w:snapToGrid w:val="0"/>
      <w:spacing w:before="60" w:after="160" w:line="259" w:lineRule="auto"/>
      <w:ind w:right="113"/>
    </w:pPr>
    <w:rPr>
      <w:kern w:val="0"/>
      <w:sz w:val="18"/>
      <w:szCs w:val="20"/>
    </w:rPr>
  </w:style>
  <w:style w:type="paragraph" w:styleId="14">
    <w:name w:val="Body Text Indent"/>
    <w:basedOn w:val="1"/>
    <w:next w:val="10"/>
    <w:link w:val="50"/>
    <w:qFormat/>
    <w:uiPriority w:val="0"/>
    <w:pPr>
      <w:spacing w:after="120"/>
      <w:ind w:left="420" w:leftChars="200"/>
    </w:pPr>
    <w:rPr>
      <w:kern w:val="0"/>
      <w:szCs w:val="20"/>
    </w:rPr>
  </w:style>
  <w:style w:type="paragraph" w:styleId="15">
    <w:name w:val="Block Text"/>
    <w:basedOn w:val="1"/>
    <w:qFormat/>
    <w:locked/>
    <w:uiPriority w:val="0"/>
    <w:pPr>
      <w:spacing w:line="360" w:lineRule="auto"/>
      <w:ind w:left="780" w:right="57" w:hanging="60"/>
    </w:pPr>
    <w:rPr>
      <w:rFonts w:ascii="宋体"/>
      <w:szCs w:val="20"/>
    </w:rPr>
  </w:style>
  <w:style w:type="paragraph" w:styleId="16">
    <w:name w:val="Plain Text"/>
    <w:basedOn w:val="1"/>
    <w:link w:val="79"/>
    <w:qFormat/>
    <w:locked/>
    <w:uiPriority w:val="0"/>
    <w:rPr>
      <w:rFonts w:ascii="宋体" w:hAnsi="Courier New" w:cs="Courier New"/>
      <w:sz w:val="21"/>
      <w:szCs w:val="21"/>
    </w:rPr>
  </w:style>
  <w:style w:type="paragraph" w:styleId="17">
    <w:name w:val="Date"/>
    <w:basedOn w:val="1"/>
    <w:next w:val="1"/>
    <w:link w:val="51"/>
    <w:qFormat/>
    <w:uiPriority w:val="0"/>
    <w:pPr>
      <w:ind w:left="100" w:leftChars="2500"/>
    </w:pPr>
    <w:rPr>
      <w:kern w:val="0"/>
      <w:szCs w:val="20"/>
    </w:rPr>
  </w:style>
  <w:style w:type="paragraph" w:styleId="18">
    <w:name w:val="Body Text Indent 2"/>
    <w:basedOn w:val="1"/>
    <w:link w:val="84"/>
    <w:qFormat/>
    <w:locked/>
    <w:uiPriority w:val="0"/>
    <w:pPr>
      <w:spacing w:after="120" w:line="480" w:lineRule="auto"/>
      <w:ind w:left="420" w:leftChars="200" w:firstLine="480" w:firstLineChars="200"/>
    </w:pPr>
  </w:style>
  <w:style w:type="paragraph" w:styleId="19">
    <w:name w:val="Balloon Text"/>
    <w:basedOn w:val="1"/>
    <w:link w:val="52"/>
    <w:semiHidden/>
    <w:qFormat/>
    <w:uiPriority w:val="0"/>
    <w:rPr>
      <w:kern w:val="0"/>
      <w:sz w:val="18"/>
      <w:szCs w:val="20"/>
    </w:rPr>
  </w:style>
  <w:style w:type="paragraph" w:styleId="20">
    <w:name w:val="footer"/>
    <w:basedOn w:val="1"/>
    <w:link w:val="53"/>
    <w:qFormat/>
    <w:uiPriority w:val="99"/>
    <w:pPr>
      <w:tabs>
        <w:tab w:val="center" w:pos="4153"/>
        <w:tab w:val="right" w:pos="8306"/>
      </w:tabs>
      <w:snapToGrid w:val="0"/>
      <w:jc w:val="left"/>
    </w:pPr>
    <w:rPr>
      <w:kern w:val="0"/>
      <w:sz w:val="18"/>
      <w:szCs w:val="20"/>
    </w:rPr>
  </w:style>
  <w:style w:type="paragraph" w:styleId="21">
    <w:name w:val="header"/>
    <w:basedOn w:val="1"/>
    <w:link w:val="54"/>
    <w:qFormat/>
    <w:uiPriority w:val="0"/>
    <w:pPr>
      <w:pBdr>
        <w:bottom w:val="single" w:color="auto" w:sz="6" w:space="1"/>
      </w:pBdr>
      <w:tabs>
        <w:tab w:val="center" w:pos="4153"/>
        <w:tab w:val="right" w:pos="8306"/>
      </w:tabs>
      <w:snapToGrid w:val="0"/>
      <w:jc w:val="center"/>
    </w:pPr>
    <w:rPr>
      <w:kern w:val="0"/>
      <w:sz w:val="18"/>
      <w:szCs w:val="20"/>
    </w:rPr>
  </w:style>
  <w:style w:type="paragraph" w:styleId="22">
    <w:name w:val="toc 1"/>
    <w:basedOn w:val="1"/>
    <w:next w:val="1"/>
    <w:autoRedefine/>
    <w:qFormat/>
    <w:locked/>
    <w:uiPriority w:val="39"/>
    <w:pPr>
      <w:tabs>
        <w:tab w:val="left" w:pos="709"/>
        <w:tab w:val="right" w:leader="dot" w:pos="8647"/>
      </w:tabs>
      <w:spacing w:line="360" w:lineRule="auto"/>
    </w:pPr>
    <w:rPr>
      <w:b/>
      <w:sz w:val="28"/>
    </w:rPr>
  </w:style>
  <w:style w:type="paragraph" w:styleId="23">
    <w:name w:val="toc 2"/>
    <w:basedOn w:val="1"/>
    <w:next w:val="1"/>
    <w:autoRedefine/>
    <w:qFormat/>
    <w:locked/>
    <w:uiPriority w:val="39"/>
    <w:pPr>
      <w:tabs>
        <w:tab w:val="right" w:leader="dot" w:pos="8647"/>
      </w:tabs>
      <w:ind w:firstLine="480" w:firstLineChars="200"/>
    </w:pPr>
  </w:style>
  <w:style w:type="paragraph" w:styleId="24">
    <w:name w:val="Normal (Web)"/>
    <w:basedOn w:val="1"/>
    <w:link w:val="55"/>
    <w:qFormat/>
    <w:uiPriority w:val="0"/>
    <w:pPr>
      <w:widowControl/>
      <w:spacing w:before="100" w:beforeAutospacing="1" w:after="100" w:afterAutospacing="1"/>
      <w:jc w:val="left"/>
    </w:pPr>
    <w:rPr>
      <w:rFonts w:ascii="宋体" w:hAnsi="宋体"/>
      <w:kern w:val="0"/>
      <w:szCs w:val="20"/>
    </w:rPr>
  </w:style>
  <w:style w:type="paragraph" w:styleId="25">
    <w:name w:val="annotation subject"/>
    <w:basedOn w:val="12"/>
    <w:next w:val="12"/>
    <w:link w:val="56"/>
    <w:semiHidden/>
    <w:qFormat/>
    <w:uiPriority w:val="0"/>
    <w:rPr>
      <w:b/>
    </w:rPr>
  </w:style>
  <w:style w:type="paragraph" w:styleId="26">
    <w:name w:val="Body Text First Indent"/>
    <w:basedOn w:val="13"/>
    <w:link w:val="82"/>
    <w:qFormat/>
    <w:locked/>
    <w:uiPriority w:val="0"/>
    <w:pPr>
      <w:widowControl w:val="0"/>
      <w:snapToGrid/>
      <w:spacing w:before="0" w:after="120" w:line="360" w:lineRule="auto"/>
      <w:ind w:right="0" w:firstLine="420" w:firstLineChars="100"/>
    </w:pPr>
    <w:rPr>
      <w:kern w:val="2"/>
      <w:sz w:val="24"/>
      <w:szCs w:val="24"/>
    </w:rPr>
  </w:style>
  <w:style w:type="paragraph" w:styleId="27">
    <w:name w:val="Body Text First Indent 2"/>
    <w:basedOn w:val="14"/>
    <w:semiHidden/>
    <w:unhideWhenUsed/>
    <w:qFormat/>
    <w:locked/>
    <w:uiPriority w:val="99"/>
    <w:pPr>
      <w:ind w:firstLine="420" w:firstLineChars="200"/>
    </w:pPr>
  </w:style>
  <w:style w:type="table" w:styleId="29">
    <w:name w:val="Table Grid"/>
    <w:basedOn w:val="28"/>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1">
    <w:name w:val="Strong"/>
    <w:basedOn w:val="30"/>
    <w:qFormat/>
    <w:locked/>
    <w:uiPriority w:val="0"/>
    <w:rPr>
      <w:b/>
    </w:rPr>
  </w:style>
  <w:style w:type="character" w:styleId="32">
    <w:name w:val="page number"/>
    <w:qFormat/>
    <w:locked/>
    <w:uiPriority w:val="0"/>
  </w:style>
  <w:style w:type="character" w:styleId="33">
    <w:name w:val="FollowedHyperlink"/>
    <w:unhideWhenUsed/>
    <w:qFormat/>
    <w:locked/>
    <w:uiPriority w:val="99"/>
    <w:rPr>
      <w:color w:val="800080"/>
      <w:u w:val="single"/>
    </w:rPr>
  </w:style>
  <w:style w:type="character" w:styleId="34">
    <w:name w:val="Hyperlink"/>
    <w:qFormat/>
    <w:locked/>
    <w:uiPriority w:val="99"/>
    <w:rPr>
      <w:color w:val="0000FF"/>
      <w:u w:val="single"/>
    </w:rPr>
  </w:style>
  <w:style w:type="character" w:styleId="35">
    <w:name w:val="annotation reference"/>
    <w:semiHidden/>
    <w:qFormat/>
    <w:uiPriority w:val="0"/>
    <w:rPr>
      <w:sz w:val="21"/>
    </w:rPr>
  </w:style>
  <w:style w:type="character" w:customStyle="1" w:styleId="36">
    <w:name w:val="标题 3 Char"/>
    <w:link w:val="4"/>
    <w:qFormat/>
    <w:uiPriority w:val="0"/>
    <w:rPr>
      <w:b/>
      <w:kern w:val="2"/>
      <w:sz w:val="28"/>
      <w:szCs w:val="28"/>
    </w:rPr>
  </w:style>
  <w:style w:type="character" w:customStyle="1" w:styleId="37">
    <w:name w:val="标题 4 Char"/>
    <w:link w:val="5"/>
    <w:qFormat/>
    <w:uiPriority w:val="99"/>
    <w:rPr>
      <w:b/>
      <w:kern w:val="2"/>
      <w:sz w:val="24"/>
      <w:szCs w:val="24"/>
    </w:rPr>
  </w:style>
  <w:style w:type="character" w:customStyle="1" w:styleId="38">
    <w:name w:val="标题 2 Char"/>
    <w:link w:val="3"/>
    <w:qFormat/>
    <w:uiPriority w:val="0"/>
    <w:rPr>
      <w:b/>
      <w:bCs/>
      <w:kern w:val="2"/>
      <w:sz w:val="30"/>
      <w:szCs w:val="30"/>
    </w:rPr>
  </w:style>
  <w:style w:type="character" w:customStyle="1" w:styleId="39">
    <w:name w:val="标题 6 Char"/>
    <w:link w:val="7"/>
    <w:qFormat/>
    <w:uiPriority w:val="0"/>
    <w:rPr>
      <w:rFonts w:ascii="宋体" w:hAnsi="宋体"/>
      <w:b/>
      <w:bCs/>
      <w:kern w:val="2"/>
      <w:sz w:val="24"/>
      <w:szCs w:val="24"/>
    </w:rPr>
  </w:style>
  <w:style w:type="character" w:customStyle="1" w:styleId="40">
    <w:name w:val="标题 5 Char"/>
    <w:link w:val="6"/>
    <w:qFormat/>
    <w:uiPriority w:val="99"/>
    <w:rPr>
      <w:b/>
      <w:bCs/>
      <w:kern w:val="2"/>
      <w:sz w:val="28"/>
      <w:szCs w:val="28"/>
    </w:rPr>
  </w:style>
  <w:style w:type="paragraph" w:customStyle="1" w:styleId="41">
    <w:name w:val="标题5-MB"/>
    <w:basedOn w:val="6"/>
    <w:next w:val="1"/>
    <w:link w:val="42"/>
    <w:qFormat/>
    <w:uiPriority w:val="0"/>
    <w:pPr>
      <w:numPr>
        <w:ilvl w:val="4"/>
        <w:numId w:val="1"/>
      </w:numPr>
      <w:spacing w:beforeLines="50" w:after="0" w:line="240" w:lineRule="auto"/>
      <w:jc w:val="center"/>
    </w:pPr>
    <w:rPr>
      <w:rFonts w:eastAsia="黑体"/>
      <w:kern w:val="0"/>
      <w:sz w:val="21"/>
      <w:lang w:val="zh-CN"/>
    </w:rPr>
  </w:style>
  <w:style w:type="character" w:customStyle="1" w:styleId="42">
    <w:name w:val="标题5-MB 字符"/>
    <w:link w:val="41"/>
    <w:qFormat/>
    <w:uiPriority w:val="0"/>
    <w:rPr>
      <w:rFonts w:eastAsia="黑体"/>
      <w:b/>
      <w:bCs/>
      <w:sz w:val="21"/>
      <w:szCs w:val="28"/>
      <w:lang w:val="zh-CN"/>
    </w:rPr>
  </w:style>
  <w:style w:type="paragraph" w:customStyle="1" w:styleId="43">
    <w:name w:val="标题1-MB"/>
    <w:basedOn w:val="2"/>
    <w:next w:val="26"/>
    <w:qFormat/>
    <w:uiPriority w:val="0"/>
    <w:pPr>
      <w:keepLines/>
      <w:overflowPunct/>
      <w:snapToGrid/>
      <w:spacing w:before="0" w:after="0" w:line="360" w:lineRule="auto"/>
      <w:ind w:left="0" w:firstLine="0"/>
    </w:pPr>
    <w:rPr>
      <w:rFonts w:eastAsia="宋体"/>
      <w:color w:val="auto"/>
      <w:sz w:val="32"/>
      <w:szCs w:val="44"/>
      <w:lang w:val="zh-CN"/>
    </w:rPr>
  </w:style>
  <w:style w:type="paragraph" w:customStyle="1" w:styleId="44">
    <w:name w:val="标题2-MB"/>
    <w:basedOn w:val="3"/>
    <w:next w:val="26"/>
    <w:qFormat/>
    <w:uiPriority w:val="0"/>
    <w:pPr>
      <w:keepNext/>
      <w:keepLines/>
      <w:numPr>
        <w:ilvl w:val="1"/>
        <w:numId w:val="1"/>
      </w:numPr>
      <w:spacing w:before="0" w:after="0"/>
      <w:ind w:left="0"/>
    </w:pPr>
    <w:rPr>
      <w:kern w:val="0"/>
      <w:szCs w:val="32"/>
    </w:rPr>
  </w:style>
  <w:style w:type="paragraph" w:customStyle="1" w:styleId="45">
    <w:name w:val="标题3-MB"/>
    <w:basedOn w:val="4"/>
    <w:next w:val="26"/>
    <w:qFormat/>
    <w:uiPriority w:val="0"/>
    <w:pPr>
      <w:keepNext/>
      <w:keepLines/>
      <w:numPr>
        <w:ilvl w:val="2"/>
        <w:numId w:val="1"/>
      </w:numPr>
      <w:spacing w:beforeLines="50" w:after="0"/>
    </w:pPr>
    <w:rPr>
      <w:bCs/>
      <w:kern w:val="0"/>
      <w:szCs w:val="32"/>
    </w:rPr>
  </w:style>
  <w:style w:type="paragraph" w:customStyle="1" w:styleId="46">
    <w:name w:val="标题4-MB"/>
    <w:basedOn w:val="5"/>
    <w:next w:val="26"/>
    <w:qFormat/>
    <w:uiPriority w:val="0"/>
    <w:pPr>
      <w:keepNext/>
      <w:keepLines/>
      <w:numPr>
        <w:ilvl w:val="3"/>
        <w:numId w:val="1"/>
      </w:numPr>
    </w:pPr>
    <w:rPr>
      <w:bCs/>
      <w:szCs w:val="28"/>
      <w:lang w:val="zh-CN"/>
    </w:rPr>
  </w:style>
  <w:style w:type="paragraph" w:customStyle="1" w:styleId="47">
    <w:name w:val="标题6-MB"/>
    <w:basedOn w:val="7"/>
    <w:next w:val="26"/>
    <w:qFormat/>
    <w:uiPriority w:val="0"/>
    <w:pPr>
      <w:numPr>
        <w:ilvl w:val="5"/>
        <w:numId w:val="1"/>
      </w:numPr>
      <w:spacing w:before="0" w:after="0" w:line="240" w:lineRule="auto"/>
    </w:pPr>
    <w:rPr>
      <w:rFonts w:ascii="Times New Roman" w:hAnsi="Times New Roman" w:eastAsia="黑体"/>
      <w:sz w:val="21"/>
      <w:lang w:val="zh-CN"/>
    </w:rPr>
  </w:style>
  <w:style w:type="character" w:customStyle="1" w:styleId="48">
    <w:name w:val="批注文字 Char"/>
    <w:link w:val="12"/>
    <w:qFormat/>
    <w:locked/>
    <w:uiPriority w:val="0"/>
    <w:rPr>
      <w:rFonts w:ascii="Times New Roman" w:hAnsi="Times New Roman" w:eastAsia="宋体"/>
      <w:sz w:val="24"/>
    </w:rPr>
  </w:style>
  <w:style w:type="character" w:customStyle="1" w:styleId="49">
    <w:name w:val="正文文本 Char"/>
    <w:link w:val="13"/>
    <w:qFormat/>
    <w:locked/>
    <w:uiPriority w:val="0"/>
    <w:rPr>
      <w:sz w:val="18"/>
    </w:rPr>
  </w:style>
  <w:style w:type="character" w:customStyle="1" w:styleId="50">
    <w:name w:val="正文文本缩进 Char"/>
    <w:link w:val="14"/>
    <w:semiHidden/>
    <w:qFormat/>
    <w:locked/>
    <w:uiPriority w:val="0"/>
    <w:rPr>
      <w:rFonts w:ascii="Times New Roman" w:hAnsi="Times New Roman" w:eastAsia="宋体"/>
      <w:sz w:val="24"/>
    </w:rPr>
  </w:style>
  <w:style w:type="character" w:customStyle="1" w:styleId="51">
    <w:name w:val="日期 Char"/>
    <w:link w:val="17"/>
    <w:qFormat/>
    <w:locked/>
    <w:uiPriority w:val="0"/>
    <w:rPr>
      <w:rFonts w:ascii="Times New Roman" w:hAnsi="Times New Roman" w:eastAsia="宋体"/>
      <w:sz w:val="24"/>
    </w:rPr>
  </w:style>
  <w:style w:type="character" w:customStyle="1" w:styleId="52">
    <w:name w:val="批注框文本 Char"/>
    <w:link w:val="19"/>
    <w:semiHidden/>
    <w:qFormat/>
    <w:locked/>
    <w:uiPriority w:val="0"/>
    <w:rPr>
      <w:rFonts w:ascii="Times New Roman" w:hAnsi="Times New Roman" w:eastAsia="宋体"/>
      <w:sz w:val="18"/>
    </w:rPr>
  </w:style>
  <w:style w:type="character" w:customStyle="1" w:styleId="53">
    <w:name w:val="页脚 Char"/>
    <w:link w:val="20"/>
    <w:qFormat/>
    <w:locked/>
    <w:uiPriority w:val="99"/>
    <w:rPr>
      <w:sz w:val="18"/>
    </w:rPr>
  </w:style>
  <w:style w:type="character" w:customStyle="1" w:styleId="54">
    <w:name w:val="页眉 Char"/>
    <w:link w:val="21"/>
    <w:qFormat/>
    <w:locked/>
    <w:uiPriority w:val="0"/>
    <w:rPr>
      <w:sz w:val="18"/>
    </w:rPr>
  </w:style>
  <w:style w:type="character" w:customStyle="1" w:styleId="55">
    <w:name w:val="普通(网站) Char"/>
    <w:link w:val="24"/>
    <w:qFormat/>
    <w:locked/>
    <w:uiPriority w:val="0"/>
    <w:rPr>
      <w:rFonts w:ascii="宋体" w:hAnsi="宋体" w:eastAsia="宋体"/>
      <w:sz w:val="24"/>
    </w:rPr>
  </w:style>
  <w:style w:type="character" w:customStyle="1" w:styleId="56">
    <w:name w:val="批注主题 Char"/>
    <w:link w:val="25"/>
    <w:semiHidden/>
    <w:qFormat/>
    <w:locked/>
    <w:uiPriority w:val="0"/>
    <w:rPr>
      <w:rFonts w:ascii="Times New Roman" w:hAnsi="Times New Roman" w:eastAsia="宋体"/>
      <w:b/>
      <w:kern w:val="2"/>
      <w:sz w:val="24"/>
    </w:rPr>
  </w:style>
  <w:style w:type="character" w:customStyle="1" w:styleId="57">
    <w:name w:val="页脚 字符"/>
    <w:qFormat/>
    <w:uiPriority w:val="99"/>
  </w:style>
  <w:style w:type="character" w:customStyle="1" w:styleId="58">
    <w:name w:val="正文文本 字符1"/>
    <w:semiHidden/>
    <w:qFormat/>
    <w:uiPriority w:val="0"/>
    <w:rPr>
      <w:rFonts w:ascii="Times New Roman" w:hAnsi="Times New Roman" w:eastAsia="宋体"/>
      <w:sz w:val="24"/>
    </w:rPr>
  </w:style>
  <w:style w:type="character" w:customStyle="1" w:styleId="59">
    <w:name w:val="表格 Char"/>
    <w:link w:val="60"/>
    <w:qFormat/>
    <w:locked/>
    <w:uiPriority w:val="0"/>
    <w:rPr>
      <w:rFonts w:ascii="宋体"/>
      <w:sz w:val="21"/>
    </w:rPr>
  </w:style>
  <w:style w:type="paragraph" w:customStyle="1" w:styleId="60">
    <w:name w:val="表格"/>
    <w:basedOn w:val="1"/>
    <w:next w:val="1"/>
    <w:link w:val="59"/>
    <w:qFormat/>
    <w:uiPriority w:val="0"/>
    <w:pPr>
      <w:adjustRightInd w:val="0"/>
      <w:snapToGrid w:val="0"/>
      <w:spacing w:beforeLines="10" w:afterLines="10" w:line="259" w:lineRule="auto"/>
      <w:jc w:val="center"/>
    </w:pPr>
    <w:rPr>
      <w:rFonts w:ascii="宋体"/>
      <w:kern w:val="0"/>
      <w:szCs w:val="20"/>
    </w:rPr>
  </w:style>
  <w:style w:type="character" w:customStyle="1" w:styleId="61">
    <w:name w:val="日期 字符"/>
    <w:semiHidden/>
    <w:qFormat/>
    <w:uiPriority w:val="0"/>
    <w:rPr>
      <w:rFonts w:ascii="Times New Roman" w:hAnsi="Times New Roman" w:eastAsia="宋体"/>
      <w:sz w:val="24"/>
    </w:rPr>
  </w:style>
  <w:style w:type="character" w:customStyle="1" w:styleId="62">
    <w:name w:val="批注文字 字符1"/>
    <w:semiHidden/>
    <w:qFormat/>
    <w:uiPriority w:val="0"/>
    <w:rPr>
      <w:rFonts w:ascii="Times New Roman" w:hAnsi="Times New Roman" w:eastAsia="宋体"/>
      <w:sz w:val="24"/>
    </w:rPr>
  </w:style>
  <w:style w:type="paragraph" w:customStyle="1" w:styleId="63">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4">
    <w:name w:val="普通(网站)2"/>
    <w:basedOn w:val="1"/>
    <w:qFormat/>
    <w:uiPriority w:val="0"/>
    <w:pPr>
      <w:widowControl/>
      <w:spacing w:before="100" w:beforeAutospacing="1" w:after="100" w:afterAutospacing="1"/>
      <w:jc w:val="left"/>
    </w:pPr>
    <w:rPr>
      <w:rFonts w:ascii="宋体" w:hAnsi="宋体"/>
      <w:szCs w:val="20"/>
    </w:rPr>
  </w:style>
  <w:style w:type="table" w:customStyle="1" w:styleId="65">
    <w:name w:val="Table Normal"/>
    <w:unhideWhenUsed/>
    <w:qFormat/>
    <w:uiPriority w:val="2"/>
    <w:pPr>
      <w:widowControl w:val="0"/>
    </w:pPr>
    <w:rPr>
      <w:rFonts w:ascii="等线" w:hAnsi="等线" w:eastAsia="等线"/>
      <w:sz w:val="22"/>
      <w:szCs w:val="22"/>
      <w:lang w:eastAsia="en-US"/>
    </w:rPr>
    <w:tblPr>
      <w:tblCellMar>
        <w:top w:w="0" w:type="dxa"/>
        <w:left w:w="0" w:type="dxa"/>
        <w:bottom w:w="0" w:type="dxa"/>
        <w:right w:w="0" w:type="dxa"/>
      </w:tblCellMar>
    </w:tblPr>
  </w:style>
  <w:style w:type="paragraph" w:customStyle="1" w:styleId="66">
    <w:name w:val="正文(首行缩进)"/>
    <w:basedOn w:val="1"/>
    <w:link w:val="67"/>
    <w:qFormat/>
    <w:uiPriority w:val="0"/>
    <w:pPr>
      <w:adjustRightInd w:val="0"/>
      <w:snapToGrid w:val="0"/>
      <w:spacing w:line="480" w:lineRule="exact"/>
      <w:ind w:firstLine="200" w:firstLineChars="200"/>
    </w:pPr>
    <w:rPr>
      <w:snapToGrid w:val="0"/>
      <w:kern w:val="0"/>
    </w:rPr>
  </w:style>
  <w:style w:type="character" w:customStyle="1" w:styleId="67">
    <w:name w:val="正文(首行缩进) Char"/>
    <w:link w:val="66"/>
    <w:qFormat/>
    <w:uiPriority w:val="0"/>
    <w:rPr>
      <w:snapToGrid w:val="0"/>
      <w:sz w:val="24"/>
      <w:szCs w:val="24"/>
    </w:rPr>
  </w:style>
  <w:style w:type="table" w:customStyle="1" w:styleId="68">
    <w:name w:val="网格型!231"/>
    <w:unhideWhenUsed/>
    <w:qFormat/>
    <w:uiPriority w:val="99"/>
    <w:pPr>
      <w:widowControl w:val="0"/>
      <w:jc w:val="both"/>
    </w:pPr>
    <w:rPr>
      <w:sz w:val="21"/>
    </w:rPr>
    <w:tblPr>
      <w:jc w:val="center"/>
      <w:tblBorders>
        <w:top w:val="single" w:color="auto" w:sz="12" w:space="0"/>
        <w:bottom w:val="single" w:color="auto" w:sz="12" w:space="0"/>
        <w:insideH w:val="single" w:color="auto" w:sz="4" w:space="0"/>
        <w:insideV w:val="single" w:color="auto" w:sz="4" w:space="0"/>
      </w:tblBorders>
      <w:tblCellMar>
        <w:top w:w="0" w:type="dxa"/>
        <w:left w:w="0" w:type="dxa"/>
        <w:bottom w:w="0" w:type="dxa"/>
        <w:right w:w="0" w:type="dxa"/>
      </w:tblCellMar>
    </w:tblPr>
    <w:trPr>
      <w:jc w:val="center"/>
    </w:trPr>
    <w:tcPr>
      <w:vAlign w:val="center"/>
    </w:tcPr>
  </w:style>
  <w:style w:type="character" w:customStyle="1" w:styleId="69">
    <w:name w:val="正文(首行缩进) Char1"/>
    <w:qFormat/>
    <w:uiPriority w:val="0"/>
    <w:rPr>
      <w:color w:val="000000"/>
      <w:sz w:val="24"/>
      <w:szCs w:val="24"/>
    </w:rPr>
  </w:style>
  <w:style w:type="character" w:customStyle="1" w:styleId="70">
    <w:name w:val="样式 正文@ + 首行缩进:  2 字符2 Char"/>
    <w:link w:val="71"/>
    <w:qFormat/>
    <w:uiPriority w:val="0"/>
    <w:rPr>
      <w:rFonts w:ascii="宋体" w:hAnsi="宋体" w:cs="宋体"/>
      <w:sz w:val="24"/>
    </w:rPr>
  </w:style>
  <w:style w:type="paragraph" w:customStyle="1" w:styleId="71">
    <w:name w:val="样式 正文@ + 首行缩进:  2 字符2"/>
    <w:basedOn w:val="1"/>
    <w:link w:val="70"/>
    <w:qFormat/>
    <w:uiPriority w:val="0"/>
    <w:pPr>
      <w:spacing w:line="360" w:lineRule="auto"/>
      <w:ind w:firstLine="480" w:firstLineChars="200"/>
    </w:pPr>
    <w:rPr>
      <w:rFonts w:ascii="宋体" w:hAnsi="宋体" w:cs="宋体"/>
      <w:kern w:val="0"/>
      <w:szCs w:val="20"/>
    </w:rPr>
  </w:style>
  <w:style w:type="character" w:customStyle="1" w:styleId="72">
    <w:name w:val="表格内-MB 字符"/>
    <w:link w:val="73"/>
    <w:qFormat/>
    <w:locked/>
    <w:uiPriority w:val="0"/>
    <w:rPr>
      <w:kern w:val="2"/>
      <w:sz w:val="21"/>
      <w:szCs w:val="22"/>
    </w:rPr>
  </w:style>
  <w:style w:type="paragraph" w:customStyle="1" w:styleId="73">
    <w:name w:val="表格内-MB"/>
    <w:basedOn w:val="1"/>
    <w:link w:val="72"/>
    <w:qFormat/>
    <w:uiPriority w:val="0"/>
    <w:pPr>
      <w:widowControl/>
      <w:adjustRightInd w:val="0"/>
      <w:snapToGrid w:val="0"/>
      <w:contextualSpacing/>
      <w:jc w:val="center"/>
    </w:pPr>
    <w:rPr>
      <w:sz w:val="21"/>
      <w:szCs w:val="22"/>
    </w:rPr>
  </w:style>
  <w:style w:type="character" w:customStyle="1" w:styleId="74">
    <w:name w:val="Body text (2)_"/>
    <w:link w:val="75"/>
    <w:qFormat/>
    <w:uiPriority w:val="0"/>
    <w:rPr>
      <w:rFonts w:ascii="宋体" w:hAnsi="宋体" w:cs="宋体"/>
    </w:rPr>
  </w:style>
  <w:style w:type="paragraph" w:customStyle="1" w:styleId="75">
    <w:name w:val="Body text (2)"/>
    <w:basedOn w:val="1"/>
    <w:link w:val="74"/>
    <w:qFormat/>
    <w:uiPriority w:val="0"/>
    <w:pPr>
      <w:spacing w:line="545" w:lineRule="exact"/>
      <w:ind w:firstLine="580"/>
      <w:jc w:val="left"/>
    </w:pPr>
    <w:rPr>
      <w:rFonts w:ascii="宋体" w:hAnsi="宋体" w:cs="宋体"/>
      <w:kern w:val="0"/>
      <w:sz w:val="20"/>
      <w:szCs w:val="20"/>
    </w:rPr>
  </w:style>
  <w:style w:type="paragraph" w:customStyle="1" w:styleId="76">
    <w:name w:val="表内"/>
    <w:basedOn w:val="16"/>
    <w:link w:val="77"/>
    <w:qFormat/>
    <w:uiPriority w:val="0"/>
    <w:pPr>
      <w:adjustRightInd w:val="0"/>
      <w:snapToGrid w:val="0"/>
      <w:jc w:val="center"/>
    </w:pPr>
    <w:rPr>
      <w:rFonts w:ascii="Times New Roman" w:hAnsi="Times New Roman"/>
    </w:rPr>
  </w:style>
  <w:style w:type="character" w:customStyle="1" w:styleId="77">
    <w:name w:val="表内 字符"/>
    <w:link w:val="76"/>
    <w:qFormat/>
    <w:uiPriority w:val="0"/>
    <w:rPr>
      <w:rFonts w:cs="Courier New"/>
      <w:kern w:val="2"/>
      <w:sz w:val="21"/>
      <w:szCs w:val="21"/>
    </w:rPr>
  </w:style>
  <w:style w:type="table" w:customStyle="1" w:styleId="78">
    <w:name w:val="样式2"/>
    <w:basedOn w:val="28"/>
    <w:qFormat/>
    <w:uiPriority w:val="0"/>
    <w:rPr>
      <w:sz w:val="21"/>
    </w:rPr>
    <w:tblPr>
      <w:jc w:val="center"/>
      <w:tblBorders>
        <w:top w:val="single" w:color="auto" w:sz="12" w:space="0"/>
        <w:bottom w:val="single" w:color="auto" w:sz="12" w:space="0"/>
        <w:insideH w:val="single" w:color="auto" w:sz="6" w:space="0"/>
        <w:insideV w:val="single" w:color="auto" w:sz="6" w:space="0"/>
      </w:tblBorders>
      <w:tblCellMar>
        <w:top w:w="0" w:type="dxa"/>
        <w:left w:w="108" w:type="dxa"/>
        <w:bottom w:w="0" w:type="dxa"/>
        <w:right w:w="108" w:type="dxa"/>
      </w:tblCellMar>
    </w:tblPr>
    <w:trPr>
      <w:jc w:val="center"/>
    </w:trPr>
    <w:tcPr>
      <w:vAlign w:val="center"/>
    </w:tcPr>
  </w:style>
  <w:style w:type="character" w:customStyle="1" w:styleId="79">
    <w:name w:val="纯文本 Char"/>
    <w:link w:val="16"/>
    <w:qFormat/>
    <w:uiPriority w:val="0"/>
    <w:rPr>
      <w:rFonts w:ascii="宋体" w:hAnsi="Courier New" w:cs="Courier New"/>
      <w:kern w:val="2"/>
      <w:sz w:val="21"/>
      <w:szCs w:val="21"/>
    </w:rPr>
  </w:style>
  <w:style w:type="character" w:customStyle="1" w:styleId="80">
    <w:name w:val="标题 7 Char"/>
    <w:link w:val="8"/>
    <w:qFormat/>
    <w:uiPriority w:val="0"/>
    <w:rPr>
      <w:b/>
      <w:bCs/>
      <w:kern w:val="2"/>
      <w:sz w:val="24"/>
      <w:szCs w:val="24"/>
    </w:rPr>
  </w:style>
  <w:style w:type="paragraph" w:customStyle="1" w:styleId="81">
    <w:name w:val="char"/>
    <w:basedOn w:val="1"/>
    <w:autoRedefine/>
    <w:qFormat/>
    <w:uiPriority w:val="0"/>
    <w:pPr>
      <w:widowControl/>
      <w:spacing w:after="160" w:line="360" w:lineRule="auto"/>
      <w:ind w:firstLine="480" w:firstLineChars="200"/>
      <w:jc w:val="center"/>
    </w:pPr>
    <w:rPr>
      <w:b/>
      <w:kern w:val="0"/>
      <w:sz w:val="28"/>
      <w:szCs w:val="28"/>
      <w:lang w:eastAsia="en-US"/>
    </w:rPr>
  </w:style>
  <w:style w:type="character" w:customStyle="1" w:styleId="82">
    <w:name w:val="正文首行缩进 Char"/>
    <w:link w:val="26"/>
    <w:qFormat/>
    <w:uiPriority w:val="0"/>
    <w:rPr>
      <w:kern w:val="2"/>
      <w:sz w:val="24"/>
      <w:szCs w:val="24"/>
    </w:rPr>
  </w:style>
  <w:style w:type="paragraph" w:customStyle="1" w:styleId="83">
    <w:name w:val="font5"/>
    <w:basedOn w:val="1"/>
    <w:qFormat/>
    <w:uiPriority w:val="0"/>
    <w:pPr>
      <w:widowControl/>
      <w:spacing w:before="100" w:beforeAutospacing="1" w:after="100" w:afterAutospacing="1" w:line="360" w:lineRule="auto"/>
      <w:ind w:firstLine="480" w:firstLineChars="200"/>
      <w:jc w:val="left"/>
    </w:pPr>
    <w:rPr>
      <w:rFonts w:hint="eastAsia" w:ascii="宋体" w:hAnsi="宋体" w:cs="Arial Unicode MS"/>
      <w:kern w:val="0"/>
      <w:sz w:val="18"/>
      <w:szCs w:val="18"/>
    </w:rPr>
  </w:style>
  <w:style w:type="character" w:customStyle="1" w:styleId="84">
    <w:name w:val="正文文本缩进 2 Char"/>
    <w:link w:val="18"/>
    <w:qFormat/>
    <w:uiPriority w:val="0"/>
    <w:rPr>
      <w:kern w:val="2"/>
      <w:sz w:val="24"/>
      <w:szCs w:val="24"/>
    </w:rPr>
  </w:style>
  <w:style w:type="paragraph" w:customStyle="1" w:styleId="85">
    <w:name w:val="表格文字"/>
    <w:basedOn w:val="6"/>
    <w:link w:val="91"/>
    <w:qFormat/>
    <w:uiPriority w:val="0"/>
    <w:pPr>
      <w:keepNext w:val="0"/>
      <w:keepLines w:val="0"/>
      <w:widowControl/>
      <w:snapToGrid w:val="0"/>
      <w:spacing w:before="0" w:after="0" w:line="400" w:lineRule="exact"/>
    </w:pPr>
    <w:rPr>
      <w:b w:val="0"/>
      <w:bCs w:val="0"/>
      <w:sz w:val="21"/>
      <w:szCs w:val="20"/>
    </w:rPr>
  </w:style>
  <w:style w:type="paragraph" w:customStyle="1" w:styleId="86">
    <w:name w:val="表名"/>
    <w:basedOn w:val="1"/>
    <w:link w:val="89"/>
    <w:qFormat/>
    <w:uiPriority w:val="0"/>
    <w:pPr>
      <w:adjustRightInd w:val="0"/>
      <w:spacing w:line="360" w:lineRule="auto"/>
      <w:ind w:firstLine="482" w:firstLineChars="200"/>
      <w:jc w:val="center"/>
      <w:textAlignment w:val="baseline"/>
    </w:pPr>
    <w:rPr>
      <w:kern w:val="0"/>
      <w:szCs w:val="20"/>
    </w:rPr>
  </w:style>
  <w:style w:type="paragraph" w:customStyle="1" w:styleId="87">
    <w:name w:val="表头"/>
    <w:basedOn w:val="85"/>
    <w:next w:val="85"/>
    <w:qFormat/>
    <w:uiPriority w:val="0"/>
    <w:pPr>
      <w:widowControl w:val="0"/>
      <w:topLinePunct/>
      <w:snapToGrid/>
      <w:spacing w:line="360" w:lineRule="exact"/>
      <w:jc w:val="center"/>
      <w:outlineLvl w:val="9"/>
    </w:pPr>
    <w:rPr>
      <w:kern w:val="0"/>
    </w:rPr>
  </w:style>
  <w:style w:type="paragraph" w:customStyle="1" w:styleId="88">
    <w:name w:val="Char"/>
    <w:basedOn w:val="1"/>
    <w:autoRedefine/>
    <w:qFormat/>
    <w:uiPriority w:val="0"/>
    <w:pPr>
      <w:adjustRightInd w:val="0"/>
      <w:snapToGrid w:val="0"/>
      <w:spacing w:line="360" w:lineRule="auto"/>
      <w:ind w:left="-45" w:firstLine="480" w:firstLineChars="200"/>
    </w:pPr>
  </w:style>
  <w:style w:type="character" w:customStyle="1" w:styleId="89">
    <w:name w:val="表名 Char"/>
    <w:link w:val="86"/>
    <w:qFormat/>
    <w:uiPriority w:val="0"/>
    <w:rPr>
      <w:sz w:val="24"/>
    </w:rPr>
  </w:style>
  <w:style w:type="paragraph" w:customStyle="1" w:styleId="90">
    <w:name w:val="a"/>
    <w:basedOn w:val="1"/>
    <w:qFormat/>
    <w:uiPriority w:val="0"/>
    <w:pPr>
      <w:widowControl/>
      <w:topLinePunct/>
      <w:spacing w:line="360" w:lineRule="atLeast"/>
      <w:ind w:firstLine="480" w:firstLineChars="200"/>
      <w:jc w:val="center"/>
    </w:pPr>
    <w:rPr>
      <w:kern w:val="0"/>
      <w:szCs w:val="21"/>
    </w:rPr>
  </w:style>
  <w:style w:type="character" w:customStyle="1" w:styleId="91">
    <w:name w:val="表格文字 Char"/>
    <w:link w:val="85"/>
    <w:qFormat/>
    <w:uiPriority w:val="0"/>
    <w:rPr>
      <w:kern w:val="2"/>
      <w:sz w:val="21"/>
    </w:rPr>
  </w:style>
  <w:style w:type="character" w:customStyle="1" w:styleId="92">
    <w:name w:val="文档结构图 Char"/>
    <w:link w:val="11"/>
    <w:qFormat/>
    <w:uiPriority w:val="0"/>
    <w:rPr>
      <w:kern w:val="2"/>
      <w:sz w:val="24"/>
      <w:szCs w:val="24"/>
      <w:shd w:val="clear" w:color="auto" w:fill="000080"/>
    </w:rPr>
  </w:style>
  <w:style w:type="paragraph" w:customStyle="1" w:styleId="93">
    <w:name w:val="Char Char Char1 Char1"/>
    <w:basedOn w:val="1"/>
    <w:autoRedefine/>
    <w:qFormat/>
    <w:uiPriority w:val="0"/>
    <w:pPr>
      <w:adjustRightInd w:val="0"/>
      <w:snapToGrid w:val="0"/>
      <w:spacing w:line="360" w:lineRule="auto"/>
      <w:ind w:left="-45" w:firstLine="480" w:firstLineChars="200"/>
    </w:pPr>
  </w:style>
  <w:style w:type="paragraph" w:customStyle="1" w:styleId="94">
    <w:name w:val="表格文字-左"/>
    <w:basedOn w:val="1"/>
    <w:qFormat/>
    <w:uiPriority w:val="0"/>
    <w:pPr>
      <w:widowControl/>
      <w:adjustRightInd w:val="0"/>
      <w:spacing w:line="360" w:lineRule="exact"/>
      <w:ind w:firstLine="480" w:firstLineChars="200"/>
      <w:textAlignment w:val="center"/>
    </w:pPr>
    <w:rPr>
      <w:kern w:val="0"/>
      <w:szCs w:val="21"/>
    </w:rPr>
  </w:style>
  <w:style w:type="paragraph" w:customStyle="1" w:styleId="95">
    <w:name w:val="样式1"/>
    <w:basedOn w:val="1"/>
    <w:autoRedefine/>
    <w:qFormat/>
    <w:uiPriority w:val="0"/>
    <w:pPr>
      <w:adjustRightInd w:val="0"/>
      <w:snapToGrid w:val="0"/>
      <w:spacing w:line="320" w:lineRule="exact"/>
      <w:ind w:firstLine="480" w:firstLineChars="200"/>
      <w:jc w:val="center"/>
    </w:pPr>
    <w:rPr>
      <w:rFonts w:ascii="黑体" w:eastAsia="黑体"/>
      <w:b/>
      <w:szCs w:val="21"/>
    </w:rPr>
  </w:style>
  <w:style w:type="paragraph" w:customStyle="1" w:styleId="96">
    <w:name w:val="xl43"/>
    <w:basedOn w:val="1"/>
    <w:qFormat/>
    <w:uiPriority w:val="0"/>
    <w:pPr>
      <w:widowControl/>
      <w:spacing w:before="100" w:beforeAutospacing="1" w:after="100" w:afterAutospacing="1" w:line="360" w:lineRule="auto"/>
      <w:ind w:firstLine="480" w:firstLineChars="200"/>
      <w:jc w:val="center"/>
      <w:textAlignment w:val="center"/>
    </w:pPr>
    <w:rPr>
      <w:rFonts w:ascii="宋体" w:hAnsi="宋体"/>
      <w:b/>
      <w:bCs/>
      <w:kern w:val="0"/>
    </w:rPr>
  </w:style>
  <w:style w:type="paragraph" w:customStyle="1" w:styleId="97">
    <w:name w:val="纯文本1"/>
    <w:basedOn w:val="1"/>
    <w:qFormat/>
    <w:uiPriority w:val="0"/>
    <w:pPr>
      <w:adjustRightInd w:val="0"/>
      <w:spacing w:line="360" w:lineRule="auto"/>
      <w:ind w:firstLine="480" w:firstLineChars="200"/>
      <w:jc w:val="left"/>
      <w:textAlignment w:val="baseline"/>
    </w:pPr>
    <w:rPr>
      <w:rFonts w:ascii="宋体" w:hAnsi="Courier New"/>
      <w:szCs w:val="20"/>
    </w:rPr>
  </w:style>
  <w:style w:type="paragraph" w:customStyle="1" w:styleId="98">
    <w:name w:val="表格1"/>
    <w:basedOn w:val="1"/>
    <w:qFormat/>
    <w:uiPriority w:val="0"/>
    <w:pPr>
      <w:adjustRightInd w:val="0"/>
      <w:spacing w:line="360" w:lineRule="auto"/>
      <w:ind w:firstLine="480" w:firstLineChars="200"/>
      <w:jc w:val="center"/>
      <w:textAlignment w:val="baseline"/>
    </w:pPr>
    <w:rPr>
      <w:rFonts w:ascii="宋体"/>
      <w:kern w:val="0"/>
      <w:szCs w:val="20"/>
    </w:rPr>
  </w:style>
  <w:style w:type="paragraph" w:customStyle="1" w:styleId="99">
    <w:name w:val="Char Char Char Char Char Char"/>
    <w:basedOn w:val="1"/>
    <w:qFormat/>
    <w:uiPriority w:val="0"/>
    <w:pPr>
      <w:widowControl/>
      <w:spacing w:after="160" w:line="240" w:lineRule="exact"/>
      <w:ind w:firstLine="480" w:firstLineChars="200"/>
      <w:jc w:val="left"/>
    </w:pPr>
    <w:rPr>
      <w:rFonts w:ascii="Arial" w:hAnsi="Arial" w:eastAsia="Times New Roman" w:cs="Verdana"/>
      <w:b/>
      <w:kern w:val="0"/>
      <w:szCs w:val="20"/>
      <w:lang w:eastAsia="en-US"/>
    </w:rPr>
  </w:style>
  <w:style w:type="paragraph" w:customStyle="1" w:styleId="100">
    <w:name w:val="表头字形"/>
    <w:basedOn w:val="8"/>
    <w:qFormat/>
    <w:uiPriority w:val="0"/>
    <w:pPr>
      <w:keepNext w:val="0"/>
      <w:keepLines w:val="0"/>
      <w:spacing w:before="0" w:after="0" w:line="360" w:lineRule="exact"/>
    </w:pPr>
    <w:rPr>
      <w:sz w:val="21"/>
      <w:szCs w:val="21"/>
    </w:rPr>
  </w:style>
  <w:style w:type="paragraph" w:customStyle="1" w:styleId="101">
    <w:name w:val="样式 (西文) 宋体 首行缩进:  2 字符"/>
    <w:basedOn w:val="1"/>
    <w:qFormat/>
    <w:uiPriority w:val="0"/>
    <w:pPr>
      <w:spacing w:line="360" w:lineRule="auto"/>
      <w:ind w:firstLine="200" w:firstLineChars="200"/>
    </w:pPr>
    <w:rPr>
      <w:rFonts w:ascii="宋体" w:hAnsi="宋体" w:cs="宋体"/>
      <w:szCs w:val="20"/>
    </w:rPr>
  </w:style>
  <w:style w:type="paragraph" w:customStyle="1" w:styleId="102">
    <w:name w:val="Char Char Char Char Char Char1 Char"/>
    <w:basedOn w:val="2"/>
    <w:next w:val="1"/>
    <w:qFormat/>
    <w:uiPriority w:val="0"/>
    <w:pPr>
      <w:keepNext w:val="0"/>
      <w:widowControl/>
      <w:overflowPunct/>
      <w:snapToGrid/>
      <w:spacing w:before="240" w:line="240" w:lineRule="exact"/>
      <w:ind w:left="0" w:firstLine="0"/>
      <w:jc w:val="left"/>
    </w:pPr>
    <w:rPr>
      <w:rFonts w:ascii="Arial" w:hAnsi="Arial" w:cs="Verdana"/>
      <w:bCs w:val="0"/>
      <w:smallCaps/>
      <w:color w:val="auto"/>
      <w:kern w:val="0"/>
      <w:sz w:val="24"/>
      <w:szCs w:val="20"/>
      <w:lang w:eastAsia="en-US"/>
    </w:rPr>
  </w:style>
  <w:style w:type="paragraph" w:customStyle="1" w:styleId="103">
    <w:name w:val="Char Char Char Char Char Char Char"/>
    <w:basedOn w:val="1"/>
    <w:qFormat/>
    <w:uiPriority w:val="0"/>
    <w:pPr>
      <w:spacing w:line="360" w:lineRule="auto"/>
      <w:ind w:firstLine="480" w:firstLineChars="200"/>
    </w:pPr>
  </w:style>
  <w:style w:type="paragraph" w:customStyle="1" w:styleId="104">
    <w:name w:val="Char Char Char Char Char Char Char Char Char Char"/>
    <w:basedOn w:val="1"/>
    <w:qFormat/>
    <w:uiPriority w:val="0"/>
    <w:pPr>
      <w:spacing w:line="360" w:lineRule="auto"/>
      <w:ind w:firstLine="480" w:firstLineChars="200"/>
    </w:pPr>
    <w:rPr>
      <w:sz w:val="28"/>
    </w:rPr>
  </w:style>
  <w:style w:type="paragraph" w:customStyle="1" w:styleId="105">
    <w:name w:val="Char4"/>
    <w:basedOn w:val="1"/>
    <w:autoRedefine/>
    <w:qFormat/>
    <w:uiPriority w:val="0"/>
    <w:pPr>
      <w:adjustRightInd w:val="0"/>
      <w:snapToGrid w:val="0"/>
      <w:spacing w:line="360" w:lineRule="auto"/>
      <w:ind w:left="-45" w:firstLine="480" w:firstLineChars="200"/>
    </w:pPr>
  </w:style>
  <w:style w:type="paragraph" w:customStyle="1" w:styleId="106">
    <w:name w:val="标题5"/>
    <w:basedOn w:val="6"/>
    <w:link w:val="108"/>
    <w:qFormat/>
    <w:uiPriority w:val="0"/>
    <w:pPr>
      <w:spacing w:before="0" w:after="0" w:line="240" w:lineRule="auto"/>
      <w:jc w:val="center"/>
    </w:pPr>
    <w:rPr>
      <w:sz w:val="21"/>
      <w:szCs w:val="21"/>
    </w:rPr>
  </w:style>
  <w:style w:type="paragraph" w:customStyle="1" w:styleId="107">
    <w:name w:val="标题6"/>
    <w:basedOn w:val="106"/>
    <w:link w:val="109"/>
    <w:qFormat/>
    <w:uiPriority w:val="0"/>
  </w:style>
  <w:style w:type="character" w:customStyle="1" w:styleId="108">
    <w:name w:val="标题5 字符"/>
    <w:link w:val="106"/>
    <w:qFormat/>
    <w:uiPriority w:val="0"/>
    <w:rPr>
      <w:b/>
      <w:bCs/>
      <w:kern w:val="2"/>
      <w:sz w:val="21"/>
      <w:szCs w:val="21"/>
    </w:rPr>
  </w:style>
  <w:style w:type="character" w:customStyle="1" w:styleId="109">
    <w:name w:val="标题6 字符"/>
    <w:link w:val="107"/>
    <w:qFormat/>
    <w:uiPriority w:val="0"/>
    <w:rPr>
      <w:b/>
      <w:bCs/>
      <w:kern w:val="2"/>
      <w:sz w:val="21"/>
      <w:szCs w:val="21"/>
    </w:rPr>
  </w:style>
  <w:style w:type="paragraph" w:customStyle="1" w:styleId="110">
    <w:name w:val="正文缩进3"/>
    <w:basedOn w:val="1"/>
    <w:next w:val="9"/>
    <w:link w:val="112"/>
    <w:qFormat/>
    <w:uiPriority w:val="0"/>
    <w:pPr>
      <w:spacing w:line="360" w:lineRule="auto"/>
      <w:ind w:firstLine="480" w:firstLineChars="200"/>
    </w:pPr>
  </w:style>
  <w:style w:type="paragraph" w:customStyle="1" w:styleId="111">
    <w:name w:val="图-MB"/>
    <w:basedOn w:val="16"/>
    <w:link w:val="114"/>
    <w:qFormat/>
    <w:uiPriority w:val="0"/>
    <w:pPr>
      <w:jc w:val="center"/>
    </w:pPr>
    <w:rPr>
      <w:rFonts w:ascii="Times New Roman" w:hAnsi="Times New Roman"/>
      <w:sz w:val="24"/>
    </w:rPr>
  </w:style>
  <w:style w:type="character" w:customStyle="1" w:styleId="112">
    <w:name w:val="正文缩进3 字符"/>
    <w:link w:val="110"/>
    <w:qFormat/>
    <w:uiPriority w:val="0"/>
    <w:rPr>
      <w:kern w:val="2"/>
      <w:sz w:val="24"/>
      <w:szCs w:val="24"/>
    </w:rPr>
  </w:style>
  <w:style w:type="paragraph" w:customStyle="1" w:styleId="113">
    <w:name w:val="样式 表标题4.9 + 居中"/>
    <w:basedOn w:val="1"/>
    <w:qFormat/>
    <w:uiPriority w:val="0"/>
    <w:pPr>
      <w:numPr>
        <w:ilvl w:val="0"/>
        <w:numId w:val="2"/>
      </w:numPr>
      <w:tabs>
        <w:tab w:val="center" w:pos="4060"/>
        <w:tab w:val="right" w:pos="8261"/>
      </w:tabs>
      <w:suppressAutoHyphens/>
      <w:adjustRightInd w:val="0"/>
      <w:spacing w:before="240" w:line="0" w:lineRule="atLeast"/>
      <w:ind w:firstLine="0"/>
      <w:jc w:val="center"/>
    </w:pPr>
    <w:rPr>
      <w:rFonts w:ascii="黑体" w:eastAsia="黑体" w:cs="宋体"/>
      <w:b/>
      <w:bCs/>
      <w:spacing w:val="6"/>
      <w:kern w:val="0"/>
      <w:sz w:val="26"/>
      <w:szCs w:val="20"/>
    </w:rPr>
  </w:style>
  <w:style w:type="character" w:customStyle="1" w:styleId="114">
    <w:name w:val="图-MB 字符"/>
    <w:link w:val="111"/>
    <w:qFormat/>
    <w:uiPriority w:val="0"/>
    <w:rPr>
      <w:rFonts w:cs="Courier New"/>
      <w:kern w:val="2"/>
      <w:sz w:val="24"/>
      <w:szCs w:val="21"/>
    </w:rPr>
  </w:style>
  <w:style w:type="paragraph" w:customStyle="1" w:styleId="115">
    <w:name w:val="正文格式"/>
    <w:link w:val="116"/>
    <w:qFormat/>
    <w:uiPriority w:val="0"/>
    <w:pPr>
      <w:spacing w:line="360" w:lineRule="auto"/>
      <w:ind w:firstLine="200" w:firstLineChars="200"/>
      <w:jc w:val="both"/>
    </w:pPr>
    <w:rPr>
      <w:rFonts w:ascii="Times New Roman" w:hAnsi="Times New Roman" w:eastAsia="宋体" w:cs="Times New Roman"/>
      <w:sz w:val="24"/>
      <w:szCs w:val="24"/>
      <w:lang w:val="en-US" w:eastAsia="zh-CN" w:bidi="ar-SA"/>
    </w:rPr>
  </w:style>
  <w:style w:type="character" w:customStyle="1" w:styleId="116">
    <w:name w:val="正文格式 字符"/>
    <w:link w:val="115"/>
    <w:qFormat/>
    <w:uiPriority w:val="0"/>
    <w:rPr>
      <w:sz w:val="24"/>
      <w:szCs w:val="24"/>
    </w:rPr>
  </w:style>
  <w:style w:type="paragraph" w:customStyle="1" w:styleId="117">
    <w:name w:val="表标5.8"/>
    <w:next w:val="60"/>
    <w:autoRedefine/>
    <w:qFormat/>
    <w:uiPriority w:val="0"/>
    <w:pPr>
      <w:numPr>
        <w:ilvl w:val="0"/>
        <w:numId w:val="3"/>
      </w:numPr>
      <w:tabs>
        <w:tab w:val="left" w:pos="8207"/>
      </w:tabs>
      <w:adjustRightInd w:val="0"/>
      <w:snapToGrid w:val="0"/>
      <w:spacing w:before="240" w:line="0" w:lineRule="atLeast"/>
      <w:jc w:val="center"/>
      <w:textAlignment w:val="baseline"/>
    </w:pPr>
    <w:rPr>
      <w:rFonts w:ascii="Times New Roman" w:hAnsi="Times New Roman" w:eastAsia="黑体" w:cs="Times New Roman"/>
      <w:b/>
      <w:color w:val="000000"/>
      <w:kern w:val="2"/>
      <w:sz w:val="24"/>
      <w:szCs w:val="24"/>
      <w:lang w:val="en-US" w:eastAsia="zh-CN" w:bidi="ar-SA"/>
    </w:rPr>
  </w:style>
  <w:style w:type="paragraph" w:customStyle="1" w:styleId="118">
    <w:name w:val="正文1"/>
    <w:qFormat/>
    <w:uiPriority w:val="0"/>
    <w:pPr>
      <w:jc w:val="both"/>
    </w:pPr>
    <w:rPr>
      <w:rFonts w:ascii="Times New Roman" w:hAnsi="Times New Roman" w:eastAsia="宋体" w:cs="Times New Roman"/>
      <w:kern w:val="2"/>
      <w:sz w:val="21"/>
      <w:szCs w:val="21"/>
      <w:lang w:val="en-US" w:eastAsia="zh-CN" w:bidi="ar-SA"/>
    </w:rPr>
  </w:style>
  <w:style w:type="paragraph" w:customStyle="1" w:styleId="119">
    <w:name w:val="统一正文格式"/>
    <w:qFormat/>
    <w:uiPriority w:val="0"/>
    <w:pPr>
      <w:widowControl w:val="0"/>
      <w:tabs>
        <w:tab w:val="left" w:pos="0"/>
      </w:tabs>
      <w:spacing w:line="460" w:lineRule="atLeast"/>
      <w:ind w:firstLine="200" w:firstLineChars="200"/>
      <w:jc w:val="both"/>
    </w:pPr>
    <w:rPr>
      <w:rFonts w:ascii="Times New Roman" w:hAnsi="Times New Roman" w:eastAsia="宋体" w:cs="宋体"/>
      <w:kern w:val="24"/>
      <w:sz w:val="24"/>
      <w:lang w:val="en-US" w:eastAsia="zh-CN" w:bidi="ar-SA"/>
    </w:rPr>
  </w:style>
  <w:style w:type="character" w:customStyle="1" w:styleId="120">
    <w:name w:val="font21"/>
    <w:qFormat/>
    <w:uiPriority w:val="0"/>
    <w:rPr>
      <w:rFonts w:hint="default" w:ascii="Times New Roman" w:hAnsi="Times New Roman" w:cs="Times New Roman"/>
      <w:color w:val="000000"/>
      <w:sz w:val="21"/>
      <w:szCs w:val="21"/>
      <w:u w:val="none"/>
    </w:rPr>
  </w:style>
  <w:style w:type="character" w:customStyle="1" w:styleId="121">
    <w:name w:val="font11"/>
    <w:qFormat/>
    <w:uiPriority w:val="0"/>
    <w:rPr>
      <w:rFonts w:hint="eastAsia" w:ascii="宋体" w:hAnsi="宋体" w:eastAsia="宋体" w:cs="宋体"/>
      <w:color w:val="000000"/>
      <w:sz w:val="21"/>
      <w:szCs w:val="21"/>
      <w:u w:val="none"/>
    </w:rPr>
  </w:style>
  <w:style w:type="character" w:customStyle="1" w:styleId="122">
    <w:name w:val="font31"/>
    <w:qFormat/>
    <w:uiPriority w:val="0"/>
    <w:rPr>
      <w:rFonts w:hint="eastAsia" w:ascii="宋体" w:hAnsi="宋体" w:eastAsia="宋体" w:cs="宋体"/>
      <w:color w:val="000000"/>
      <w:sz w:val="24"/>
      <w:szCs w:val="24"/>
      <w:u w:val="none"/>
    </w:rPr>
  </w:style>
  <w:style w:type="paragraph" w:customStyle="1" w:styleId="123">
    <w:name w:val="msonormal"/>
    <w:basedOn w:val="1"/>
    <w:qFormat/>
    <w:uiPriority w:val="0"/>
    <w:pPr>
      <w:widowControl/>
      <w:spacing w:before="100" w:beforeAutospacing="1" w:after="100" w:afterAutospacing="1"/>
      <w:jc w:val="left"/>
    </w:pPr>
    <w:rPr>
      <w:rFonts w:ascii="宋体" w:hAnsi="宋体" w:cs="宋体"/>
      <w:kern w:val="0"/>
    </w:rPr>
  </w:style>
  <w:style w:type="character" w:customStyle="1" w:styleId="124">
    <w:name w:val="font71"/>
    <w:qFormat/>
    <w:uiPriority w:val="0"/>
    <w:rPr>
      <w:rFonts w:hint="eastAsia" w:ascii="宋体" w:hAnsi="宋体" w:eastAsia="宋体"/>
      <w:color w:val="000000"/>
      <w:sz w:val="22"/>
      <w:szCs w:val="22"/>
      <w:u w:val="none"/>
    </w:rPr>
  </w:style>
  <w:style w:type="character" w:customStyle="1" w:styleId="125">
    <w:name w:val="font01"/>
    <w:qFormat/>
    <w:uiPriority w:val="0"/>
    <w:rPr>
      <w:rFonts w:hint="eastAsia" w:ascii="等线" w:hAnsi="等线" w:eastAsia="等线"/>
      <w:color w:val="000000"/>
      <w:sz w:val="22"/>
      <w:szCs w:val="22"/>
      <w:u w:val="none"/>
    </w:rPr>
  </w:style>
  <w:style w:type="character" w:customStyle="1" w:styleId="126">
    <w:name w:val="font81"/>
    <w:qFormat/>
    <w:uiPriority w:val="0"/>
    <w:rPr>
      <w:rFonts w:hint="default" w:ascii="Times New Roman" w:hAnsi="Times New Roman" w:cs="Times New Roman"/>
      <w:color w:val="000000"/>
      <w:sz w:val="22"/>
      <w:szCs w:val="22"/>
      <w:u w:val="none"/>
    </w:rPr>
  </w:style>
  <w:style w:type="character" w:customStyle="1" w:styleId="127">
    <w:name w:val="font91"/>
    <w:qFormat/>
    <w:uiPriority w:val="0"/>
    <w:rPr>
      <w:rFonts w:hint="eastAsia" w:ascii="等线" w:hAnsi="等线" w:eastAsia="等线"/>
      <w:color w:val="000000"/>
      <w:sz w:val="22"/>
      <w:szCs w:val="22"/>
      <w:u w:val="none"/>
    </w:rPr>
  </w:style>
  <w:style w:type="character" w:customStyle="1" w:styleId="128">
    <w:name w:val="font101"/>
    <w:qFormat/>
    <w:uiPriority w:val="0"/>
    <w:rPr>
      <w:rFonts w:hint="eastAsia" w:ascii="宋体" w:hAnsi="宋体" w:eastAsia="宋体"/>
      <w:color w:val="FF0000"/>
      <w:sz w:val="22"/>
      <w:szCs w:val="22"/>
      <w:u w:val="none"/>
    </w:rPr>
  </w:style>
  <w:style w:type="table" w:customStyle="1" w:styleId="129">
    <w:name w:val="网格型1"/>
    <w:basedOn w:val="28"/>
    <w:qFormat/>
    <w:uiPriority w:val="99"/>
    <w:rPr>
      <w:rFonts w:eastAsia="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30">
    <w:name w:val="网格型2"/>
    <w:basedOn w:val="28"/>
    <w:qFormat/>
    <w:uiPriority w:val="99"/>
    <w:rPr>
      <w:rFonts w:eastAsia="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31">
    <w:name w:val="网格型3"/>
    <w:basedOn w:val="28"/>
    <w:qFormat/>
    <w:uiPriority w:val="99"/>
    <w:rPr>
      <w:rFonts w:eastAsia="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32">
    <w:name w:val="网格型4"/>
    <w:basedOn w:val="28"/>
    <w:qFormat/>
    <w:uiPriority w:val="99"/>
    <w:rPr>
      <w:rFonts w:eastAsia="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paragraph" w:customStyle="1" w:styleId="133">
    <w:name w:val="1岳阳正文"/>
    <w:basedOn w:val="1"/>
    <w:link w:val="134"/>
    <w:qFormat/>
    <w:uiPriority w:val="0"/>
    <w:pPr>
      <w:snapToGrid w:val="0"/>
      <w:ind w:firstLine="200" w:firstLineChars="200"/>
    </w:pPr>
    <w:rPr>
      <w:rFonts w:ascii="等线" w:hAnsi="等线" w:eastAsia="等线"/>
      <w:sz w:val="21"/>
      <w:szCs w:val="22"/>
    </w:rPr>
  </w:style>
  <w:style w:type="character" w:customStyle="1" w:styleId="134">
    <w:name w:val="1岳阳正文 字符"/>
    <w:link w:val="133"/>
    <w:qFormat/>
    <w:uiPriority w:val="0"/>
    <w:rPr>
      <w:rFonts w:ascii="等线" w:hAnsi="等线" w:eastAsia="等线"/>
      <w:kern w:val="2"/>
      <w:sz w:val="21"/>
      <w:szCs w:val="22"/>
    </w:rPr>
  </w:style>
  <w:style w:type="paragraph" w:customStyle="1" w:styleId="135">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36">
    <w:name w:val="纯文本2"/>
    <w:basedOn w:val="1"/>
    <w:qFormat/>
    <w:uiPriority w:val="0"/>
    <w:pPr>
      <w:adjustRightInd w:val="0"/>
      <w:spacing w:line="360" w:lineRule="auto"/>
      <w:ind w:firstLine="480" w:firstLineChars="200"/>
      <w:jc w:val="left"/>
      <w:textAlignment w:val="baseline"/>
    </w:pPr>
    <w:rPr>
      <w:rFonts w:ascii="宋体" w:hAnsi="Courier New"/>
      <w:szCs w:val="20"/>
    </w:rPr>
  </w:style>
  <w:style w:type="paragraph" w:customStyle="1" w:styleId="137">
    <w:name w:val="正文2"/>
    <w:qFormat/>
    <w:uiPriority w:val="0"/>
    <w:pPr>
      <w:jc w:val="both"/>
    </w:pPr>
    <w:rPr>
      <w:rFonts w:ascii="Times New Roman" w:hAnsi="Times New Roman" w:eastAsia="宋体" w:cs="Times New Roman"/>
      <w:kern w:val="2"/>
      <w:sz w:val="21"/>
      <w:szCs w:val="21"/>
      <w:lang w:val="en-US" w:eastAsia="zh-CN" w:bidi="ar-SA"/>
    </w:rPr>
  </w:style>
  <w:style w:type="paragraph" w:customStyle="1" w:styleId="138">
    <w:name w:val="正文格式-MB"/>
    <w:link w:val="139"/>
    <w:qFormat/>
    <w:uiPriority w:val="0"/>
    <w:pPr>
      <w:spacing w:line="480" w:lineRule="exact"/>
      <w:ind w:firstLine="480" w:firstLineChars="200"/>
      <w:jc w:val="both"/>
    </w:pPr>
    <w:rPr>
      <w:rFonts w:ascii="Times New Roman" w:hAnsi="Times New Roman" w:eastAsia="宋体" w:cs="Times New Roman"/>
      <w:sz w:val="24"/>
      <w:szCs w:val="24"/>
      <w:lang w:val="en-US" w:eastAsia="zh-CN" w:bidi="ar-SA"/>
    </w:rPr>
  </w:style>
  <w:style w:type="character" w:customStyle="1" w:styleId="139">
    <w:name w:val="正文格式-MB 字符"/>
    <w:link w:val="138"/>
    <w:qFormat/>
    <w:uiPriority w:val="0"/>
    <w:rPr>
      <w:sz w:val="24"/>
      <w:szCs w:val="24"/>
    </w:rPr>
  </w:style>
  <w:style w:type="paragraph" w:styleId="140">
    <w:name w:val="No Spacing"/>
    <w:basedOn w:val="1"/>
    <w:qFormat/>
    <w:uiPriority w:val="1"/>
    <w:pPr>
      <w:spacing w:line="360" w:lineRule="auto"/>
      <w:ind w:firstLine="422" w:firstLineChars="200"/>
    </w:pPr>
    <w:rPr>
      <w:b/>
      <w:bCs/>
      <w:sz w:val="21"/>
      <w:szCs w:val="21"/>
    </w:rPr>
  </w:style>
  <w:style w:type="table" w:customStyle="1" w:styleId="141">
    <w:name w:val="网格型!1"/>
    <w:basedOn w:val="28"/>
    <w:unhideWhenUsed/>
    <w:qFormat/>
    <w:uiPriority w:val="99"/>
    <w:pPr>
      <w:widowControl w:val="0"/>
      <w:spacing w:line="360" w:lineRule="auto"/>
      <w:jc w:val="both"/>
    </w:pPr>
    <w:rPr>
      <w:sz w:val="21"/>
    </w:rPr>
    <w:tblPr>
      <w:jc w:val="cente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trPr>
      <w:jc w:val="center"/>
    </w:trPr>
    <w:tcPr>
      <w:vAlign w:val="center"/>
    </w:tcPr>
  </w:style>
  <w:style w:type="paragraph" w:customStyle="1" w:styleId="142">
    <w:name w:val="font6"/>
    <w:basedOn w:val="1"/>
    <w:qFormat/>
    <w:uiPriority w:val="0"/>
    <w:pPr>
      <w:widowControl/>
      <w:spacing w:before="100" w:beforeAutospacing="1" w:after="100" w:afterAutospacing="1"/>
      <w:jc w:val="left"/>
    </w:pPr>
    <w:rPr>
      <w:kern w:val="0"/>
      <w:sz w:val="20"/>
      <w:szCs w:val="20"/>
    </w:rPr>
  </w:style>
  <w:style w:type="paragraph" w:customStyle="1" w:styleId="143">
    <w:name w:val="font7"/>
    <w:basedOn w:val="1"/>
    <w:qFormat/>
    <w:uiPriority w:val="0"/>
    <w:pPr>
      <w:widowControl/>
      <w:spacing w:before="100" w:beforeAutospacing="1" w:after="100" w:afterAutospacing="1"/>
      <w:jc w:val="left"/>
    </w:pPr>
    <w:rPr>
      <w:kern w:val="0"/>
      <w:sz w:val="20"/>
      <w:szCs w:val="20"/>
    </w:rPr>
  </w:style>
  <w:style w:type="paragraph" w:customStyle="1" w:styleId="144">
    <w:name w:val="font8"/>
    <w:basedOn w:val="1"/>
    <w:qFormat/>
    <w:uiPriority w:val="0"/>
    <w:pPr>
      <w:widowControl/>
      <w:spacing w:before="100" w:beforeAutospacing="1" w:after="100" w:afterAutospacing="1"/>
      <w:jc w:val="left"/>
    </w:pPr>
    <w:rPr>
      <w:rFonts w:ascii="宋体" w:hAnsi="宋体" w:cs="宋体"/>
      <w:kern w:val="0"/>
      <w:sz w:val="20"/>
      <w:szCs w:val="20"/>
    </w:rPr>
  </w:style>
  <w:style w:type="paragraph" w:customStyle="1" w:styleId="145">
    <w:name w:val="xl90"/>
    <w:basedOn w:val="1"/>
    <w:qFormat/>
    <w:uiPriority w:val="0"/>
    <w:pPr>
      <w:widowControl/>
      <w:pBdr>
        <w:top w:val="single" w:color="auto" w:sz="12" w:space="0"/>
        <w:bottom w:val="single" w:color="auto" w:sz="8" w:space="0"/>
        <w:right w:val="single" w:color="auto" w:sz="8" w:space="0"/>
      </w:pBdr>
      <w:spacing w:before="100" w:beforeAutospacing="1" w:after="100" w:afterAutospacing="1"/>
      <w:jc w:val="center"/>
    </w:pPr>
    <w:rPr>
      <w:rFonts w:ascii="宋体" w:hAnsi="宋体" w:cs="宋体"/>
      <w:kern w:val="0"/>
      <w:sz w:val="20"/>
      <w:szCs w:val="20"/>
    </w:rPr>
  </w:style>
  <w:style w:type="paragraph" w:customStyle="1" w:styleId="146">
    <w:name w:val="xl91"/>
    <w:basedOn w:val="1"/>
    <w:qFormat/>
    <w:uiPriority w:val="0"/>
    <w:pPr>
      <w:widowControl/>
      <w:pBdr>
        <w:top w:val="single" w:color="auto" w:sz="12" w:space="0"/>
        <w:bottom w:val="single" w:color="auto" w:sz="8" w:space="0"/>
      </w:pBdr>
      <w:spacing w:before="100" w:beforeAutospacing="1" w:after="100" w:afterAutospacing="1"/>
      <w:jc w:val="center"/>
    </w:pPr>
    <w:rPr>
      <w:rFonts w:ascii="宋体" w:hAnsi="宋体" w:cs="宋体"/>
      <w:kern w:val="0"/>
      <w:sz w:val="20"/>
      <w:szCs w:val="20"/>
    </w:rPr>
  </w:style>
  <w:style w:type="paragraph" w:customStyle="1" w:styleId="147">
    <w:name w:val="xl92"/>
    <w:basedOn w:val="1"/>
    <w:qFormat/>
    <w:uiPriority w:val="0"/>
    <w:pPr>
      <w:widowControl/>
      <w:pBdr>
        <w:bottom w:val="single" w:color="auto" w:sz="8" w:space="0"/>
        <w:right w:val="single" w:color="auto" w:sz="8" w:space="0"/>
      </w:pBdr>
      <w:spacing w:before="100" w:beforeAutospacing="1" w:after="100" w:afterAutospacing="1"/>
      <w:jc w:val="center"/>
    </w:pPr>
    <w:rPr>
      <w:color w:val="00B0F0"/>
      <w:kern w:val="0"/>
      <w:sz w:val="20"/>
      <w:szCs w:val="20"/>
    </w:rPr>
  </w:style>
  <w:style w:type="paragraph" w:customStyle="1" w:styleId="148">
    <w:name w:val="xl93"/>
    <w:basedOn w:val="1"/>
    <w:qFormat/>
    <w:uiPriority w:val="0"/>
    <w:pPr>
      <w:widowControl/>
      <w:pBdr>
        <w:bottom w:val="single" w:color="auto" w:sz="8" w:space="0"/>
        <w:right w:val="single" w:color="auto" w:sz="8" w:space="0"/>
      </w:pBdr>
      <w:spacing w:before="100" w:beforeAutospacing="1" w:after="100" w:afterAutospacing="1"/>
      <w:jc w:val="center"/>
    </w:pPr>
    <w:rPr>
      <w:rFonts w:ascii="宋体" w:hAnsi="宋体" w:cs="宋体"/>
      <w:kern w:val="0"/>
      <w:sz w:val="20"/>
      <w:szCs w:val="20"/>
    </w:rPr>
  </w:style>
  <w:style w:type="paragraph" w:customStyle="1" w:styleId="149">
    <w:name w:val="xl94"/>
    <w:basedOn w:val="1"/>
    <w:qFormat/>
    <w:uiPriority w:val="0"/>
    <w:pPr>
      <w:widowControl/>
      <w:pBdr>
        <w:bottom w:val="single" w:color="auto" w:sz="8" w:space="0"/>
        <w:right w:val="single" w:color="auto" w:sz="8" w:space="0"/>
      </w:pBdr>
      <w:spacing w:before="100" w:beforeAutospacing="1" w:after="100" w:afterAutospacing="1"/>
      <w:jc w:val="center"/>
    </w:pPr>
    <w:rPr>
      <w:kern w:val="0"/>
      <w:sz w:val="20"/>
      <w:szCs w:val="20"/>
    </w:rPr>
  </w:style>
  <w:style w:type="paragraph" w:customStyle="1" w:styleId="150">
    <w:name w:val="xl95"/>
    <w:basedOn w:val="1"/>
    <w:qFormat/>
    <w:uiPriority w:val="0"/>
    <w:pPr>
      <w:widowControl/>
      <w:pBdr>
        <w:bottom w:val="single" w:color="auto" w:sz="8" w:space="0"/>
      </w:pBdr>
      <w:spacing w:before="100" w:beforeAutospacing="1" w:after="100" w:afterAutospacing="1"/>
      <w:jc w:val="center"/>
    </w:pPr>
    <w:rPr>
      <w:rFonts w:ascii="宋体" w:hAnsi="宋体" w:cs="宋体"/>
      <w:kern w:val="0"/>
      <w:sz w:val="20"/>
      <w:szCs w:val="20"/>
    </w:rPr>
  </w:style>
  <w:style w:type="paragraph" w:customStyle="1" w:styleId="151">
    <w:name w:val="xl96"/>
    <w:basedOn w:val="1"/>
    <w:qFormat/>
    <w:uiPriority w:val="0"/>
    <w:pPr>
      <w:widowControl/>
      <w:pBdr>
        <w:right w:val="single" w:color="auto" w:sz="8" w:space="0"/>
      </w:pBdr>
      <w:spacing w:before="100" w:beforeAutospacing="1" w:after="100" w:afterAutospacing="1"/>
      <w:jc w:val="center"/>
    </w:pPr>
    <w:rPr>
      <w:rFonts w:ascii="宋体" w:hAnsi="宋体" w:cs="宋体"/>
      <w:kern w:val="0"/>
      <w:sz w:val="20"/>
      <w:szCs w:val="20"/>
    </w:rPr>
  </w:style>
  <w:style w:type="paragraph" w:customStyle="1" w:styleId="152">
    <w:name w:val="xl97"/>
    <w:basedOn w:val="1"/>
    <w:qFormat/>
    <w:uiPriority w:val="0"/>
    <w:pPr>
      <w:widowControl/>
      <w:pBdr>
        <w:right w:val="single" w:color="auto" w:sz="8" w:space="0"/>
      </w:pBdr>
      <w:spacing w:before="100" w:beforeAutospacing="1" w:after="100" w:afterAutospacing="1"/>
      <w:jc w:val="center"/>
    </w:pPr>
    <w:rPr>
      <w:kern w:val="0"/>
      <w:sz w:val="20"/>
      <w:szCs w:val="20"/>
    </w:rPr>
  </w:style>
  <w:style w:type="paragraph" w:customStyle="1" w:styleId="153">
    <w:name w:val="xl98"/>
    <w:basedOn w:val="1"/>
    <w:qFormat/>
    <w:uiPriority w:val="0"/>
    <w:pPr>
      <w:widowControl/>
      <w:pBdr>
        <w:bottom w:val="single" w:color="auto" w:sz="8" w:space="0"/>
      </w:pBdr>
      <w:spacing w:before="100" w:beforeAutospacing="1" w:after="100" w:afterAutospacing="1"/>
      <w:jc w:val="center"/>
    </w:pPr>
    <w:rPr>
      <w:rFonts w:ascii="等线" w:hAnsi="等线" w:eastAsia="等线" w:cs="宋体"/>
      <w:kern w:val="0"/>
      <w:sz w:val="20"/>
      <w:szCs w:val="20"/>
    </w:rPr>
  </w:style>
  <w:style w:type="paragraph" w:customStyle="1" w:styleId="154">
    <w:name w:val="xl99"/>
    <w:basedOn w:val="1"/>
    <w:qFormat/>
    <w:uiPriority w:val="0"/>
    <w:pPr>
      <w:widowControl/>
      <w:pBdr>
        <w:top w:val="single" w:color="auto" w:sz="8" w:space="0"/>
        <w:left w:val="single" w:color="auto" w:sz="8" w:space="0"/>
        <w:right w:val="single" w:color="auto" w:sz="8" w:space="0"/>
      </w:pBdr>
      <w:spacing w:before="100" w:beforeAutospacing="1" w:after="100" w:afterAutospacing="1"/>
      <w:jc w:val="center"/>
    </w:pPr>
    <w:rPr>
      <w:rFonts w:ascii="宋体" w:hAnsi="宋体" w:cs="宋体"/>
      <w:kern w:val="0"/>
      <w:sz w:val="20"/>
      <w:szCs w:val="20"/>
    </w:rPr>
  </w:style>
  <w:style w:type="paragraph" w:customStyle="1" w:styleId="155">
    <w:name w:val="xl100"/>
    <w:basedOn w:val="1"/>
    <w:qFormat/>
    <w:uiPriority w:val="0"/>
    <w:pPr>
      <w:widowControl/>
      <w:pBdr>
        <w:left w:val="single" w:color="auto" w:sz="8" w:space="0"/>
        <w:right w:val="single" w:color="auto" w:sz="8" w:space="0"/>
      </w:pBdr>
      <w:spacing w:before="100" w:beforeAutospacing="1" w:after="100" w:afterAutospacing="1"/>
      <w:jc w:val="center"/>
    </w:pPr>
    <w:rPr>
      <w:rFonts w:ascii="宋体" w:hAnsi="宋体" w:cs="宋体"/>
      <w:kern w:val="0"/>
      <w:sz w:val="20"/>
      <w:szCs w:val="20"/>
    </w:rPr>
  </w:style>
  <w:style w:type="paragraph" w:customStyle="1" w:styleId="156">
    <w:name w:val="xl101"/>
    <w:basedOn w:val="1"/>
    <w:qFormat/>
    <w:uiPriority w:val="0"/>
    <w:pPr>
      <w:widowControl/>
      <w:pBdr>
        <w:left w:val="single" w:color="auto" w:sz="8" w:space="0"/>
        <w:bottom w:val="single" w:color="auto" w:sz="8" w:space="0"/>
        <w:right w:val="single" w:color="auto" w:sz="8" w:space="0"/>
      </w:pBdr>
      <w:spacing w:before="100" w:beforeAutospacing="1" w:after="100" w:afterAutospacing="1"/>
      <w:jc w:val="center"/>
    </w:pPr>
    <w:rPr>
      <w:rFonts w:ascii="宋体" w:hAnsi="宋体" w:cs="宋体"/>
      <w:kern w:val="0"/>
      <w:sz w:val="20"/>
      <w:szCs w:val="20"/>
    </w:rPr>
  </w:style>
  <w:style w:type="paragraph" w:customStyle="1" w:styleId="157">
    <w:name w:val="xl102"/>
    <w:basedOn w:val="1"/>
    <w:qFormat/>
    <w:uiPriority w:val="0"/>
    <w:pPr>
      <w:widowControl/>
      <w:spacing w:before="100" w:beforeAutospacing="1" w:after="100" w:afterAutospacing="1"/>
      <w:jc w:val="center"/>
    </w:pPr>
    <w:rPr>
      <w:rFonts w:ascii="宋体" w:hAnsi="宋体" w:cs="宋体"/>
      <w:kern w:val="0"/>
      <w:sz w:val="20"/>
      <w:szCs w:val="20"/>
    </w:rPr>
  </w:style>
  <w:style w:type="paragraph" w:customStyle="1" w:styleId="158">
    <w:name w:val="xl103"/>
    <w:basedOn w:val="1"/>
    <w:qFormat/>
    <w:uiPriority w:val="0"/>
    <w:pPr>
      <w:widowControl/>
      <w:pBdr>
        <w:top w:val="single" w:color="auto" w:sz="8" w:space="0"/>
        <w:left w:val="single" w:color="auto" w:sz="8" w:space="0"/>
      </w:pBdr>
      <w:spacing w:before="100" w:beforeAutospacing="1" w:after="100" w:afterAutospacing="1"/>
      <w:jc w:val="center"/>
    </w:pPr>
    <w:rPr>
      <w:rFonts w:ascii="宋体" w:hAnsi="宋体" w:cs="宋体"/>
      <w:kern w:val="0"/>
      <w:sz w:val="20"/>
      <w:szCs w:val="20"/>
    </w:rPr>
  </w:style>
  <w:style w:type="paragraph" w:customStyle="1" w:styleId="159">
    <w:name w:val="xl104"/>
    <w:basedOn w:val="1"/>
    <w:qFormat/>
    <w:uiPriority w:val="0"/>
    <w:pPr>
      <w:widowControl/>
      <w:pBdr>
        <w:left w:val="single" w:color="auto" w:sz="8" w:space="0"/>
      </w:pBdr>
      <w:spacing w:before="100" w:beforeAutospacing="1" w:after="100" w:afterAutospacing="1"/>
      <w:jc w:val="center"/>
    </w:pPr>
    <w:rPr>
      <w:rFonts w:ascii="宋体" w:hAnsi="宋体" w:cs="宋体"/>
      <w:kern w:val="0"/>
      <w:sz w:val="20"/>
      <w:szCs w:val="20"/>
    </w:rPr>
  </w:style>
  <w:style w:type="paragraph" w:customStyle="1" w:styleId="160">
    <w:name w:val="xl105"/>
    <w:basedOn w:val="1"/>
    <w:qFormat/>
    <w:uiPriority w:val="0"/>
    <w:pPr>
      <w:widowControl/>
      <w:pBdr>
        <w:left w:val="single" w:color="auto" w:sz="8" w:space="0"/>
        <w:bottom w:val="single" w:color="auto" w:sz="8" w:space="0"/>
      </w:pBdr>
      <w:spacing w:before="100" w:beforeAutospacing="1" w:after="100" w:afterAutospacing="1"/>
      <w:jc w:val="center"/>
    </w:pPr>
    <w:rPr>
      <w:rFonts w:ascii="宋体" w:hAnsi="宋体" w:cs="宋体"/>
      <w:kern w:val="0"/>
      <w:sz w:val="20"/>
      <w:szCs w:val="20"/>
    </w:rPr>
  </w:style>
  <w:style w:type="paragraph" w:customStyle="1" w:styleId="161">
    <w:name w:val="xl106"/>
    <w:basedOn w:val="1"/>
    <w:qFormat/>
    <w:uiPriority w:val="0"/>
    <w:pPr>
      <w:widowControl/>
      <w:pBdr>
        <w:top w:val="single" w:color="auto" w:sz="8" w:space="0"/>
        <w:right w:val="single" w:color="auto" w:sz="8" w:space="0"/>
      </w:pBdr>
      <w:spacing w:before="100" w:beforeAutospacing="1" w:after="100" w:afterAutospacing="1"/>
      <w:jc w:val="center"/>
    </w:pPr>
    <w:rPr>
      <w:color w:val="00B0F0"/>
      <w:kern w:val="0"/>
      <w:sz w:val="20"/>
      <w:szCs w:val="20"/>
    </w:rPr>
  </w:style>
  <w:style w:type="paragraph" w:customStyle="1" w:styleId="162">
    <w:name w:val="xl107"/>
    <w:basedOn w:val="1"/>
    <w:qFormat/>
    <w:uiPriority w:val="0"/>
    <w:pPr>
      <w:widowControl/>
      <w:pBdr>
        <w:top w:val="single" w:color="auto" w:sz="8" w:space="0"/>
        <w:left w:val="single" w:color="auto" w:sz="8" w:space="0"/>
        <w:right w:val="single" w:color="auto" w:sz="8" w:space="0"/>
      </w:pBdr>
      <w:spacing w:before="100" w:beforeAutospacing="1" w:after="100" w:afterAutospacing="1"/>
      <w:jc w:val="center"/>
    </w:pPr>
    <w:rPr>
      <w:kern w:val="0"/>
      <w:sz w:val="20"/>
      <w:szCs w:val="20"/>
    </w:rPr>
  </w:style>
  <w:style w:type="paragraph" w:customStyle="1" w:styleId="163">
    <w:name w:val="xl108"/>
    <w:basedOn w:val="1"/>
    <w:qFormat/>
    <w:uiPriority w:val="0"/>
    <w:pPr>
      <w:widowControl/>
      <w:pBdr>
        <w:left w:val="single" w:color="auto" w:sz="8" w:space="0"/>
        <w:bottom w:val="single" w:color="auto" w:sz="8" w:space="0"/>
        <w:right w:val="single" w:color="auto" w:sz="8" w:space="0"/>
      </w:pBdr>
      <w:spacing w:before="100" w:beforeAutospacing="1" w:after="100" w:afterAutospacing="1"/>
      <w:jc w:val="center"/>
    </w:pPr>
    <w:rPr>
      <w:kern w:val="0"/>
      <w:sz w:val="20"/>
      <w:szCs w:val="20"/>
    </w:rPr>
  </w:style>
  <w:style w:type="paragraph" w:customStyle="1" w:styleId="164">
    <w:name w:val="xl109"/>
    <w:basedOn w:val="1"/>
    <w:qFormat/>
    <w:uiPriority w:val="0"/>
    <w:pPr>
      <w:widowControl/>
      <w:pBdr>
        <w:top w:val="single" w:color="auto" w:sz="8" w:space="0"/>
        <w:right w:val="single" w:color="auto" w:sz="8" w:space="0"/>
      </w:pBdr>
      <w:spacing w:before="100" w:beforeAutospacing="1" w:after="100" w:afterAutospacing="1"/>
      <w:jc w:val="center"/>
    </w:pPr>
    <w:rPr>
      <w:kern w:val="0"/>
      <w:sz w:val="20"/>
      <w:szCs w:val="20"/>
    </w:rPr>
  </w:style>
  <w:style w:type="paragraph" w:customStyle="1" w:styleId="165">
    <w:name w:val="xl110"/>
    <w:basedOn w:val="1"/>
    <w:qFormat/>
    <w:uiPriority w:val="0"/>
    <w:pPr>
      <w:widowControl/>
      <w:pBdr>
        <w:top w:val="single" w:color="auto" w:sz="8" w:space="0"/>
        <w:left w:val="single" w:color="auto" w:sz="8" w:space="0"/>
      </w:pBdr>
      <w:spacing w:before="100" w:beforeAutospacing="1" w:after="100" w:afterAutospacing="1"/>
      <w:jc w:val="center"/>
    </w:pPr>
    <w:rPr>
      <w:rFonts w:ascii="等线" w:hAnsi="等线" w:eastAsia="等线" w:cs="宋体"/>
      <w:kern w:val="0"/>
      <w:sz w:val="20"/>
      <w:szCs w:val="20"/>
    </w:rPr>
  </w:style>
  <w:style w:type="paragraph" w:customStyle="1" w:styleId="166">
    <w:name w:val="xl111"/>
    <w:basedOn w:val="1"/>
    <w:qFormat/>
    <w:uiPriority w:val="0"/>
    <w:pPr>
      <w:widowControl/>
      <w:pBdr>
        <w:left w:val="single" w:color="auto" w:sz="8" w:space="0"/>
        <w:bottom w:val="single" w:color="auto" w:sz="8" w:space="0"/>
      </w:pBdr>
      <w:spacing w:before="100" w:beforeAutospacing="1" w:after="100" w:afterAutospacing="1"/>
      <w:jc w:val="center"/>
    </w:pPr>
    <w:rPr>
      <w:rFonts w:ascii="等线" w:hAnsi="等线" w:eastAsia="等线" w:cs="宋体"/>
      <w:kern w:val="0"/>
      <w:sz w:val="20"/>
      <w:szCs w:val="20"/>
    </w:rPr>
  </w:style>
  <w:style w:type="paragraph" w:customStyle="1" w:styleId="167">
    <w:name w:val="xl112"/>
    <w:basedOn w:val="1"/>
    <w:qFormat/>
    <w:uiPriority w:val="0"/>
    <w:pPr>
      <w:widowControl/>
      <w:pBdr>
        <w:top w:val="single" w:color="auto" w:sz="8" w:space="0"/>
      </w:pBdr>
      <w:spacing w:before="100" w:beforeAutospacing="1" w:after="100" w:afterAutospacing="1"/>
      <w:jc w:val="center"/>
    </w:pPr>
    <w:rPr>
      <w:rFonts w:ascii="宋体" w:hAnsi="宋体" w:cs="宋体"/>
      <w:kern w:val="0"/>
      <w:sz w:val="20"/>
      <w:szCs w:val="20"/>
    </w:rPr>
  </w:style>
  <w:style w:type="paragraph" w:customStyle="1" w:styleId="168">
    <w:name w:val="xl113"/>
    <w:basedOn w:val="1"/>
    <w:qFormat/>
    <w:uiPriority w:val="0"/>
    <w:pPr>
      <w:widowControl/>
      <w:pBdr>
        <w:top w:val="single" w:color="auto" w:sz="8" w:space="0"/>
        <w:right w:val="single" w:color="auto" w:sz="8" w:space="0"/>
      </w:pBdr>
      <w:spacing w:before="100" w:beforeAutospacing="1" w:after="100" w:afterAutospacing="1"/>
      <w:jc w:val="center"/>
    </w:pPr>
    <w:rPr>
      <w:rFonts w:ascii="宋体" w:hAnsi="宋体" w:cs="宋体"/>
      <w:kern w:val="0"/>
      <w:sz w:val="20"/>
      <w:szCs w:val="20"/>
    </w:rPr>
  </w:style>
  <w:style w:type="paragraph" w:customStyle="1" w:styleId="169">
    <w:name w:val="xl114"/>
    <w:basedOn w:val="1"/>
    <w:qFormat/>
    <w:uiPriority w:val="0"/>
    <w:pPr>
      <w:widowControl/>
      <w:pBdr>
        <w:bottom w:val="single" w:color="auto" w:sz="12" w:space="0"/>
      </w:pBdr>
      <w:spacing w:before="100" w:beforeAutospacing="1" w:after="100" w:afterAutospacing="1"/>
      <w:jc w:val="center"/>
    </w:pPr>
    <w:rPr>
      <w:rFonts w:ascii="宋体" w:hAnsi="宋体" w:cs="宋体"/>
      <w:kern w:val="0"/>
      <w:sz w:val="20"/>
      <w:szCs w:val="20"/>
    </w:rPr>
  </w:style>
  <w:style w:type="paragraph" w:customStyle="1" w:styleId="170">
    <w:name w:val="xl115"/>
    <w:basedOn w:val="1"/>
    <w:qFormat/>
    <w:uiPriority w:val="0"/>
    <w:pPr>
      <w:widowControl/>
      <w:pBdr>
        <w:bottom w:val="single" w:color="auto" w:sz="12" w:space="0"/>
        <w:right w:val="single" w:color="auto" w:sz="8" w:space="0"/>
      </w:pBdr>
      <w:spacing w:before="100" w:beforeAutospacing="1" w:after="100" w:afterAutospacing="1"/>
      <w:jc w:val="center"/>
    </w:pPr>
    <w:rPr>
      <w:rFonts w:ascii="宋体" w:hAnsi="宋体" w:cs="宋体"/>
      <w:kern w:val="0"/>
      <w:sz w:val="20"/>
      <w:szCs w:val="20"/>
    </w:rPr>
  </w:style>
  <w:style w:type="paragraph" w:customStyle="1" w:styleId="171">
    <w:name w:val="xl116"/>
    <w:basedOn w:val="1"/>
    <w:qFormat/>
    <w:uiPriority w:val="0"/>
    <w:pPr>
      <w:widowControl/>
      <w:pBdr>
        <w:top w:val="single" w:color="auto" w:sz="8" w:space="0"/>
        <w:left w:val="single" w:color="auto" w:sz="8" w:space="0"/>
        <w:bottom w:val="single" w:color="auto" w:sz="8" w:space="0"/>
      </w:pBdr>
      <w:spacing w:before="100" w:beforeAutospacing="1" w:after="100" w:afterAutospacing="1"/>
      <w:jc w:val="center"/>
    </w:pPr>
    <w:rPr>
      <w:kern w:val="0"/>
      <w:sz w:val="20"/>
      <w:szCs w:val="20"/>
    </w:rPr>
  </w:style>
  <w:style w:type="paragraph" w:customStyle="1" w:styleId="172">
    <w:name w:val="xl117"/>
    <w:basedOn w:val="1"/>
    <w:qFormat/>
    <w:uiPriority w:val="0"/>
    <w:pPr>
      <w:widowControl/>
      <w:pBdr>
        <w:top w:val="single" w:color="auto" w:sz="8" w:space="0"/>
        <w:bottom w:val="single" w:color="auto" w:sz="8" w:space="0"/>
      </w:pBdr>
      <w:spacing w:before="100" w:beforeAutospacing="1" w:after="100" w:afterAutospacing="1"/>
      <w:jc w:val="center"/>
    </w:pPr>
    <w:rPr>
      <w:kern w:val="0"/>
      <w:sz w:val="20"/>
      <w:szCs w:val="20"/>
    </w:rPr>
  </w:style>
  <w:style w:type="paragraph" w:customStyle="1" w:styleId="173">
    <w:name w:val="xl118"/>
    <w:basedOn w:val="1"/>
    <w:qFormat/>
    <w:uiPriority w:val="0"/>
    <w:pPr>
      <w:widowControl/>
      <w:pBdr>
        <w:top w:val="single" w:color="auto" w:sz="8" w:space="0"/>
        <w:bottom w:val="single" w:color="auto" w:sz="8" w:space="0"/>
        <w:right w:val="single" w:color="auto" w:sz="8" w:space="0"/>
      </w:pBdr>
      <w:spacing w:before="100" w:beforeAutospacing="1" w:after="100" w:afterAutospacing="1"/>
      <w:jc w:val="center"/>
    </w:pPr>
    <w:rPr>
      <w:kern w:val="0"/>
      <w:sz w:val="20"/>
      <w:szCs w:val="20"/>
    </w:rPr>
  </w:style>
  <w:style w:type="paragraph" w:customStyle="1" w:styleId="174">
    <w:name w:val="xl119"/>
    <w:basedOn w:val="1"/>
    <w:qFormat/>
    <w:uiPriority w:val="0"/>
    <w:pPr>
      <w:widowControl/>
      <w:pBdr>
        <w:top w:val="single" w:color="auto" w:sz="8" w:space="0"/>
        <w:left w:val="single" w:color="auto" w:sz="8" w:space="0"/>
        <w:bottom w:val="single" w:color="auto" w:sz="12" w:space="0"/>
      </w:pBdr>
      <w:spacing w:before="100" w:beforeAutospacing="1" w:after="100" w:afterAutospacing="1"/>
      <w:jc w:val="center"/>
    </w:pPr>
    <w:rPr>
      <w:rFonts w:ascii="宋体" w:hAnsi="宋体" w:cs="宋体"/>
      <w:kern w:val="0"/>
      <w:sz w:val="20"/>
      <w:szCs w:val="20"/>
    </w:rPr>
  </w:style>
  <w:style w:type="paragraph" w:customStyle="1" w:styleId="175">
    <w:name w:val="xl120"/>
    <w:basedOn w:val="1"/>
    <w:qFormat/>
    <w:uiPriority w:val="0"/>
    <w:pPr>
      <w:widowControl/>
      <w:pBdr>
        <w:top w:val="single" w:color="auto" w:sz="8" w:space="0"/>
        <w:bottom w:val="single" w:color="auto" w:sz="12" w:space="0"/>
      </w:pBdr>
      <w:spacing w:before="100" w:beforeAutospacing="1" w:after="100" w:afterAutospacing="1"/>
      <w:jc w:val="center"/>
    </w:pPr>
    <w:rPr>
      <w:rFonts w:ascii="宋体" w:hAnsi="宋体" w:cs="宋体"/>
      <w:kern w:val="0"/>
      <w:sz w:val="20"/>
      <w:szCs w:val="20"/>
    </w:rPr>
  </w:style>
  <w:style w:type="paragraph" w:customStyle="1" w:styleId="176">
    <w:name w:val="xl121"/>
    <w:basedOn w:val="1"/>
    <w:qFormat/>
    <w:uiPriority w:val="0"/>
    <w:pPr>
      <w:widowControl/>
      <w:pBdr>
        <w:top w:val="single" w:color="auto" w:sz="8" w:space="0"/>
        <w:bottom w:val="single" w:color="auto" w:sz="12" w:space="0"/>
        <w:right w:val="single" w:color="auto" w:sz="8" w:space="0"/>
      </w:pBdr>
      <w:spacing w:before="100" w:beforeAutospacing="1" w:after="100" w:afterAutospacing="1"/>
      <w:jc w:val="center"/>
    </w:pPr>
    <w:rPr>
      <w:rFonts w:ascii="宋体" w:hAnsi="宋体" w:cs="宋体"/>
      <w:kern w:val="0"/>
      <w:sz w:val="20"/>
      <w:szCs w:val="20"/>
    </w:rPr>
  </w:style>
  <w:style w:type="paragraph" w:customStyle="1" w:styleId="177">
    <w:name w:val="xl122"/>
    <w:basedOn w:val="1"/>
    <w:qFormat/>
    <w:uiPriority w:val="0"/>
    <w:pPr>
      <w:widowControl/>
      <w:pBdr>
        <w:top w:val="single" w:color="auto" w:sz="8" w:space="0"/>
        <w:left w:val="single" w:color="auto" w:sz="8" w:space="0"/>
        <w:bottom w:val="single" w:color="auto" w:sz="12" w:space="0"/>
      </w:pBdr>
      <w:spacing w:before="100" w:beforeAutospacing="1" w:after="100" w:afterAutospacing="1"/>
      <w:jc w:val="center"/>
    </w:pPr>
    <w:rPr>
      <w:kern w:val="0"/>
      <w:sz w:val="20"/>
      <w:szCs w:val="20"/>
    </w:rPr>
  </w:style>
  <w:style w:type="paragraph" w:customStyle="1" w:styleId="178">
    <w:name w:val="xl123"/>
    <w:basedOn w:val="1"/>
    <w:qFormat/>
    <w:uiPriority w:val="0"/>
    <w:pPr>
      <w:widowControl/>
      <w:pBdr>
        <w:top w:val="single" w:color="auto" w:sz="8" w:space="0"/>
        <w:bottom w:val="single" w:color="auto" w:sz="12" w:space="0"/>
      </w:pBdr>
      <w:spacing w:before="100" w:beforeAutospacing="1" w:after="100" w:afterAutospacing="1"/>
      <w:jc w:val="center"/>
    </w:pPr>
    <w:rPr>
      <w:kern w:val="0"/>
      <w:sz w:val="20"/>
      <w:szCs w:val="20"/>
    </w:rPr>
  </w:style>
  <w:style w:type="paragraph" w:customStyle="1" w:styleId="179">
    <w:name w:val="font9"/>
    <w:basedOn w:val="1"/>
    <w:qFormat/>
    <w:uiPriority w:val="0"/>
    <w:pPr>
      <w:widowControl/>
      <w:spacing w:before="100" w:beforeAutospacing="1" w:after="100" w:afterAutospacing="1"/>
      <w:jc w:val="left"/>
    </w:pPr>
    <w:rPr>
      <w:rFonts w:ascii="等线" w:hAnsi="等线" w:eastAsia="等线" w:cs="宋体"/>
      <w:color w:val="000000"/>
      <w:kern w:val="0"/>
      <w:sz w:val="22"/>
      <w:szCs w:val="22"/>
    </w:rPr>
  </w:style>
  <w:style w:type="paragraph" w:customStyle="1" w:styleId="180">
    <w:name w:val="font10"/>
    <w:basedOn w:val="1"/>
    <w:qFormat/>
    <w:uiPriority w:val="0"/>
    <w:pPr>
      <w:widowControl/>
      <w:spacing w:before="100" w:beforeAutospacing="1" w:after="100" w:afterAutospacing="1"/>
      <w:jc w:val="left"/>
    </w:pPr>
    <w:rPr>
      <w:rFonts w:ascii="等线" w:hAnsi="等线" w:eastAsia="等线" w:cs="宋体"/>
      <w:color w:val="000000"/>
      <w:kern w:val="0"/>
      <w:sz w:val="22"/>
      <w:szCs w:val="22"/>
    </w:rPr>
  </w:style>
  <w:style w:type="paragraph" w:customStyle="1" w:styleId="181">
    <w:name w:val="xl6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rPr>
  </w:style>
  <w:style w:type="paragraph" w:customStyle="1" w:styleId="182">
    <w:name w:val="样式 2 小一"/>
    <w:basedOn w:val="1"/>
    <w:qFormat/>
    <w:uiPriority w:val="0"/>
    <w:pPr>
      <w:widowControl/>
      <w:spacing w:before="120" w:after="100" w:afterAutospacing="1"/>
      <w:ind w:left="430" w:hanging="430"/>
      <w:jc w:val="left"/>
      <w:textAlignment w:val="baseline"/>
      <w:outlineLvl w:val="0"/>
    </w:pPr>
    <w:rPr>
      <w:rFonts w:ascii="Century Schoolbook" w:hAnsi="Century Schoolbook" w:cs="宋体"/>
      <w:kern w:val="0"/>
      <w:sz w:val="48"/>
      <w:szCs w:val="48"/>
    </w:rPr>
  </w:style>
  <w:style w:type="paragraph" w:styleId="183">
    <w:name w:val="List Paragraph"/>
    <w:basedOn w:val="1"/>
    <w:qFormat/>
    <w:uiPriority w:val="34"/>
    <w:pPr>
      <w:spacing w:line="360" w:lineRule="auto"/>
      <w:ind w:firstLine="420" w:firstLineChars="200"/>
    </w:pPr>
  </w:style>
  <w:style w:type="paragraph" w:customStyle="1" w:styleId="184">
    <w:name w:val="正文3"/>
    <w:qFormat/>
    <w:uiPriority w:val="0"/>
    <w:pPr>
      <w:jc w:val="both"/>
    </w:pPr>
    <w:rPr>
      <w:rFonts w:ascii="Times New Roman" w:hAnsi="Times New Roman" w:eastAsia="宋体" w:cs="Times New Roman"/>
      <w:kern w:val="2"/>
      <w:sz w:val="21"/>
      <w:szCs w:val="21"/>
      <w:lang w:val="en-US" w:eastAsia="zh-CN" w:bidi="ar-SA"/>
    </w:rPr>
  </w:style>
  <w:style w:type="paragraph" w:customStyle="1" w:styleId="185">
    <w:name w:val="修订1"/>
    <w:hidden/>
    <w:semiHidden/>
    <w:qFormat/>
    <w:uiPriority w:val="99"/>
    <w:rPr>
      <w:rFonts w:ascii="Times New Roman" w:hAnsi="Times New Roman" w:eastAsia="宋体" w:cs="Times New Roman"/>
      <w:kern w:val="2"/>
      <w:sz w:val="24"/>
      <w:szCs w:val="24"/>
      <w:lang w:val="en-US" w:eastAsia="zh-CN" w:bidi="ar-SA"/>
    </w:rPr>
  </w:style>
  <w:style w:type="paragraph" w:customStyle="1" w:styleId="186">
    <w:name w:val="4正  文"/>
    <w:basedOn w:val="1"/>
    <w:qFormat/>
    <w:uiPriority w:val="0"/>
    <w:pPr>
      <w:tabs>
        <w:tab w:val="left" w:pos="3798"/>
        <w:tab w:val="left" w:pos="7596"/>
      </w:tabs>
      <w:adjustRightInd w:val="0"/>
      <w:ind w:firstLine="200" w:firstLineChars="200"/>
    </w:pPr>
    <w:rPr>
      <w:rFonts w:ascii="仿宋_GB2312" w:eastAsia="仿宋_GB2312"/>
      <w:b/>
      <w:sz w:val="32"/>
      <w:szCs w:val="20"/>
    </w:rPr>
  </w:style>
  <w:style w:type="table" w:customStyle="1" w:styleId="187">
    <w:name w:val="网格型!11"/>
    <w:basedOn w:val="28"/>
    <w:qFormat/>
    <w:uiPriority w:val="0"/>
    <w:pPr>
      <w:widowControl w:val="0"/>
      <w:jc w:val="both"/>
    </w:pPr>
    <w:rPr>
      <w:sz w:val="21"/>
    </w:rPr>
    <w:tblPr>
      <w:jc w:val="cente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trPr>
      <w:jc w:val="center"/>
    </w:trPr>
    <w:tcPr>
      <w:vAlign w:val="center"/>
    </w:tcPr>
  </w:style>
  <w:style w:type="paragraph" w:customStyle="1" w:styleId="188">
    <w:name w:val="xl124"/>
    <w:basedOn w:val="1"/>
    <w:qFormat/>
    <w:uiPriority w:val="0"/>
    <w:pPr>
      <w:widowControl/>
      <w:pBdr>
        <w:top w:val="single" w:color="auto" w:sz="8" w:space="0"/>
        <w:bottom w:val="single" w:color="auto" w:sz="8" w:space="0"/>
      </w:pBdr>
      <w:spacing w:before="100" w:beforeAutospacing="1" w:after="100" w:afterAutospacing="1"/>
      <w:jc w:val="center"/>
    </w:pPr>
    <w:rPr>
      <w:color w:val="00B050"/>
      <w:kern w:val="0"/>
      <w:sz w:val="21"/>
      <w:szCs w:val="21"/>
    </w:rPr>
  </w:style>
  <w:style w:type="paragraph" w:customStyle="1" w:styleId="189">
    <w:name w:val="xl125"/>
    <w:basedOn w:val="1"/>
    <w:qFormat/>
    <w:uiPriority w:val="0"/>
    <w:pPr>
      <w:widowControl/>
      <w:pBdr>
        <w:top w:val="single" w:color="auto" w:sz="8" w:space="0"/>
        <w:left w:val="single" w:color="auto" w:sz="8" w:space="0"/>
        <w:bottom w:val="single" w:color="auto" w:sz="12" w:space="0"/>
      </w:pBdr>
      <w:spacing w:before="100" w:beforeAutospacing="1" w:after="100" w:afterAutospacing="1"/>
      <w:jc w:val="center"/>
    </w:pPr>
    <w:rPr>
      <w:rFonts w:ascii="宋体" w:hAnsi="宋体" w:cs="宋体"/>
      <w:kern w:val="0"/>
      <w:sz w:val="21"/>
      <w:szCs w:val="21"/>
    </w:rPr>
  </w:style>
  <w:style w:type="paragraph" w:customStyle="1" w:styleId="190">
    <w:name w:val="xl126"/>
    <w:basedOn w:val="1"/>
    <w:qFormat/>
    <w:uiPriority w:val="0"/>
    <w:pPr>
      <w:widowControl/>
      <w:pBdr>
        <w:top w:val="single" w:color="auto" w:sz="8" w:space="0"/>
        <w:bottom w:val="single" w:color="auto" w:sz="12" w:space="0"/>
      </w:pBdr>
      <w:spacing w:before="100" w:beforeAutospacing="1" w:after="100" w:afterAutospacing="1"/>
      <w:jc w:val="center"/>
    </w:pPr>
    <w:rPr>
      <w:rFonts w:ascii="宋体" w:hAnsi="宋体" w:cs="宋体"/>
      <w:kern w:val="0"/>
      <w:sz w:val="21"/>
      <w:szCs w:val="21"/>
    </w:rPr>
  </w:style>
  <w:style w:type="paragraph" w:customStyle="1" w:styleId="191">
    <w:name w:val="xl127"/>
    <w:basedOn w:val="1"/>
    <w:qFormat/>
    <w:uiPriority w:val="0"/>
    <w:pPr>
      <w:widowControl/>
      <w:pBdr>
        <w:top w:val="single" w:color="auto" w:sz="8" w:space="0"/>
        <w:bottom w:val="single" w:color="auto" w:sz="12" w:space="0"/>
        <w:right w:val="single" w:color="auto" w:sz="8" w:space="0"/>
      </w:pBdr>
      <w:spacing w:before="100" w:beforeAutospacing="1" w:after="100" w:afterAutospacing="1"/>
      <w:jc w:val="center"/>
    </w:pPr>
    <w:rPr>
      <w:rFonts w:ascii="宋体" w:hAnsi="宋体" w:cs="宋体"/>
      <w:kern w:val="0"/>
      <w:sz w:val="21"/>
      <w:szCs w:val="21"/>
    </w:rPr>
  </w:style>
  <w:style w:type="paragraph" w:customStyle="1" w:styleId="192">
    <w:name w:val="xl128"/>
    <w:basedOn w:val="1"/>
    <w:qFormat/>
    <w:uiPriority w:val="0"/>
    <w:pPr>
      <w:widowControl/>
      <w:pBdr>
        <w:top w:val="single" w:color="auto" w:sz="8" w:space="0"/>
        <w:left w:val="single" w:color="auto" w:sz="8" w:space="0"/>
        <w:bottom w:val="single" w:color="auto" w:sz="12" w:space="0"/>
      </w:pBdr>
      <w:spacing w:before="100" w:beforeAutospacing="1" w:after="100" w:afterAutospacing="1"/>
      <w:jc w:val="center"/>
    </w:pPr>
    <w:rPr>
      <w:color w:val="00B050"/>
      <w:kern w:val="0"/>
      <w:sz w:val="21"/>
      <w:szCs w:val="21"/>
    </w:rPr>
  </w:style>
  <w:style w:type="paragraph" w:customStyle="1" w:styleId="193">
    <w:name w:val="xl129"/>
    <w:basedOn w:val="1"/>
    <w:qFormat/>
    <w:uiPriority w:val="0"/>
    <w:pPr>
      <w:widowControl/>
      <w:pBdr>
        <w:top w:val="single" w:color="auto" w:sz="8" w:space="0"/>
        <w:bottom w:val="single" w:color="auto" w:sz="12" w:space="0"/>
      </w:pBdr>
      <w:spacing w:before="100" w:beforeAutospacing="1" w:after="100" w:afterAutospacing="1"/>
      <w:jc w:val="center"/>
    </w:pPr>
    <w:rPr>
      <w:color w:val="00B050"/>
      <w:kern w:val="0"/>
      <w:sz w:val="21"/>
      <w:szCs w:val="21"/>
    </w:rPr>
  </w:style>
  <w:style w:type="character" w:styleId="194">
    <w:name w:val="Placeholder Text"/>
    <w:basedOn w:val="30"/>
    <w:unhideWhenUsed/>
    <w:qFormat/>
    <w:uiPriority w:val="99"/>
    <w:rPr>
      <w:color w:val="808080"/>
    </w:rPr>
  </w:style>
  <w:style w:type="table" w:customStyle="1" w:styleId="195">
    <w:name w:val="00-规划部规划环评模板"/>
    <w:basedOn w:val="29"/>
    <w:autoRedefine/>
    <w:qFormat/>
    <w:uiPriority w:val="0"/>
    <w:pPr>
      <w:widowControl w:val="0"/>
      <w:overflowPunct w:val="0"/>
      <w:topLinePunct/>
      <w:autoSpaceDE w:val="0"/>
      <w:autoSpaceDN w:val="0"/>
      <w:adjustRightInd w:val="0"/>
      <w:snapToGrid w:val="0"/>
      <w:jc w:val="center"/>
    </w:pPr>
    <w:rPr>
      <w:sz w:val="21"/>
    </w:rPr>
    <w:tblPr>
      <w:jc w:val="cente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trPr>
      <w:jc w:val="center"/>
    </w:trPr>
    <w:tcPr>
      <w:vAlign w:val="center"/>
    </w:tc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5.xml"/><Relationship Id="rId7" Type="http://schemas.openxmlformats.org/officeDocument/2006/relationships/footer" Target="footer4.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9" Type="http://schemas.openxmlformats.org/officeDocument/2006/relationships/fontTable" Target="fontTable.xml"/><Relationship Id="rId38" Type="http://schemas.openxmlformats.org/officeDocument/2006/relationships/customXml" Target="../customXml/item2.xml"/><Relationship Id="rId37" Type="http://schemas.openxmlformats.org/officeDocument/2006/relationships/numbering" Target="numbering.xml"/><Relationship Id="rId36" Type="http://schemas.openxmlformats.org/officeDocument/2006/relationships/customXml" Target="../customXml/item1.xml"/><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emf"/><Relationship Id="rId10" Type="http://schemas.openxmlformats.org/officeDocument/2006/relationships/image" Target="media/image1.emf"/><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CBE4619-4862-4E8E-A423-470B4ACCFD8C}">
  <ds:schemaRefs/>
</ds:datastoreItem>
</file>

<file path=docProps/app.xml><?xml version="1.0" encoding="utf-8"?>
<Properties xmlns="http://schemas.openxmlformats.org/officeDocument/2006/extended-properties" xmlns:vt="http://schemas.openxmlformats.org/officeDocument/2006/docPropsVTypes">
  <Template>wdzx97.dot</Template>
  <Company>微软中国</Company>
  <Pages>64</Pages>
  <Words>23286</Words>
  <Characters>26413</Characters>
  <Lines>217</Lines>
  <Paragraphs>61</Paragraphs>
  <TotalTime>21</TotalTime>
  <ScaleCrop>false</ScaleCrop>
  <LinksUpToDate>false</LinksUpToDate>
  <CharactersWithSpaces>28173</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2023-07-04T03:40:00Z</dcterms:created>
  <dc:creator>lhj</dc:creator>
  <cp:lastModifiedBy>瑞雪</cp:lastModifiedBy>
  <cp:lastPrinted>2022-09-22T06:52:00Z</cp:lastPrinted>
  <dcterms:modified xsi:type="dcterms:W3CDTF">2025-04-09T01:06:48Z</dcterms:modified>
  <dc:title>附件2</dc:title>
  <cp:revision>12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2A54980B058A454FB6463F6EF59B44B4_13</vt:lpwstr>
  </property>
  <property fmtid="{D5CDD505-2E9C-101B-9397-08002B2CF9AE}" pid="4" name="KSOTemplateDocerSaveRecord">
    <vt:lpwstr>eyJoZGlkIjoiZmQ5NmQ2MThmYzI5ZmJjMDc4MmQ4ZWRmYzA1NjUzM2IiLCJ1c2VySWQiOiIzMzE5NzU2ODUifQ==</vt:lpwstr>
  </property>
</Properties>
</file>