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477" w:tblpY="16"/>
        <w:tblOverlap w:val="never"/>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7"/>
      </w:tblGrid>
      <w:tr w14:paraId="5125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0447" w:type="dxa"/>
            <w:tcBorders>
              <w:top w:val="single" w:color="auto" w:sz="4" w:space="0"/>
              <w:left w:val="single" w:color="auto" w:sz="4" w:space="0"/>
              <w:bottom w:val="single" w:color="auto" w:sz="4" w:space="0"/>
              <w:right w:val="single" w:color="auto" w:sz="4" w:space="0"/>
            </w:tcBorders>
          </w:tcPr>
          <w:p w14:paraId="3B7CA0ED">
            <w:pPr>
              <w:spacing w:line="480" w:lineRule="exact"/>
              <w:rPr>
                <w:rFonts w:ascii="宋体" w:hAnsi="宋体"/>
                <w:color w:val="auto"/>
                <w:sz w:val="32"/>
              </w:rPr>
            </w:pPr>
            <w:r>
              <w:rPr>
                <w:rFonts w:hint="eastAsia" w:ascii="宋体" w:hAnsi="宋体"/>
                <w:color w:val="auto"/>
                <w:sz w:val="32"/>
              </w:rPr>
              <w:t>审批意见：</w:t>
            </w:r>
          </w:p>
          <w:p w14:paraId="313C7E1B">
            <w:pPr>
              <w:spacing w:line="4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pacing w:val="-16"/>
                <w:sz w:val="30"/>
                <w:szCs w:val="30"/>
                <w:highlight w:val="none"/>
              </w:rPr>
              <w:t>唐曹审批环表</w:t>
            </w:r>
            <w:bookmarkStart w:id="0" w:name="OLE_LINK2"/>
            <w:r>
              <w:rPr>
                <w:rFonts w:hint="eastAsia" w:ascii="仿宋" w:hAnsi="仿宋" w:eastAsia="仿宋" w:cs="仿宋"/>
                <w:color w:val="auto"/>
                <w:spacing w:val="-16"/>
                <w:sz w:val="30"/>
                <w:szCs w:val="30"/>
                <w:highlight w:val="none"/>
              </w:rPr>
              <w:t>〔202</w:t>
            </w:r>
            <w:r>
              <w:rPr>
                <w:rFonts w:hint="eastAsia" w:ascii="仿宋" w:hAnsi="仿宋" w:eastAsia="仿宋" w:cs="仿宋"/>
                <w:color w:val="auto"/>
                <w:spacing w:val="-16"/>
                <w:sz w:val="30"/>
                <w:szCs w:val="30"/>
                <w:highlight w:val="none"/>
                <w:lang w:val="en-US" w:eastAsia="zh-CN"/>
              </w:rPr>
              <w:t>5</w:t>
            </w:r>
            <w:r>
              <w:rPr>
                <w:rFonts w:hint="eastAsia" w:ascii="仿宋" w:hAnsi="仿宋" w:eastAsia="仿宋" w:cs="仿宋"/>
                <w:color w:val="auto"/>
                <w:spacing w:val="-16"/>
                <w:sz w:val="30"/>
                <w:szCs w:val="30"/>
                <w:highlight w:val="none"/>
              </w:rPr>
              <w:t>〕</w:t>
            </w:r>
            <w:r>
              <w:rPr>
                <w:rFonts w:hint="eastAsia" w:ascii="仿宋" w:hAnsi="仿宋" w:eastAsia="仿宋" w:cs="仿宋"/>
                <w:color w:val="auto"/>
                <w:spacing w:val="-16"/>
                <w:sz w:val="30"/>
                <w:szCs w:val="30"/>
                <w:highlight w:val="none"/>
                <w:lang w:val="en-US" w:eastAsia="zh-CN"/>
              </w:rPr>
              <w:t>22</w:t>
            </w:r>
            <w:r>
              <w:rPr>
                <w:rFonts w:hint="eastAsia" w:ascii="仿宋" w:hAnsi="仿宋" w:eastAsia="仿宋" w:cs="仿宋"/>
                <w:color w:val="auto"/>
                <w:spacing w:val="-16"/>
                <w:sz w:val="30"/>
                <w:szCs w:val="30"/>
                <w:highlight w:val="none"/>
              </w:rPr>
              <w:t>号</w:t>
            </w:r>
          </w:p>
          <w:bookmarkEnd w:id="0"/>
          <w:p w14:paraId="7B0E10F8">
            <w:pPr>
              <w:adjustRightInd w:val="0"/>
              <w:snapToGrid w:val="0"/>
              <w:spacing w:line="288" w:lineRule="auto"/>
              <w:ind w:firstLine="496" w:firstLineChars="200"/>
              <w:rPr>
                <w:rFonts w:ascii="仿宋" w:hAnsi="仿宋" w:eastAsia="仿宋" w:cs="仿宋"/>
                <w:color w:val="auto"/>
                <w:spacing w:val="-16"/>
                <w:sz w:val="28"/>
                <w:szCs w:val="28"/>
              </w:rPr>
            </w:pPr>
          </w:p>
          <w:p w14:paraId="7EF64472">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Times New Roman" w:hAnsi="Times New Roman" w:eastAsia="仿宋" w:cs="Times New Roman"/>
                <w:color w:val="auto"/>
                <w:spacing w:val="-16"/>
                <w:sz w:val="30"/>
                <w:szCs w:val="30"/>
                <w:lang w:eastAsia="zh-CN"/>
              </w:rPr>
            </w:pPr>
            <w:r>
              <w:rPr>
                <w:rFonts w:hint="default" w:ascii="Times New Roman" w:hAnsi="Times New Roman" w:eastAsia="仿宋" w:cs="Times New Roman"/>
                <w:color w:val="auto"/>
                <w:spacing w:val="-16"/>
                <w:sz w:val="30"/>
                <w:szCs w:val="30"/>
              </w:rPr>
              <w:t>根据环评结论，结合工程环境影响特点</w:t>
            </w:r>
            <w:r>
              <w:rPr>
                <w:rFonts w:hint="eastAsia" w:ascii="仿宋" w:hAnsi="仿宋" w:eastAsia="仿宋" w:cs="仿宋"/>
                <w:color w:val="auto"/>
                <w:spacing w:val="-16"/>
                <w:sz w:val="30"/>
                <w:szCs w:val="30"/>
              </w:rPr>
              <w:t>及专家</w:t>
            </w:r>
            <w:r>
              <w:rPr>
                <w:rFonts w:hint="eastAsia" w:ascii="仿宋" w:hAnsi="仿宋" w:eastAsia="仿宋" w:cs="仿宋"/>
                <w:color w:val="auto"/>
                <w:spacing w:val="-16"/>
                <w:sz w:val="30"/>
                <w:szCs w:val="30"/>
                <w:lang w:val="en-US" w:eastAsia="zh-CN"/>
              </w:rPr>
              <w:t>评审</w:t>
            </w:r>
            <w:r>
              <w:rPr>
                <w:rFonts w:hint="eastAsia" w:ascii="仿宋" w:hAnsi="仿宋" w:eastAsia="仿宋" w:cs="仿宋"/>
                <w:color w:val="auto"/>
                <w:spacing w:val="-16"/>
                <w:sz w:val="30"/>
                <w:szCs w:val="30"/>
              </w:rPr>
              <w:t>意见</w:t>
            </w:r>
            <w:r>
              <w:rPr>
                <w:rFonts w:hint="default" w:ascii="Times New Roman" w:hAnsi="Times New Roman" w:eastAsia="仿宋" w:cs="Times New Roman"/>
                <w:color w:val="auto"/>
                <w:spacing w:val="-16"/>
                <w:sz w:val="30"/>
                <w:szCs w:val="30"/>
              </w:rPr>
              <w:t>，经研究</w:t>
            </w:r>
            <w:r>
              <w:rPr>
                <w:rFonts w:hint="eastAsia" w:eastAsia="仿宋" w:cs="Times New Roman"/>
                <w:color w:val="auto"/>
                <w:spacing w:val="-16"/>
                <w:sz w:val="30"/>
                <w:szCs w:val="30"/>
                <w:lang w:eastAsia="zh-CN"/>
              </w:rPr>
              <w:t>，</w:t>
            </w:r>
            <w:r>
              <w:rPr>
                <w:rFonts w:hint="default" w:ascii="Times New Roman" w:hAnsi="Times New Roman" w:eastAsia="仿宋" w:cs="Times New Roman"/>
                <w:color w:val="auto"/>
                <w:spacing w:val="-16"/>
                <w:sz w:val="30"/>
                <w:szCs w:val="30"/>
              </w:rPr>
              <w:t>批复如下</w:t>
            </w:r>
            <w:r>
              <w:rPr>
                <w:rFonts w:hint="eastAsia" w:eastAsia="仿宋" w:cs="Times New Roman"/>
                <w:color w:val="auto"/>
                <w:spacing w:val="-16"/>
                <w:sz w:val="30"/>
                <w:szCs w:val="30"/>
                <w:lang w:eastAsia="zh-CN"/>
              </w:rPr>
              <w:t>。</w:t>
            </w:r>
          </w:p>
          <w:p w14:paraId="7A5C465E">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金隅星节能保温科技（唐山）有限公司年产7万吨岩棉保温材料弹性毡技改项目位于唐山市曹妃甸中小企业园区金隅星节能保温科技（唐山）有限公司现有厂区内，厂址中心坐标E118°23′46.605″，N39°9′35.207″，总投资2500万元（其中环保投资10万元）。项目新增开包机、预开松机、振动开棉箱、撒粉机、气流成网机、破碎机</w:t>
            </w:r>
            <w:r>
              <w:rPr>
                <w:rFonts w:hint="eastAsia" w:ascii="仿宋" w:hAnsi="仿宋" w:eastAsia="仿宋" w:cs="仿宋"/>
                <w:color w:val="auto"/>
                <w:spacing w:val="-16"/>
                <w:kern w:val="2"/>
                <w:sz w:val="30"/>
                <w:szCs w:val="30"/>
                <w:highlight w:val="none"/>
                <w:lang w:val="en-US" w:eastAsia="zh-CN" w:bidi="ar-SA"/>
              </w:rPr>
              <w:t>、保温棉收卷机等设备及相关配套辅助设施。项目建成后，计划年产弹性毡30万立方米。项</w:t>
            </w:r>
            <w:r>
              <w:rPr>
                <w:rFonts w:hint="default" w:ascii="仿宋" w:hAnsi="仿宋" w:eastAsia="仿宋" w:cs="仿宋"/>
                <w:color w:val="auto"/>
                <w:spacing w:val="-16"/>
                <w:kern w:val="2"/>
                <w:sz w:val="30"/>
                <w:szCs w:val="30"/>
                <w:highlight w:val="none"/>
                <w:lang w:val="en-US" w:eastAsia="zh-CN" w:bidi="ar-SA"/>
              </w:rPr>
              <w:t>目实施将对生态环境产生一定不利影响，在全面落实环境影响报告表提出的各项生态保护和污染防治措施后，不利影响能够得到减缓和控制。我局原则同意环境影响报告表的环境影响评价总体结论和拟采取的环境保护措施。</w:t>
            </w:r>
          </w:p>
          <w:p w14:paraId="0E61B6C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default" w:ascii="Times New Roman" w:hAnsi="Times New Roman" w:eastAsia="仿宋" w:cs="Times New Roman"/>
                <w:color w:val="auto"/>
                <w:spacing w:val="-16"/>
                <w:sz w:val="30"/>
                <w:szCs w:val="30"/>
              </w:rPr>
            </w:pPr>
            <w:r>
              <w:rPr>
                <w:rFonts w:hint="default" w:ascii="Times New Roman" w:hAnsi="Times New Roman" w:eastAsia="仿宋" w:cs="Times New Roman"/>
                <w:color w:val="auto"/>
                <w:spacing w:val="-16"/>
                <w:sz w:val="30"/>
                <w:szCs w:val="30"/>
              </w:rPr>
              <w:t>二、项目实施</w:t>
            </w:r>
            <w:r>
              <w:rPr>
                <w:rFonts w:hint="eastAsia" w:eastAsia="仿宋" w:cs="Times New Roman"/>
                <w:color w:val="auto"/>
                <w:spacing w:val="-16"/>
                <w:sz w:val="30"/>
                <w:szCs w:val="30"/>
                <w:lang w:val="en-US" w:eastAsia="zh-CN"/>
              </w:rPr>
              <w:t>过程</w:t>
            </w:r>
            <w:r>
              <w:rPr>
                <w:rFonts w:hint="default" w:ascii="Times New Roman" w:hAnsi="Times New Roman" w:eastAsia="仿宋" w:cs="Times New Roman"/>
                <w:color w:val="auto"/>
                <w:spacing w:val="-16"/>
                <w:sz w:val="30"/>
                <w:szCs w:val="30"/>
              </w:rPr>
              <w:t>中应重点做好以下工作：</w:t>
            </w:r>
          </w:p>
          <w:p w14:paraId="5E9BF7E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default" w:ascii="仿宋" w:hAnsi="仿宋" w:eastAsia="仿宋" w:cs="仿宋"/>
                <w:color w:val="auto"/>
                <w:spacing w:val="-16"/>
                <w:kern w:val="2"/>
                <w:sz w:val="30"/>
                <w:szCs w:val="30"/>
                <w:highlight w:val="none"/>
                <w:lang w:val="en-US" w:eastAsia="zh-CN" w:bidi="ar-SA"/>
              </w:rPr>
              <w:t>（一）</w:t>
            </w:r>
            <w:r>
              <w:rPr>
                <w:rFonts w:hint="eastAsia" w:ascii="仿宋" w:hAnsi="仿宋" w:eastAsia="仿宋" w:cs="仿宋"/>
                <w:color w:val="auto"/>
                <w:spacing w:val="-16"/>
                <w:kern w:val="2"/>
                <w:sz w:val="30"/>
                <w:szCs w:val="30"/>
                <w:highlight w:val="none"/>
                <w:lang w:val="en-US" w:eastAsia="zh-CN" w:bidi="ar-SA"/>
              </w:rPr>
              <w:t>加强施工期环境管理。合理安排施工时间，优化施工工艺，防止工程施工造成的环境污染。选用低噪声施工机械、合理安排各类施工机械工作时间，确保施工场界噪声达到《建筑施工场界环境噪声排放标准》（GB12523-2011）要求。</w:t>
            </w:r>
          </w:p>
          <w:p w14:paraId="483EF9BC">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lang w:val="en-US" w:eastAsia="zh-CN"/>
              </w:rPr>
            </w:pPr>
            <w:r>
              <w:rPr>
                <w:rFonts w:hint="eastAsia" w:ascii="仿宋" w:hAnsi="仿宋" w:eastAsia="仿宋" w:cs="仿宋"/>
                <w:color w:val="auto"/>
                <w:spacing w:val="-16"/>
                <w:kern w:val="2"/>
                <w:sz w:val="30"/>
                <w:szCs w:val="30"/>
                <w:highlight w:val="none"/>
                <w:lang w:val="en-US" w:eastAsia="zh-CN" w:bidi="ar-SA"/>
              </w:rPr>
              <w:t>（二）运营期，固化废气经“过滤棉+洗涤塔+等离子导滤器+44m高排气筒”处理，烟气黑度、颗粒物、SO</w:t>
            </w:r>
            <w:r>
              <w:rPr>
                <w:rFonts w:hint="eastAsia" w:ascii="仿宋" w:hAnsi="仿宋" w:eastAsia="仿宋" w:cs="仿宋"/>
                <w:color w:val="auto"/>
                <w:spacing w:val="-16"/>
                <w:kern w:val="2"/>
                <w:sz w:val="30"/>
                <w:szCs w:val="30"/>
                <w:highlight w:val="none"/>
                <w:vertAlign w:val="subscript"/>
                <w:lang w:val="en-US" w:eastAsia="zh-CN" w:bidi="ar-SA"/>
              </w:rPr>
              <w:t>2</w:t>
            </w:r>
            <w:r>
              <w:rPr>
                <w:rFonts w:hint="eastAsia" w:ascii="仿宋" w:hAnsi="仿宋" w:eastAsia="仿宋" w:cs="仿宋"/>
                <w:color w:val="auto"/>
                <w:spacing w:val="-16"/>
                <w:kern w:val="2"/>
                <w:sz w:val="30"/>
                <w:szCs w:val="30"/>
                <w:highlight w:val="none"/>
                <w:vertAlign w:val="baseline"/>
                <w:lang w:val="en-US" w:eastAsia="zh-CN" w:bidi="ar-SA"/>
              </w:rPr>
              <w:t>、</w:t>
            </w:r>
            <w:r>
              <w:rPr>
                <w:rFonts w:hint="eastAsia" w:ascii="仿宋" w:hAnsi="仿宋" w:eastAsia="仿宋" w:cs="仿宋"/>
                <w:color w:val="auto"/>
                <w:spacing w:val="-16"/>
                <w:kern w:val="2"/>
                <w:sz w:val="30"/>
                <w:szCs w:val="30"/>
                <w:highlight w:val="none"/>
                <w:lang w:val="en-US" w:eastAsia="zh-CN" w:bidi="ar-SA"/>
              </w:rPr>
              <w:t>NO</w:t>
            </w:r>
            <w:r>
              <w:rPr>
                <w:rFonts w:hint="eastAsia" w:ascii="仿宋" w:hAnsi="仿宋" w:eastAsia="仿宋" w:cs="仿宋"/>
                <w:color w:val="auto"/>
                <w:spacing w:val="-16"/>
                <w:kern w:val="2"/>
                <w:sz w:val="30"/>
                <w:szCs w:val="30"/>
                <w:highlight w:val="none"/>
                <w:vertAlign w:val="subscript"/>
                <w:lang w:val="en-US" w:eastAsia="zh-CN" w:bidi="ar-SA"/>
              </w:rPr>
              <w:t>X</w:t>
            </w:r>
            <w:r>
              <w:rPr>
                <w:rFonts w:hint="eastAsia" w:ascii="仿宋" w:hAnsi="仿宋" w:eastAsia="仿宋" w:cs="仿宋"/>
                <w:color w:val="auto"/>
                <w:spacing w:val="-16"/>
                <w:kern w:val="2"/>
                <w:sz w:val="30"/>
                <w:szCs w:val="30"/>
                <w:highlight w:val="none"/>
                <w:lang w:val="en-US" w:eastAsia="zh-CN" w:bidi="ar-SA"/>
              </w:rPr>
              <w:t>排放须满足《工业炉窑大气污染物排放标准》（DB13/1640-2012）及《唐山市2019年“十项重点工作”工作方案》（唐办发〔2019〕3号）相关限值要求，酚类、甲醛、非甲烷总烃排放须满足《矿物棉工业大气污染物排放标准》（GB41617-2022）表1中限值要求。</w:t>
            </w:r>
            <w:r>
              <w:rPr>
                <w:rFonts w:hint="eastAsia" w:ascii="仿宋" w:hAnsi="仿宋" w:eastAsia="仿宋" w:cs="仿宋"/>
                <w:color w:val="auto"/>
                <w:spacing w:val="-16"/>
                <w:sz w:val="30"/>
                <w:szCs w:val="30"/>
                <w:lang w:val="en-US" w:eastAsia="zh-CN"/>
              </w:rPr>
              <w:t>加强生产各环节污染物无组织排放管理，加强设备密闭，车间设置工业吸尘器</w:t>
            </w:r>
            <w:r>
              <w:rPr>
                <w:rFonts w:hint="eastAsia" w:ascii="仿宋" w:hAnsi="仿宋" w:eastAsia="仿宋" w:cs="仿宋"/>
                <w:color w:val="auto"/>
                <w:spacing w:val="-16"/>
                <w:kern w:val="2"/>
                <w:sz w:val="30"/>
                <w:szCs w:val="30"/>
                <w:highlight w:val="none"/>
                <w:lang w:val="en-US" w:eastAsia="zh-CN" w:bidi="ar-SA"/>
              </w:rPr>
              <w:t>，投料工序位于密闭上料间并设置集尘箱，</w:t>
            </w:r>
            <w:r>
              <w:rPr>
                <w:rFonts w:hint="eastAsia" w:ascii="仿宋" w:hAnsi="仿宋" w:eastAsia="仿宋" w:cs="仿宋"/>
                <w:color w:val="auto"/>
                <w:spacing w:val="-16"/>
                <w:kern w:val="2"/>
                <w:sz w:val="30"/>
                <w:szCs w:val="30"/>
                <w:highlight w:val="none"/>
                <w:lang w:val="zh-CN" w:eastAsia="zh-CN" w:bidi="ar-SA"/>
              </w:rPr>
              <w:t>颗粒物、</w:t>
            </w:r>
            <w:r>
              <w:rPr>
                <w:rFonts w:hint="eastAsia" w:ascii="仿宋" w:hAnsi="仿宋" w:eastAsia="仿宋" w:cs="仿宋"/>
                <w:color w:val="auto"/>
                <w:spacing w:val="-16"/>
                <w:kern w:val="2"/>
                <w:sz w:val="30"/>
                <w:szCs w:val="30"/>
                <w:highlight w:val="none"/>
                <w:lang w:val="en-US" w:eastAsia="zh-CN" w:bidi="ar-SA"/>
              </w:rPr>
              <w:t>酚类</w:t>
            </w:r>
            <w:r>
              <w:rPr>
                <w:rFonts w:hint="eastAsia" w:ascii="仿宋" w:hAnsi="仿宋" w:eastAsia="仿宋" w:cs="仿宋"/>
                <w:color w:val="auto"/>
                <w:spacing w:val="-16"/>
                <w:kern w:val="2"/>
                <w:sz w:val="30"/>
                <w:szCs w:val="30"/>
                <w:highlight w:val="none"/>
                <w:lang w:val="zh-CN" w:eastAsia="zh-CN" w:bidi="ar-SA"/>
              </w:rPr>
              <w:t>无组织排放</w:t>
            </w:r>
            <w:r>
              <w:rPr>
                <w:rFonts w:hint="eastAsia" w:ascii="仿宋" w:hAnsi="仿宋" w:eastAsia="仿宋" w:cs="仿宋"/>
                <w:color w:val="auto"/>
                <w:spacing w:val="-16"/>
                <w:kern w:val="2"/>
                <w:sz w:val="30"/>
                <w:szCs w:val="30"/>
                <w:highlight w:val="none"/>
                <w:lang w:val="en-US" w:eastAsia="zh-CN" w:bidi="ar-SA"/>
              </w:rPr>
              <w:t>须</w:t>
            </w:r>
            <w:r>
              <w:rPr>
                <w:rFonts w:hint="eastAsia" w:ascii="仿宋" w:hAnsi="仿宋" w:eastAsia="仿宋" w:cs="仿宋"/>
                <w:color w:val="auto"/>
                <w:spacing w:val="-16"/>
                <w:kern w:val="2"/>
                <w:sz w:val="30"/>
                <w:szCs w:val="30"/>
                <w:highlight w:val="none"/>
                <w:lang w:val="zh-CN" w:eastAsia="zh-CN" w:bidi="ar-SA"/>
              </w:rPr>
              <w:t>满足</w:t>
            </w:r>
            <w:r>
              <w:rPr>
                <w:rFonts w:hint="eastAsia" w:ascii="仿宋" w:hAnsi="仿宋" w:eastAsia="仿宋" w:cs="仿宋"/>
                <w:color w:val="auto"/>
                <w:spacing w:val="-16"/>
                <w:kern w:val="2"/>
                <w:sz w:val="30"/>
                <w:szCs w:val="30"/>
                <w:highlight w:val="none"/>
                <w:lang w:val="en-US" w:eastAsia="zh-CN" w:bidi="ar-SA"/>
              </w:rPr>
              <w:t>《大气污染物综合排放标准》（GB12697-1996）表2中限值要求，甲醛无组织排放须</w:t>
            </w:r>
            <w:r>
              <w:rPr>
                <w:rFonts w:hint="eastAsia" w:ascii="仿宋" w:hAnsi="仿宋" w:eastAsia="仿宋" w:cs="仿宋"/>
                <w:color w:val="auto"/>
                <w:spacing w:val="-16"/>
                <w:kern w:val="2"/>
                <w:sz w:val="30"/>
                <w:szCs w:val="30"/>
                <w:highlight w:val="none"/>
                <w:lang w:val="zh-CN" w:eastAsia="zh-CN" w:bidi="ar-SA"/>
              </w:rPr>
              <w:t>满足</w:t>
            </w:r>
            <w:r>
              <w:rPr>
                <w:rFonts w:hint="eastAsia" w:ascii="仿宋" w:hAnsi="仿宋" w:eastAsia="仿宋" w:cs="仿宋"/>
                <w:color w:val="auto"/>
                <w:spacing w:val="-16"/>
                <w:kern w:val="2"/>
                <w:sz w:val="30"/>
                <w:szCs w:val="30"/>
                <w:highlight w:val="none"/>
                <w:lang w:val="en-US" w:eastAsia="zh-CN" w:bidi="ar-SA"/>
              </w:rPr>
              <w:t>《矿物棉工业大气污染物排放标准》（GB41617-2022）表4中限值要求，非甲烷总烃无组织排放须</w:t>
            </w:r>
            <w:r>
              <w:rPr>
                <w:rFonts w:hint="eastAsia" w:ascii="仿宋" w:hAnsi="仿宋" w:eastAsia="仿宋" w:cs="仿宋"/>
                <w:color w:val="auto"/>
                <w:spacing w:val="-16"/>
                <w:kern w:val="2"/>
                <w:sz w:val="30"/>
                <w:szCs w:val="30"/>
                <w:highlight w:val="none"/>
                <w:lang w:val="zh-CN" w:eastAsia="zh-CN" w:bidi="ar-SA"/>
              </w:rPr>
              <w:t>满足</w:t>
            </w:r>
            <w:r>
              <w:rPr>
                <w:rFonts w:hint="eastAsia" w:ascii="仿宋" w:hAnsi="仿宋" w:eastAsia="仿宋" w:cs="仿宋"/>
                <w:color w:val="auto"/>
                <w:spacing w:val="-16"/>
                <w:kern w:val="2"/>
                <w:sz w:val="30"/>
                <w:szCs w:val="30"/>
                <w:highlight w:val="none"/>
                <w:lang w:val="en-US" w:eastAsia="zh-CN" w:bidi="ar-SA"/>
              </w:rPr>
              <w:t>《工业企业挥发性有机物排放控制标准》（DB13/2322-2016）表2中限值要求，厂区内颗粒物、非甲烷总烃无组织排放须</w:t>
            </w:r>
            <w:r>
              <w:rPr>
                <w:rFonts w:hint="eastAsia" w:ascii="仿宋" w:hAnsi="仿宋" w:eastAsia="仿宋" w:cs="仿宋"/>
                <w:color w:val="auto"/>
                <w:spacing w:val="-16"/>
                <w:kern w:val="2"/>
                <w:sz w:val="30"/>
                <w:szCs w:val="30"/>
                <w:highlight w:val="none"/>
                <w:lang w:val="zh-CN" w:eastAsia="zh-CN" w:bidi="ar-SA"/>
              </w:rPr>
              <w:t>满足</w:t>
            </w:r>
            <w:r>
              <w:rPr>
                <w:rFonts w:hint="eastAsia" w:ascii="仿宋" w:hAnsi="仿宋" w:eastAsia="仿宋" w:cs="仿宋"/>
                <w:color w:val="auto"/>
                <w:spacing w:val="-16"/>
                <w:kern w:val="2"/>
                <w:sz w:val="30"/>
                <w:szCs w:val="30"/>
                <w:highlight w:val="none"/>
                <w:lang w:val="en-US" w:eastAsia="zh-CN" w:bidi="ar-SA"/>
              </w:rPr>
              <w:t>《矿物棉工业大气污染物排放标准》（GB 41617-2022）表A.1中限值要求。</w:t>
            </w:r>
          </w:p>
          <w:p w14:paraId="3FDBE49B">
            <w:pPr>
              <w:pStyle w:val="4"/>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三）运营期，严格按照有关规定，对固体废物实施分类收集和处理、处置，做到资源化、减量化、无害化。一般工业固废妥善处理，最大限度回收利用。废润滑油、废油桶等危险废物按规定暂存，定期交有相应资质的危险废物处理单位处置。危险废物暂存间应满足</w:t>
            </w:r>
            <w:r>
              <w:rPr>
                <w:rFonts w:hint="eastAsia" w:ascii="仿宋" w:hAnsi="仿宋" w:eastAsia="仿宋" w:cs="仿宋"/>
                <w:color w:val="auto"/>
                <w:spacing w:val="-16"/>
                <w:sz w:val="30"/>
                <w:szCs w:val="30"/>
                <w:highlight w:val="none"/>
              </w:rPr>
              <w:t>《危险废物贮存污染控制标准》（GB18597-2023）要求</w:t>
            </w:r>
            <w:r>
              <w:rPr>
                <w:rFonts w:hint="eastAsia" w:ascii="仿宋" w:hAnsi="仿宋" w:eastAsia="仿宋" w:cs="仿宋"/>
                <w:color w:val="auto"/>
                <w:spacing w:val="-16"/>
                <w:kern w:val="2"/>
                <w:sz w:val="30"/>
                <w:szCs w:val="30"/>
                <w:highlight w:val="none"/>
                <w:lang w:val="en-US" w:eastAsia="zh-CN" w:bidi="ar-SA"/>
              </w:rPr>
              <w:t>。加强危险废物收集、出厂转移环节的环境管理和风险防范。</w:t>
            </w:r>
          </w:p>
          <w:p w14:paraId="7C2772C3">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四）运营期，加强噪声污染防治。项目建设应合理布局，选用低噪声设备，同时采取必要的减振、隔声等降噪措施，加强设备的日常维护和保养，厂界噪声须满足《工业企业厂界环境噪声排放标准》（GB12348-2008）中相关要求。</w:t>
            </w:r>
          </w:p>
          <w:p w14:paraId="7A394A91">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（五）</w:t>
            </w:r>
            <w:r>
              <w:rPr>
                <w:rFonts w:hint="eastAsia" w:ascii="仿宋" w:hAnsi="仿宋" w:eastAsia="仿宋" w:cs="仿宋"/>
                <w:color w:val="auto"/>
                <w:spacing w:val="-16"/>
                <w:sz w:val="30"/>
                <w:szCs w:val="30"/>
              </w:rPr>
              <w:t>加强环境风险防范，落实环境风险应急措施。</w:t>
            </w:r>
            <w:r>
              <w:rPr>
                <w:rFonts w:hint="eastAsia" w:ascii="仿宋" w:hAnsi="仿宋" w:eastAsia="仿宋" w:cs="仿宋"/>
                <w:color w:val="auto"/>
                <w:spacing w:val="-16"/>
                <w:sz w:val="30"/>
                <w:szCs w:val="30"/>
                <w:lang w:val="en-US" w:eastAsia="zh-CN"/>
              </w:rPr>
              <w:t>及时修订</w:t>
            </w:r>
            <w:r>
              <w:rPr>
                <w:rFonts w:hint="eastAsia" w:ascii="仿宋" w:hAnsi="仿宋" w:eastAsia="仿宋" w:cs="仿宋"/>
                <w:color w:val="auto"/>
                <w:spacing w:val="-16"/>
                <w:kern w:val="2"/>
                <w:sz w:val="30"/>
                <w:szCs w:val="30"/>
                <w:highlight w:val="none"/>
                <w:lang w:val="en-US" w:eastAsia="zh-CN" w:bidi="ar-SA"/>
              </w:rPr>
              <w:t>金隅星节能保温科技（唐山）有限公司</w:t>
            </w:r>
            <w:r>
              <w:rPr>
                <w:rFonts w:hint="eastAsia" w:ascii="仿宋" w:hAnsi="仿宋" w:eastAsia="仿宋" w:cs="仿宋"/>
                <w:color w:val="auto"/>
                <w:spacing w:val="-16"/>
                <w:sz w:val="30"/>
                <w:szCs w:val="30"/>
              </w:rPr>
              <w:t>突发环境事件应急预案，与我地政府、园区等应急预案做好衔接，按照规定报相关部门备案。配备必要的应急设备和物资，加大风险监测和监控力度，定期进行应急培训和演练，有效防范和应对环境风险。</w:t>
            </w:r>
          </w:p>
          <w:p w14:paraId="3A1555A8">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kern w:val="2"/>
                <w:sz w:val="30"/>
                <w:szCs w:val="30"/>
                <w:highlight w:val="none"/>
                <w:lang w:val="en-US" w:eastAsia="zh-CN" w:bidi="ar-SA"/>
              </w:rPr>
            </w:pPr>
            <w:r>
              <w:rPr>
                <w:rFonts w:hint="eastAsia" w:ascii="仿宋" w:hAnsi="仿宋" w:eastAsia="仿宋" w:cs="仿宋"/>
                <w:color w:val="auto"/>
                <w:spacing w:val="-16"/>
                <w:kern w:val="2"/>
                <w:sz w:val="30"/>
                <w:szCs w:val="30"/>
                <w:highlight w:val="none"/>
                <w:lang w:val="en-US" w:eastAsia="zh-CN" w:bidi="ar-SA"/>
              </w:rPr>
              <w:t>（六）其他环境管理内容严格按环境影响报告表规定的措施进行落实。</w:t>
            </w:r>
          </w:p>
          <w:p w14:paraId="490C75C0">
            <w:pPr>
              <w:pStyle w:val="9"/>
              <w:keepNext w:val="0"/>
              <w:keepLines w:val="0"/>
              <w:pageBreakBefore w:val="0"/>
              <w:widowControl w:val="0"/>
              <w:kinsoku/>
              <w:wordWrap/>
              <w:overflowPunct/>
              <w:topLinePunct w:val="0"/>
              <w:autoSpaceDE/>
              <w:autoSpaceDN/>
              <w:bidi w:val="0"/>
              <w:adjustRightInd w:val="0"/>
              <w:snapToGrid w:val="0"/>
              <w:spacing w:line="264" w:lineRule="auto"/>
              <w:ind w:firstLine="536"/>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kern w:val="2"/>
                <w:sz w:val="30"/>
                <w:szCs w:val="30"/>
                <w:highlight w:val="none"/>
                <w:lang w:val="en-US" w:eastAsia="zh-CN" w:bidi="ar-SA"/>
              </w:rPr>
              <w:t>三、</w:t>
            </w:r>
            <w:r>
              <w:rPr>
                <w:rFonts w:hint="eastAsia" w:ascii="仿宋" w:hAnsi="仿宋" w:eastAsia="仿宋" w:cs="仿宋"/>
                <w:color w:val="auto"/>
                <w:spacing w:val="-16"/>
                <w:sz w:val="30"/>
                <w:szCs w:val="30"/>
                <w:highlight w:val="none"/>
              </w:rPr>
              <w:t>建立企业内部生态环境管理机构和制度，明确人员和生态环境保护职责。项目实施必须严格执行配套建设的环境保护设施与主体工程同时设计、同时施工、同时投产使用的环境保护“三同时”制度。项目竣工后，建设单位须按规定做好环境保护验收工作，验收合格后，项目方可正式投入生产。同时，应在项目产生实际污染物排放之前，按照国家排污许可有关管理规定要求办理相关手续。</w:t>
            </w:r>
          </w:p>
          <w:p w14:paraId="1C68A07F">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四、</w:t>
            </w:r>
            <w:r>
              <w:rPr>
                <w:rFonts w:hint="eastAsia" w:ascii="仿宋" w:hAnsi="仿宋" w:eastAsia="仿宋" w:cs="仿宋"/>
                <w:color w:val="auto"/>
                <w:spacing w:val="-16"/>
                <w:sz w:val="30"/>
                <w:szCs w:val="30"/>
                <w:highlight w:val="none"/>
              </w:rPr>
              <w:t>环境影响报告表经批准后，该项目的性质、规模、地点、生产工艺和环境保护措施发生重大变动，且可能导致环境影响显著变化（特别是不利环境影响加重）的，应当重新报批该项目环境影响报告表。项目自批复之日起五年后方决定开工建设的，须将环评文件报我局重新审核。</w:t>
            </w:r>
          </w:p>
          <w:p w14:paraId="036E4850">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eastAsia="zh-CN"/>
              </w:rPr>
              <w:t>五</w:t>
            </w:r>
            <w:r>
              <w:rPr>
                <w:rFonts w:hint="eastAsia" w:ascii="仿宋" w:hAnsi="仿宋" w:eastAsia="仿宋" w:cs="仿宋"/>
                <w:color w:val="auto"/>
                <w:spacing w:val="-16"/>
                <w:sz w:val="30"/>
                <w:szCs w:val="30"/>
                <w:highlight w:val="none"/>
              </w:rPr>
              <w:t>、你单位在接到本批复后20个工作日内，须将批复后的环境影响报告表送唐山市生态环境局曹妃甸区分局，同时定期向唐山市生态环境局曹妃甸区分局报告项目环境保护“三同时”完成情况，并按规定接受各级环境保护主管部门的监督检查。</w:t>
            </w:r>
          </w:p>
          <w:p w14:paraId="16DDC3CB">
            <w:pPr>
              <w:keepNext w:val="0"/>
              <w:keepLines w:val="0"/>
              <w:pageBreakBefore w:val="0"/>
              <w:widowControl w:val="0"/>
              <w:kinsoku/>
              <w:wordWrap/>
              <w:overflowPunct/>
              <w:topLinePunct w:val="0"/>
              <w:autoSpaceDE/>
              <w:autoSpaceDN/>
              <w:bidi w:val="0"/>
              <w:adjustRightInd w:val="0"/>
              <w:snapToGrid w:val="0"/>
              <w:spacing w:line="264" w:lineRule="auto"/>
              <w:ind w:firstLine="536" w:firstLineChars="200"/>
              <w:textAlignment w:val="auto"/>
              <w:rPr>
                <w:rFonts w:hint="eastAsia" w:ascii="仿宋" w:hAnsi="仿宋" w:eastAsia="仿宋" w:cs="仿宋"/>
                <w:color w:val="auto"/>
                <w:spacing w:val="-16"/>
                <w:sz w:val="30"/>
                <w:szCs w:val="30"/>
                <w:highlight w:val="none"/>
              </w:rPr>
            </w:pPr>
            <w:r>
              <w:rPr>
                <w:rFonts w:hint="eastAsia" w:ascii="仿宋" w:hAnsi="仿宋" w:eastAsia="仿宋" w:cs="仿宋"/>
                <w:color w:val="auto"/>
                <w:spacing w:val="-16"/>
                <w:sz w:val="30"/>
                <w:szCs w:val="30"/>
                <w:highlight w:val="none"/>
                <w:lang w:val="en-US" w:eastAsia="zh-CN"/>
              </w:rPr>
              <w:t>六</w:t>
            </w:r>
            <w:r>
              <w:rPr>
                <w:rFonts w:hint="eastAsia" w:ascii="仿宋" w:hAnsi="仿宋" w:eastAsia="仿宋" w:cs="仿宋"/>
                <w:color w:val="auto"/>
                <w:spacing w:val="-16"/>
                <w:sz w:val="30"/>
                <w:szCs w:val="30"/>
                <w:highlight w:val="none"/>
              </w:rPr>
              <w:t>、该项目的环境保护“三同时”制度落实日常监管由唐山市生态环境局曹妃甸区分局负责。</w:t>
            </w:r>
          </w:p>
          <w:p w14:paraId="4B01194A">
            <w:pPr>
              <w:pStyle w:val="4"/>
              <w:rPr>
                <w:rFonts w:hint="eastAsia"/>
                <w:color w:val="auto"/>
              </w:rPr>
            </w:pPr>
          </w:p>
          <w:p w14:paraId="62226557">
            <w:pPr>
              <w:pStyle w:val="4"/>
              <w:rPr>
                <w:rFonts w:hint="eastAsia"/>
                <w:color w:val="auto"/>
              </w:rPr>
            </w:pPr>
          </w:p>
          <w:p w14:paraId="35A911E0">
            <w:pPr>
              <w:rPr>
                <w:rFonts w:hint="eastAsia"/>
                <w:color w:val="auto"/>
              </w:rPr>
            </w:pPr>
          </w:p>
          <w:p w14:paraId="6889D5DF">
            <w:pPr>
              <w:pStyle w:val="8"/>
              <w:rPr>
                <w:rFonts w:hint="eastAsia"/>
                <w:color w:val="auto"/>
              </w:rPr>
            </w:pPr>
          </w:p>
          <w:p w14:paraId="63DDAA25">
            <w:pPr>
              <w:rPr>
                <w:rFonts w:hint="eastAsia"/>
                <w:color w:val="auto"/>
              </w:rPr>
            </w:pPr>
          </w:p>
          <w:p w14:paraId="128BF15D">
            <w:pPr>
              <w:pStyle w:val="8"/>
              <w:rPr>
                <w:rFonts w:hint="eastAsia"/>
                <w:color w:val="auto"/>
              </w:rPr>
            </w:pPr>
          </w:p>
          <w:p w14:paraId="5B5D11E5">
            <w:pPr>
              <w:rPr>
                <w:rFonts w:hint="eastAsia"/>
                <w:color w:val="auto"/>
              </w:rPr>
            </w:pPr>
          </w:p>
          <w:p w14:paraId="6745EE7E">
            <w:pPr>
              <w:pStyle w:val="2"/>
              <w:rPr>
                <w:rFonts w:hint="eastAsia"/>
              </w:rPr>
            </w:pPr>
          </w:p>
          <w:p w14:paraId="49BC47AD">
            <w:pPr>
              <w:pStyle w:val="8"/>
              <w:rPr>
                <w:rFonts w:hint="eastAsia"/>
                <w:color w:val="auto"/>
              </w:rPr>
            </w:pPr>
          </w:p>
          <w:p w14:paraId="5E20FE71">
            <w:pPr>
              <w:rPr>
                <w:rFonts w:hint="eastAsia"/>
                <w:color w:val="auto"/>
              </w:rPr>
            </w:pPr>
          </w:p>
          <w:p w14:paraId="2D640DEB">
            <w:pPr>
              <w:pStyle w:val="8"/>
              <w:rPr>
                <w:rFonts w:hint="eastAsia"/>
              </w:rPr>
            </w:pPr>
          </w:p>
          <w:p w14:paraId="0D851744">
            <w:pPr>
              <w:adjustRightInd w:val="0"/>
              <w:snapToGrid w:val="0"/>
              <w:ind w:left="5670" w:leftChars="2700"/>
              <w:rPr>
                <w:rFonts w:hint="default" w:ascii="Times New Roman" w:hAnsi="Times New Roman" w:eastAsia="仿宋" w:cs="Times New Roman"/>
                <w:color w:val="auto"/>
                <w:szCs w:val="21"/>
              </w:rPr>
            </w:pPr>
          </w:p>
          <w:p w14:paraId="5FF6A577">
            <w:pPr>
              <w:adjustRightInd w:val="0"/>
              <w:snapToGrid w:val="0"/>
              <w:ind w:left="5670" w:leftChars="2700"/>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（盖章）</w:t>
            </w:r>
          </w:p>
          <w:p w14:paraId="34ACE910">
            <w:pPr>
              <w:adjustRightInd w:val="0"/>
              <w:snapToGrid w:val="0"/>
              <w:jc w:val="center"/>
              <w:rPr>
                <w:rFonts w:ascii="仿宋_GB2312" w:hAnsi="宋体" w:eastAsia="仿宋_GB2312"/>
                <w:color w:val="auto"/>
                <w:sz w:val="32"/>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9</w:t>
            </w:r>
            <w:bookmarkStart w:id="1" w:name="_GoBack"/>
            <w:bookmarkEnd w:id="1"/>
            <w:r>
              <w:rPr>
                <w:rFonts w:hint="eastAsia" w:ascii="仿宋" w:hAnsi="仿宋" w:eastAsia="仿宋" w:cs="仿宋"/>
                <w:color w:val="auto"/>
                <w:sz w:val="30"/>
                <w:szCs w:val="30"/>
                <w:highlight w:val="none"/>
              </w:rPr>
              <w:t>日</w:t>
            </w:r>
          </w:p>
        </w:tc>
      </w:tr>
    </w:tbl>
    <w:p w14:paraId="31A3E10F"/>
    <w:sectPr>
      <w:headerReference r:id="rId3"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82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TQxMzYzZjY0OTUxZjljNDA5YzU2NjE0YmMxY2UifQ=="/>
  </w:docVars>
  <w:rsids>
    <w:rsidRoot w:val="002441E5"/>
    <w:rsid w:val="00025F8C"/>
    <w:rsid w:val="00041940"/>
    <w:rsid w:val="000466EF"/>
    <w:rsid w:val="0006656F"/>
    <w:rsid w:val="000A5C9E"/>
    <w:rsid w:val="00146E0E"/>
    <w:rsid w:val="00157E65"/>
    <w:rsid w:val="001D72A6"/>
    <w:rsid w:val="001F44A0"/>
    <w:rsid w:val="002441E5"/>
    <w:rsid w:val="00275F9E"/>
    <w:rsid w:val="002D2926"/>
    <w:rsid w:val="002F371A"/>
    <w:rsid w:val="003B3367"/>
    <w:rsid w:val="00445263"/>
    <w:rsid w:val="004E26A7"/>
    <w:rsid w:val="004F2D85"/>
    <w:rsid w:val="005078D3"/>
    <w:rsid w:val="005A3D82"/>
    <w:rsid w:val="005C646C"/>
    <w:rsid w:val="0061102D"/>
    <w:rsid w:val="006656A1"/>
    <w:rsid w:val="00876764"/>
    <w:rsid w:val="00894664"/>
    <w:rsid w:val="008F73D5"/>
    <w:rsid w:val="00905E46"/>
    <w:rsid w:val="0093299B"/>
    <w:rsid w:val="009E31BC"/>
    <w:rsid w:val="00A4500A"/>
    <w:rsid w:val="00AB7180"/>
    <w:rsid w:val="00AD05D1"/>
    <w:rsid w:val="00B26B62"/>
    <w:rsid w:val="00B921B9"/>
    <w:rsid w:val="00BB0B22"/>
    <w:rsid w:val="00BD4678"/>
    <w:rsid w:val="00BE710B"/>
    <w:rsid w:val="00CC6DF6"/>
    <w:rsid w:val="00D11EFD"/>
    <w:rsid w:val="00DF08F9"/>
    <w:rsid w:val="00EC3195"/>
    <w:rsid w:val="00ED65A3"/>
    <w:rsid w:val="00EE1FB7"/>
    <w:rsid w:val="00EF3D17"/>
    <w:rsid w:val="00F429BF"/>
    <w:rsid w:val="00F6057A"/>
    <w:rsid w:val="00F763AE"/>
    <w:rsid w:val="01396DB8"/>
    <w:rsid w:val="01717C47"/>
    <w:rsid w:val="01F25BBC"/>
    <w:rsid w:val="02B56110"/>
    <w:rsid w:val="038B0F07"/>
    <w:rsid w:val="03C45F33"/>
    <w:rsid w:val="03C54CEB"/>
    <w:rsid w:val="044E02B9"/>
    <w:rsid w:val="04730D0A"/>
    <w:rsid w:val="048871A0"/>
    <w:rsid w:val="048874E8"/>
    <w:rsid w:val="04CE55B2"/>
    <w:rsid w:val="04E202AA"/>
    <w:rsid w:val="06232FF6"/>
    <w:rsid w:val="07262C58"/>
    <w:rsid w:val="07DE5966"/>
    <w:rsid w:val="0855154A"/>
    <w:rsid w:val="08862198"/>
    <w:rsid w:val="08D76761"/>
    <w:rsid w:val="09596B48"/>
    <w:rsid w:val="09B21FF7"/>
    <w:rsid w:val="09DB20ED"/>
    <w:rsid w:val="0A1E5D98"/>
    <w:rsid w:val="0A611F34"/>
    <w:rsid w:val="0A89651B"/>
    <w:rsid w:val="0A91532D"/>
    <w:rsid w:val="0A932290"/>
    <w:rsid w:val="0AA401E2"/>
    <w:rsid w:val="0AB3187A"/>
    <w:rsid w:val="0BB359C0"/>
    <w:rsid w:val="0CDE3753"/>
    <w:rsid w:val="0D45357F"/>
    <w:rsid w:val="0DDA3B91"/>
    <w:rsid w:val="0E3B61B7"/>
    <w:rsid w:val="0EE859DF"/>
    <w:rsid w:val="0EE95B2D"/>
    <w:rsid w:val="0F7D0909"/>
    <w:rsid w:val="101C0036"/>
    <w:rsid w:val="105769DE"/>
    <w:rsid w:val="11041A14"/>
    <w:rsid w:val="12767ED2"/>
    <w:rsid w:val="12966C0E"/>
    <w:rsid w:val="13584916"/>
    <w:rsid w:val="139A37C1"/>
    <w:rsid w:val="13F955A3"/>
    <w:rsid w:val="1476634D"/>
    <w:rsid w:val="14A024D2"/>
    <w:rsid w:val="14B67AD2"/>
    <w:rsid w:val="14C20F1C"/>
    <w:rsid w:val="14D533BE"/>
    <w:rsid w:val="14E7597A"/>
    <w:rsid w:val="14EA1F38"/>
    <w:rsid w:val="158132E2"/>
    <w:rsid w:val="15CA7EF8"/>
    <w:rsid w:val="16232A98"/>
    <w:rsid w:val="169B10A4"/>
    <w:rsid w:val="17A0738E"/>
    <w:rsid w:val="17A162DC"/>
    <w:rsid w:val="17CD5C40"/>
    <w:rsid w:val="19B12A9C"/>
    <w:rsid w:val="1A314CEF"/>
    <w:rsid w:val="1A3967CF"/>
    <w:rsid w:val="1B3C4F77"/>
    <w:rsid w:val="1BE378E2"/>
    <w:rsid w:val="1C3350FE"/>
    <w:rsid w:val="1C6A2D47"/>
    <w:rsid w:val="1DCB129A"/>
    <w:rsid w:val="1E163955"/>
    <w:rsid w:val="1E4F450E"/>
    <w:rsid w:val="1EA11B52"/>
    <w:rsid w:val="1FFB252D"/>
    <w:rsid w:val="20063510"/>
    <w:rsid w:val="20450EE3"/>
    <w:rsid w:val="206E4541"/>
    <w:rsid w:val="20FE72E2"/>
    <w:rsid w:val="212B7660"/>
    <w:rsid w:val="21343DF0"/>
    <w:rsid w:val="21973D65"/>
    <w:rsid w:val="21E51F2A"/>
    <w:rsid w:val="234409B3"/>
    <w:rsid w:val="23605AD7"/>
    <w:rsid w:val="236132B3"/>
    <w:rsid w:val="23F06FB4"/>
    <w:rsid w:val="25014124"/>
    <w:rsid w:val="25160B9E"/>
    <w:rsid w:val="25422EB1"/>
    <w:rsid w:val="25451EFC"/>
    <w:rsid w:val="25C478B6"/>
    <w:rsid w:val="25FF31AB"/>
    <w:rsid w:val="26D33BB6"/>
    <w:rsid w:val="26D826F4"/>
    <w:rsid w:val="27257379"/>
    <w:rsid w:val="27291A5F"/>
    <w:rsid w:val="278D305D"/>
    <w:rsid w:val="282F01FF"/>
    <w:rsid w:val="2839215A"/>
    <w:rsid w:val="28974CD0"/>
    <w:rsid w:val="299E7D29"/>
    <w:rsid w:val="2A1F0583"/>
    <w:rsid w:val="2ABD60EE"/>
    <w:rsid w:val="2AF65CB8"/>
    <w:rsid w:val="2B3B7703"/>
    <w:rsid w:val="2B5977DC"/>
    <w:rsid w:val="2C7027A2"/>
    <w:rsid w:val="2CB8238E"/>
    <w:rsid w:val="2CCE4E87"/>
    <w:rsid w:val="2CF616C6"/>
    <w:rsid w:val="2D0903A1"/>
    <w:rsid w:val="2D575F42"/>
    <w:rsid w:val="2E3C038F"/>
    <w:rsid w:val="2E7E67B5"/>
    <w:rsid w:val="2F767F98"/>
    <w:rsid w:val="304B4239"/>
    <w:rsid w:val="30E15E23"/>
    <w:rsid w:val="30FE3051"/>
    <w:rsid w:val="3143082E"/>
    <w:rsid w:val="3153309C"/>
    <w:rsid w:val="31624D44"/>
    <w:rsid w:val="31BE0086"/>
    <w:rsid w:val="31DC233B"/>
    <w:rsid w:val="31FD6F57"/>
    <w:rsid w:val="3204365B"/>
    <w:rsid w:val="32931C22"/>
    <w:rsid w:val="32A053F0"/>
    <w:rsid w:val="33021C63"/>
    <w:rsid w:val="330433E2"/>
    <w:rsid w:val="332604D0"/>
    <w:rsid w:val="332F411F"/>
    <w:rsid w:val="335F2009"/>
    <w:rsid w:val="33640893"/>
    <w:rsid w:val="33C46C9D"/>
    <w:rsid w:val="33EF4323"/>
    <w:rsid w:val="34400B65"/>
    <w:rsid w:val="34802E48"/>
    <w:rsid w:val="34E36D6A"/>
    <w:rsid w:val="35426D40"/>
    <w:rsid w:val="35820C8C"/>
    <w:rsid w:val="363A3B35"/>
    <w:rsid w:val="36F66823"/>
    <w:rsid w:val="371B1E70"/>
    <w:rsid w:val="37F428CE"/>
    <w:rsid w:val="38492940"/>
    <w:rsid w:val="38783A21"/>
    <w:rsid w:val="389C7611"/>
    <w:rsid w:val="38B10F6D"/>
    <w:rsid w:val="392436EB"/>
    <w:rsid w:val="39A5600E"/>
    <w:rsid w:val="3AC745FD"/>
    <w:rsid w:val="3AE31132"/>
    <w:rsid w:val="3AE831DC"/>
    <w:rsid w:val="3AF07E52"/>
    <w:rsid w:val="3B1D063B"/>
    <w:rsid w:val="3B580E51"/>
    <w:rsid w:val="3B5B60FE"/>
    <w:rsid w:val="3BB9317F"/>
    <w:rsid w:val="3C7911BB"/>
    <w:rsid w:val="3CB31943"/>
    <w:rsid w:val="3DF163E3"/>
    <w:rsid w:val="3E697715"/>
    <w:rsid w:val="3F47719D"/>
    <w:rsid w:val="3FBE5403"/>
    <w:rsid w:val="3FCC3946"/>
    <w:rsid w:val="3FD32370"/>
    <w:rsid w:val="401C0D02"/>
    <w:rsid w:val="40A97AED"/>
    <w:rsid w:val="412321A6"/>
    <w:rsid w:val="414F65E7"/>
    <w:rsid w:val="432F55D1"/>
    <w:rsid w:val="43461E77"/>
    <w:rsid w:val="436854A3"/>
    <w:rsid w:val="436C26EB"/>
    <w:rsid w:val="43D828B9"/>
    <w:rsid w:val="442A76CF"/>
    <w:rsid w:val="44944C9C"/>
    <w:rsid w:val="45207B9B"/>
    <w:rsid w:val="455D4AFE"/>
    <w:rsid w:val="45FB0C1E"/>
    <w:rsid w:val="46306469"/>
    <w:rsid w:val="47720038"/>
    <w:rsid w:val="479273AA"/>
    <w:rsid w:val="483B3AD2"/>
    <w:rsid w:val="4B0A4206"/>
    <w:rsid w:val="4B57280A"/>
    <w:rsid w:val="4B881529"/>
    <w:rsid w:val="4BF11BE8"/>
    <w:rsid w:val="4C0F3DA7"/>
    <w:rsid w:val="4C566267"/>
    <w:rsid w:val="4C5D55B2"/>
    <w:rsid w:val="4D8245CE"/>
    <w:rsid w:val="4D8426BB"/>
    <w:rsid w:val="4DB2068E"/>
    <w:rsid w:val="4F633CBE"/>
    <w:rsid w:val="4F657FE0"/>
    <w:rsid w:val="4F69341E"/>
    <w:rsid w:val="507C3A71"/>
    <w:rsid w:val="50CF58EE"/>
    <w:rsid w:val="51076707"/>
    <w:rsid w:val="515155A2"/>
    <w:rsid w:val="51FA00FE"/>
    <w:rsid w:val="52B23E2F"/>
    <w:rsid w:val="52B92E41"/>
    <w:rsid w:val="531643A8"/>
    <w:rsid w:val="5357030B"/>
    <w:rsid w:val="53882441"/>
    <w:rsid w:val="53D042D8"/>
    <w:rsid w:val="53F06A04"/>
    <w:rsid w:val="54CC14BB"/>
    <w:rsid w:val="54DB3998"/>
    <w:rsid w:val="54FA5C5D"/>
    <w:rsid w:val="55F52488"/>
    <w:rsid w:val="55F92EC0"/>
    <w:rsid w:val="563F048E"/>
    <w:rsid w:val="565E4359"/>
    <w:rsid w:val="56AF5BBC"/>
    <w:rsid w:val="56D96758"/>
    <w:rsid w:val="570E35A3"/>
    <w:rsid w:val="57374AF8"/>
    <w:rsid w:val="57603851"/>
    <w:rsid w:val="579F79AD"/>
    <w:rsid w:val="58206010"/>
    <w:rsid w:val="584440B3"/>
    <w:rsid w:val="5847515D"/>
    <w:rsid w:val="596A4BC5"/>
    <w:rsid w:val="5A7B6A76"/>
    <w:rsid w:val="5A9504BB"/>
    <w:rsid w:val="5B781066"/>
    <w:rsid w:val="5B86058C"/>
    <w:rsid w:val="5B942CBF"/>
    <w:rsid w:val="5C156A5D"/>
    <w:rsid w:val="5C5A21B6"/>
    <w:rsid w:val="5C61311E"/>
    <w:rsid w:val="5C661298"/>
    <w:rsid w:val="5C963C3F"/>
    <w:rsid w:val="5CAF4FA1"/>
    <w:rsid w:val="5CBF01F4"/>
    <w:rsid w:val="5D601443"/>
    <w:rsid w:val="5D627A99"/>
    <w:rsid w:val="5DA6671C"/>
    <w:rsid w:val="5DDA174B"/>
    <w:rsid w:val="5DF144AF"/>
    <w:rsid w:val="5E1C3839"/>
    <w:rsid w:val="5E9C67E8"/>
    <w:rsid w:val="5EA165E0"/>
    <w:rsid w:val="5EF96494"/>
    <w:rsid w:val="5F9D5897"/>
    <w:rsid w:val="5FA415C4"/>
    <w:rsid w:val="5FFC41A9"/>
    <w:rsid w:val="600169CC"/>
    <w:rsid w:val="604A22BF"/>
    <w:rsid w:val="6156319F"/>
    <w:rsid w:val="6179425A"/>
    <w:rsid w:val="61A54C1B"/>
    <w:rsid w:val="62026D0A"/>
    <w:rsid w:val="62424DB0"/>
    <w:rsid w:val="62760C5A"/>
    <w:rsid w:val="63567BE0"/>
    <w:rsid w:val="64487EEB"/>
    <w:rsid w:val="645A1E49"/>
    <w:rsid w:val="64C23DAC"/>
    <w:rsid w:val="64C6280F"/>
    <w:rsid w:val="64EB1B6E"/>
    <w:rsid w:val="65A62B50"/>
    <w:rsid w:val="65B47780"/>
    <w:rsid w:val="65D959BB"/>
    <w:rsid w:val="662D6EA1"/>
    <w:rsid w:val="665D20E8"/>
    <w:rsid w:val="666C188D"/>
    <w:rsid w:val="67113C9C"/>
    <w:rsid w:val="67480E2F"/>
    <w:rsid w:val="676F5335"/>
    <w:rsid w:val="68731E8B"/>
    <w:rsid w:val="696F3617"/>
    <w:rsid w:val="69E72951"/>
    <w:rsid w:val="6A445B6F"/>
    <w:rsid w:val="6B0A033D"/>
    <w:rsid w:val="6B807383"/>
    <w:rsid w:val="6BDC5E11"/>
    <w:rsid w:val="6BDE6046"/>
    <w:rsid w:val="6CC67850"/>
    <w:rsid w:val="6D04079D"/>
    <w:rsid w:val="6D1A4BC7"/>
    <w:rsid w:val="6D5463B7"/>
    <w:rsid w:val="6DA02B76"/>
    <w:rsid w:val="6DE37C26"/>
    <w:rsid w:val="6E2825BD"/>
    <w:rsid w:val="6F035768"/>
    <w:rsid w:val="6FD90614"/>
    <w:rsid w:val="70491E36"/>
    <w:rsid w:val="704F5371"/>
    <w:rsid w:val="71085540"/>
    <w:rsid w:val="718329E1"/>
    <w:rsid w:val="71C059A3"/>
    <w:rsid w:val="726C7A98"/>
    <w:rsid w:val="72710C91"/>
    <w:rsid w:val="72CB7893"/>
    <w:rsid w:val="73F14D31"/>
    <w:rsid w:val="74585E89"/>
    <w:rsid w:val="74AE4175"/>
    <w:rsid w:val="752C20C8"/>
    <w:rsid w:val="754B6381"/>
    <w:rsid w:val="75620A8A"/>
    <w:rsid w:val="75620B5D"/>
    <w:rsid w:val="75630D65"/>
    <w:rsid w:val="75F87195"/>
    <w:rsid w:val="75FF6BF7"/>
    <w:rsid w:val="762517A2"/>
    <w:rsid w:val="76374C7F"/>
    <w:rsid w:val="763A74DB"/>
    <w:rsid w:val="768452C6"/>
    <w:rsid w:val="77106A7E"/>
    <w:rsid w:val="777340B2"/>
    <w:rsid w:val="77800C46"/>
    <w:rsid w:val="77B11BCB"/>
    <w:rsid w:val="77D47E28"/>
    <w:rsid w:val="77E52F1F"/>
    <w:rsid w:val="781D645D"/>
    <w:rsid w:val="784A7EE2"/>
    <w:rsid w:val="791334CC"/>
    <w:rsid w:val="794C1CC6"/>
    <w:rsid w:val="799E48B3"/>
    <w:rsid w:val="79B33B81"/>
    <w:rsid w:val="7A7F4E47"/>
    <w:rsid w:val="7C022DA2"/>
    <w:rsid w:val="7C5B7F16"/>
    <w:rsid w:val="7CC203E8"/>
    <w:rsid w:val="7D265D64"/>
    <w:rsid w:val="7D764AD1"/>
    <w:rsid w:val="7E304E67"/>
    <w:rsid w:val="7E3314F0"/>
    <w:rsid w:val="7E497A3C"/>
    <w:rsid w:val="7E7B4CDB"/>
    <w:rsid w:val="7ECA2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pacing w:line="480" w:lineRule="atLeast"/>
      <w:ind w:firstLine="595"/>
    </w:pPr>
    <w:rPr>
      <w:sz w:val="28"/>
    </w:rPr>
  </w:style>
  <w:style w:type="paragraph" w:styleId="4">
    <w:name w:val="Block Text"/>
    <w:basedOn w:val="1"/>
    <w:next w:val="1"/>
    <w:semiHidden/>
    <w:unhideWhenUsed/>
    <w:qFormat/>
    <w:uiPriority w:val="99"/>
    <w:pPr>
      <w:ind w:left="1440" w:leftChars="700" w:right="700" w:rightChars="700"/>
    </w:pPr>
  </w:style>
  <w:style w:type="paragraph" w:styleId="5">
    <w:name w:val="Plain Text"/>
    <w:basedOn w:val="1"/>
    <w:unhideWhenUsed/>
    <w:qFormat/>
    <w:uiPriority w:val="99"/>
    <w:rPr>
      <w:rFonts w:hint="eastAsia" w:ascii="宋体" w:hAnsi="Courier New" w:cs="Courier New"/>
      <w:szCs w:val="21"/>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spacing w:line="440" w:lineRule="exact"/>
      <w:ind w:left="840" w:leftChars="200" w:hanging="420" w:hangingChars="200"/>
    </w:pPr>
    <w:rPr>
      <w:rFonts w:ascii="Arial" w:hAnsi="Tahoma" w:cs="Tahoma"/>
      <w:kern w:val="0"/>
      <w:sz w:val="24"/>
      <w:szCs w:val="24"/>
    </w:rPr>
  </w:style>
  <w:style w:type="paragraph" w:styleId="9">
    <w:name w:val="toc 2"/>
    <w:basedOn w:val="1"/>
    <w:next w:val="1"/>
    <w:semiHidden/>
    <w:qFormat/>
    <w:uiPriority w:val="0"/>
    <w:pPr>
      <w:spacing w:line="440" w:lineRule="exact"/>
      <w:ind w:firstLine="200" w:firstLineChars="200"/>
    </w:pPr>
  </w:style>
  <w:style w:type="character" w:styleId="12">
    <w:name w:val="Strong"/>
    <w:basedOn w:val="11"/>
    <w:qFormat/>
    <w:uiPriority w:val="22"/>
    <w:rPr>
      <w:b/>
      <w:sz w:val="24"/>
      <w:szCs w:val="24"/>
    </w:rPr>
  </w:style>
  <w:style w:type="character" w:styleId="13">
    <w:name w:val="FollowedHyperlink"/>
    <w:basedOn w:val="11"/>
    <w:semiHidden/>
    <w:unhideWhenUsed/>
    <w:qFormat/>
    <w:uiPriority w:val="99"/>
    <w:rPr>
      <w:color w:val="128EC2"/>
      <w:u w:val="none"/>
    </w:rPr>
  </w:style>
  <w:style w:type="character" w:styleId="14">
    <w:name w:val="Emphasis"/>
    <w:basedOn w:val="11"/>
    <w:qFormat/>
    <w:uiPriority w:val="20"/>
    <w:rPr>
      <w:b/>
      <w:sz w:val="24"/>
      <w:szCs w:val="24"/>
    </w:rPr>
  </w:style>
  <w:style w:type="character" w:styleId="15">
    <w:name w:val="Hyperlink"/>
    <w:basedOn w:val="11"/>
    <w:autoRedefine/>
    <w:semiHidden/>
    <w:unhideWhenUsed/>
    <w:qFormat/>
    <w:uiPriority w:val="99"/>
    <w:rPr>
      <w:color w:val="128EC2"/>
      <w:u w:val="none"/>
    </w:rPr>
  </w:style>
  <w:style w:type="character" w:styleId="16">
    <w:name w:val="annotation reference"/>
    <w:semiHidden/>
    <w:qFormat/>
    <w:uiPriority w:val="0"/>
    <w:rPr>
      <w:sz w:val="21"/>
    </w:rPr>
  </w:style>
  <w:style w:type="character" w:customStyle="1" w:styleId="17">
    <w:name w:val="页眉 Char"/>
    <w:basedOn w:val="11"/>
    <w:link w:val="7"/>
    <w:autoRedefine/>
    <w:semiHidden/>
    <w:qFormat/>
    <w:uiPriority w:val="99"/>
    <w:rPr>
      <w:sz w:val="18"/>
      <w:szCs w:val="18"/>
    </w:rPr>
  </w:style>
  <w:style w:type="character" w:customStyle="1" w:styleId="18">
    <w:name w:val="页脚 Char"/>
    <w:basedOn w:val="11"/>
    <w:link w:val="6"/>
    <w:semiHidden/>
    <w:qFormat/>
    <w:uiPriority w:val="99"/>
    <w:rPr>
      <w:sz w:val="18"/>
      <w:szCs w:val="18"/>
    </w:rPr>
  </w:style>
  <w:style w:type="character" w:customStyle="1" w:styleId="19">
    <w:name w:val="u-ver6"/>
    <w:basedOn w:val="11"/>
    <w:qFormat/>
    <w:uiPriority w:val="0"/>
  </w:style>
  <w:style w:type="character" w:customStyle="1" w:styleId="20">
    <w:name w:val="u-ver5"/>
    <w:basedOn w:val="11"/>
    <w:qFormat/>
    <w:uiPriority w:val="0"/>
  </w:style>
  <w:style w:type="character" w:customStyle="1" w:styleId="21">
    <w:name w:val="正常格式 Char"/>
    <w:link w:val="22"/>
    <w:autoRedefine/>
    <w:qFormat/>
    <w:uiPriority w:val="0"/>
    <w:rPr>
      <w:rFonts w:ascii="Times New Roman" w:hAnsi="Times New Roman"/>
      <w:snapToGrid w:val="0"/>
      <w:kern w:val="0"/>
      <w:sz w:val="24"/>
    </w:rPr>
  </w:style>
  <w:style w:type="paragraph" w:customStyle="1" w:styleId="22">
    <w:name w:val="正常格式"/>
    <w:basedOn w:val="1"/>
    <w:link w:val="21"/>
    <w:autoRedefine/>
    <w:qFormat/>
    <w:uiPriority w:val="0"/>
    <w:pPr>
      <w:spacing w:line="480" w:lineRule="exact"/>
      <w:ind w:firstLine="602" w:firstLineChars="200"/>
    </w:pPr>
    <w:rPr>
      <w:snapToGrid w:val="0"/>
      <w:kern w:val="0"/>
      <w:sz w:val="24"/>
    </w:rPr>
  </w:style>
  <w:style w:type="paragraph" w:customStyle="1" w:styleId="23">
    <w:name w:val="样式4"/>
    <w:qFormat/>
    <w:uiPriority w:val="0"/>
    <w:rPr>
      <w:rFonts w:ascii="宋体" w:hAnsi="宋体" w:eastAsia="宋体" w:cs="Times New Roman"/>
      <w:b/>
      <w:bCs/>
      <w:iCs/>
      <w:kern w:val="2"/>
      <w:sz w:val="24"/>
      <w:szCs w:val="24"/>
      <w:lang w:val="zh-CN" w:eastAsia="zh-CN" w:bidi="ar-SA"/>
    </w:rPr>
  </w:style>
  <w:style w:type="paragraph" w:customStyle="1" w:styleId="24">
    <w:name w:val="Table Paragraph"/>
    <w:basedOn w:val="1"/>
    <w:qFormat/>
    <w:uiPriority w:val="1"/>
    <w:pPr>
      <w:autoSpaceDE w:val="0"/>
      <w:autoSpaceDN w:val="0"/>
      <w:jc w:val="center"/>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2130</Words>
  <Characters>2422</Characters>
  <Lines>8</Lines>
  <Paragraphs>2</Paragraphs>
  <TotalTime>6</TotalTime>
  <ScaleCrop>false</ScaleCrop>
  <LinksUpToDate>false</LinksUpToDate>
  <CharactersWithSpaces>2489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FtpDown</dc:creator>
  <cp:lastModifiedBy>Everest</cp:lastModifiedBy>
  <cp:lastPrinted>2022-05-10T02:54:00Z</cp:lastPrinted>
  <dcterms:modified xsi:type="dcterms:W3CDTF">2025-04-02T07:13:31Z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8DD2A1CE44FB436686AA6DFF6D5810DB_13</vt:lpwstr>
  </property>
  <property fmtid="{D5CDD505-2E9C-101B-9397-08002B2CF9AE}" pid="4" name="KSOTemplateDocerSaveRecord">
    <vt:lpwstr>eyJoZGlkIjoiMGRhZDA0NDM4MGI2ZDZkZDA4MDhkZTNhNTY4OGY1NmUiLCJ1c2VySWQiOiI3NDk2NDYyOTkifQ==</vt:lpwstr>
  </property>
</Properties>
</file>