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512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3B7CA0ED">
            <w:pPr>
              <w:spacing w:line="480" w:lineRule="exact"/>
              <w:rPr>
                <w:rFonts w:ascii="宋体" w:hAnsi="宋体"/>
                <w:color w:val="auto"/>
                <w:sz w:val="32"/>
              </w:rPr>
            </w:pPr>
            <w:r>
              <w:rPr>
                <w:rFonts w:hint="eastAsia" w:ascii="宋体" w:hAnsi="宋体"/>
                <w:color w:val="auto"/>
                <w:sz w:val="32"/>
              </w:rPr>
              <w:t>审批意见：</w:t>
            </w:r>
          </w:p>
          <w:p w14:paraId="313C7E1B">
            <w:pPr>
              <w:spacing w:line="4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pacing w:val="-16"/>
                <w:sz w:val="30"/>
                <w:szCs w:val="30"/>
                <w:highlight w:val="none"/>
              </w:rPr>
              <w:t>唐曹审批环表</w:t>
            </w:r>
            <w:bookmarkStart w:id="0" w:name="OLE_LINK2"/>
            <w:r>
              <w:rPr>
                <w:rFonts w:hint="eastAsia" w:ascii="仿宋" w:hAnsi="仿宋" w:eastAsia="仿宋" w:cs="仿宋"/>
                <w:color w:val="auto"/>
                <w:spacing w:val="-16"/>
                <w:sz w:val="30"/>
                <w:szCs w:val="30"/>
                <w:highlight w:val="none"/>
              </w:rPr>
              <w:t>〔202</w:t>
            </w:r>
            <w:r>
              <w:rPr>
                <w:rFonts w:hint="eastAsia" w:ascii="仿宋" w:hAnsi="仿宋" w:eastAsia="仿宋" w:cs="仿宋"/>
                <w:color w:val="auto"/>
                <w:spacing w:val="-16"/>
                <w:sz w:val="30"/>
                <w:szCs w:val="30"/>
                <w:highlight w:val="none"/>
                <w:lang w:val="en-US" w:eastAsia="zh-CN"/>
              </w:rPr>
              <w:t>5</w:t>
            </w:r>
            <w:r>
              <w:rPr>
                <w:rFonts w:hint="eastAsia" w:ascii="仿宋" w:hAnsi="仿宋" w:eastAsia="仿宋" w:cs="仿宋"/>
                <w:color w:val="auto"/>
                <w:spacing w:val="-16"/>
                <w:sz w:val="30"/>
                <w:szCs w:val="30"/>
                <w:highlight w:val="none"/>
              </w:rPr>
              <w:t>〕</w:t>
            </w:r>
            <w:r>
              <w:rPr>
                <w:rFonts w:hint="eastAsia" w:ascii="仿宋" w:hAnsi="仿宋" w:eastAsia="仿宋" w:cs="仿宋"/>
                <w:color w:val="auto"/>
                <w:spacing w:val="-16"/>
                <w:sz w:val="30"/>
                <w:szCs w:val="30"/>
                <w:highlight w:val="none"/>
                <w:lang w:val="en-US" w:eastAsia="zh-CN"/>
              </w:rPr>
              <w:t>27</w:t>
            </w:r>
            <w:r>
              <w:rPr>
                <w:rFonts w:hint="eastAsia" w:ascii="仿宋" w:hAnsi="仿宋" w:eastAsia="仿宋" w:cs="仿宋"/>
                <w:color w:val="auto"/>
                <w:spacing w:val="-16"/>
                <w:sz w:val="30"/>
                <w:szCs w:val="30"/>
                <w:highlight w:val="none"/>
              </w:rPr>
              <w:t>号</w:t>
            </w:r>
          </w:p>
          <w:bookmarkEnd w:id="0"/>
          <w:p w14:paraId="7B0E10F8">
            <w:pPr>
              <w:adjustRightInd w:val="0"/>
              <w:snapToGrid w:val="0"/>
              <w:spacing w:line="288" w:lineRule="auto"/>
              <w:ind w:firstLine="496" w:firstLineChars="200"/>
              <w:rPr>
                <w:rFonts w:ascii="仿宋" w:hAnsi="仿宋" w:eastAsia="仿宋" w:cs="仿宋"/>
                <w:color w:val="auto"/>
                <w:spacing w:val="-16"/>
                <w:sz w:val="28"/>
                <w:szCs w:val="28"/>
              </w:rPr>
            </w:pPr>
          </w:p>
          <w:p w14:paraId="7EF64472">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Times New Roman" w:hAnsi="Times New Roman" w:eastAsia="仿宋" w:cs="Times New Roman"/>
                <w:color w:val="auto"/>
                <w:spacing w:val="-16"/>
                <w:sz w:val="30"/>
                <w:szCs w:val="30"/>
                <w:lang w:eastAsia="zh-CN"/>
              </w:rPr>
            </w:pPr>
            <w:r>
              <w:rPr>
                <w:rFonts w:hint="default" w:ascii="Times New Roman" w:hAnsi="Times New Roman" w:eastAsia="仿宋" w:cs="Times New Roman"/>
                <w:color w:val="auto"/>
                <w:spacing w:val="-16"/>
                <w:sz w:val="30"/>
                <w:szCs w:val="30"/>
              </w:rPr>
              <w:t>根据环评结论，结合工程环境影响特点</w:t>
            </w:r>
            <w:r>
              <w:rPr>
                <w:rFonts w:hint="eastAsia" w:ascii="仿宋" w:hAnsi="仿宋" w:eastAsia="仿宋" w:cs="仿宋"/>
                <w:color w:val="auto"/>
                <w:spacing w:val="-16"/>
                <w:sz w:val="30"/>
                <w:szCs w:val="30"/>
              </w:rPr>
              <w:t>及专家</w:t>
            </w:r>
            <w:r>
              <w:rPr>
                <w:rFonts w:hint="eastAsia" w:ascii="仿宋" w:hAnsi="仿宋" w:eastAsia="仿宋" w:cs="仿宋"/>
                <w:color w:val="auto"/>
                <w:spacing w:val="-16"/>
                <w:sz w:val="30"/>
                <w:szCs w:val="30"/>
                <w:lang w:val="en-US" w:eastAsia="zh-CN"/>
              </w:rPr>
              <w:t>评审</w:t>
            </w:r>
            <w:r>
              <w:rPr>
                <w:rFonts w:hint="eastAsia" w:ascii="仿宋" w:hAnsi="仿宋" w:eastAsia="仿宋" w:cs="仿宋"/>
                <w:color w:val="auto"/>
                <w:spacing w:val="-16"/>
                <w:sz w:val="30"/>
                <w:szCs w:val="30"/>
              </w:rPr>
              <w:t>意见</w:t>
            </w:r>
            <w:r>
              <w:rPr>
                <w:rFonts w:hint="default" w:ascii="Times New Roman" w:hAnsi="Times New Roman" w:eastAsia="仿宋" w:cs="Times New Roman"/>
                <w:color w:val="auto"/>
                <w:spacing w:val="-16"/>
                <w:sz w:val="30"/>
                <w:szCs w:val="30"/>
              </w:rPr>
              <w:t>，经研究</w:t>
            </w:r>
            <w:r>
              <w:rPr>
                <w:rFonts w:hint="eastAsia" w:eastAsia="仿宋" w:cs="Times New Roman"/>
                <w:color w:val="auto"/>
                <w:spacing w:val="-16"/>
                <w:sz w:val="30"/>
                <w:szCs w:val="30"/>
                <w:lang w:eastAsia="zh-CN"/>
              </w:rPr>
              <w:t>，</w:t>
            </w:r>
            <w:r>
              <w:rPr>
                <w:rFonts w:hint="default" w:ascii="Times New Roman" w:hAnsi="Times New Roman" w:eastAsia="仿宋" w:cs="Times New Roman"/>
                <w:color w:val="auto"/>
                <w:spacing w:val="-16"/>
                <w:sz w:val="30"/>
                <w:szCs w:val="30"/>
              </w:rPr>
              <w:t>批复如下</w:t>
            </w:r>
            <w:r>
              <w:rPr>
                <w:rFonts w:hint="eastAsia" w:eastAsia="仿宋" w:cs="Times New Roman"/>
                <w:color w:val="auto"/>
                <w:spacing w:val="-16"/>
                <w:sz w:val="30"/>
                <w:szCs w:val="30"/>
                <w:lang w:eastAsia="zh-CN"/>
              </w:rPr>
              <w:t>。</w:t>
            </w:r>
          </w:p>
          <w:p w14:paraId="7A5C465E">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default" w:ascii="Times New Roman" w:hAnsi="Times New Roman" w:eastAsia="仿宋" w:cs="Times New Roman"/>
                <w:color w:val="auto"/>
                <w:spacing w:val="-16"/>
                <w:sz w:val="30"/>
                <w:szCs w:val="30"/>
              </w:rPr>
            </w:pPr>
            <w:r>
              <w:rPr>
                <w:rFonts w:hint="default" w:ascii="仿宋" w:hAnsi="仿宋" w:eastAsia="仿宋" w:cs="仿宋"/>
                <w:color w:val="auto"/>
                <w:spacing w:val="-16"/>
                <w:sz w:val="30"/>
                <w:szCs w:val="30"/>
              </w:rPr>
              <w:t>一、</w:t>
            </w:r>
            <w:r>
              <w:rPr>
                <w:rFonts w:hint="eastAsia" w:ascii="仿宋" w:hAnsi="仿宋" w:eastAsia="仿宋" w:cs="仿宋"/>
                <w:color w:val="auto"/>
                <w:spacing w:val="-16"/>
                <w:sz w:val="30"/>
                <w:szCs w:val="30"/>
                <w:lang w:val="en-US" w:eastAsia="zh-CN"/>
              </w:rPr>
              <w:t>京首泰达（唐山）再生资源有限公司京首泰达废钢加工项目位于唐山市曹妃甸钢铁电力园区，</w:t>
            </w:r>
            <w:r>
              <w:rPr>
                <w:rFonts w:hint="eastAsia" w:ascii="仿宋" w:hAnsi="仿宋" w:eastAsia="仿宋" w:cs="仿宋"/>
                <w:color w:val="auto"/>
                <w:spacing w:val="-16"/>
                <w:sz w:val="30"/>
                <w:szCs w:val="30"/>
              </w:rPr>
              <w:t>租用唐山维大实业有限责任公司既有厂房，</w:t>
            </w:r>
            <w:r>
              <w:rPr>
                <w:rFonts w:hint="eastAsia" w:ascii="仿宋" w:hAnsi="仿宋" w:eastAsia="仿宋" w:cs="仿宋"/>
                <w:color w:val="auto"/>
                <w:spacing w:val="-16"/>
                <w:sz w:val="30"/>
                <w:szCs w:val="30"/>
                <w:lang w:val="en-US" w:eastAsia="zh-CN"/>
              </w:rPr>
              <w:t>厂址中心坐标E118°29′7.370″，N39°0′4.170″，占地</w:t>
            </w:r>
            <w:r>
              <w:rPr>
                <w:rFonts w:hint="eastAsia" w:ascii="仿宋" w:hAnsi="仿宋" w:eastAsia="仿宋" w:cs="仿宋"/>
                <w:color w:val="auto"/>
                <w:spacing w:val="-16"/>
                <w:sz w:val="30"/>
                <w:szCs w:val="30"/>
              </w:rPr>
              <w:t>面积72977.7平方米，</w:t>
            </w:r>
            <w:r>
              <w:rPr>
                <w:rFonts w:hint="eastAsia" w:ascii="仿宋" w:hAnsi="仿宋" w:eastAsia="仿宋" w:cs="仿宋"/>
                <w:color w:val="auto"/>
                <w:spacing w:val="-16"/>
                <w:sz w:val="30"/>
                <w:szCs w:val="30"/>
                <w:lang w:val="en-US" w:eastAsia="zh-CN"/>
              </w:rPr>
              <w:t>总</w:t>
            </w:r>
            <w:r>
              <w:rPr>
                <w:rFonts w:hint="eastAsia" w:ascii="仿宋" w:hAnsi="仿宋" w:eastAsia="仿宋" w:cs="仿宋"/>
                <w:color w:val="auto"/>
                <w:spacing w:val="-16"/>
                <w:sz w:val="30"/>
                <w:szCs w:val="30"/>
              </w:rPr>
              <w:t>投资16000万元（其中环保投资</w:t>
            </w:r>
            <w:r>
              <w:rPr>
                <w:rFonts w:hint="eastAsia" w:ascii="仿宋" w:hAnsi="仿宋" w:eastAsia="仿宋" w:cs="仿宋"/>
                <w:color w:val="auto"/>
                <w:spacing w:val="-16"/>
                <w:sz w:val="30"/>
                <w:szCs w:val="30"/>
                <w:lang w:val="en-US" w:eastAsia="zh-CN"/>
              </w:rPr>
              <w:t>16</w:t>
            </w:r>
            <w:r>
              <w:rPr>
                <w:rFonts w:hint="eastAsia" w:ascii="仿宋" w:hAnsi="仿宋" w:eastAsia="仿宋" w:cs="仿宋"/>
                <w:color w:val="auto"/>
                <w:spacing w:val="-16"/>
                <w:sz w:val="30"/>
                <w:szCs w:val="30"/>
              </w:rPr>
              <w:t>万元）。项目购置</w:t>
            </w:r>
            <w:r>
              <w:rPr>
                <w:rFonts w:hint="eastAsia" w:ascii="仿宋" w:hAnsi="仿宋" w:eastAsia="仿宋" w:cs="仿宋"/>
                <w:color w:val="auto"/>
                <w:spacing w:val="-16"/>
                <w:sz w:val="30"/>
                <w:szCs w:val="30"/>
                <w:lang w:eastAsia="zh-CN"/>
              </w:rPr>
              <w:t>抓钢机</w:t>
            </w:r>
            <w:r>
              <w:rPr>
                <w:rFonts w:hint="eastAsia" w:ascii="仿宋" w:hAnsi="仿宋" w:eastAsia="仿宋" w:cs="仿宋"/>
                <w:color w:val="auto"/>
                <w:spacing w:val="-16"/>
                <w:sz w:val="30"/>
                <w:szCs w:val="30"/>
              </w:rPr>
              <w:t>、破碎机、</w:t>
            </w:r>
            <w:r>
              <w:rPr>
                <w:rFonts w:hint="eastAsia" w:ascii="仿宋" w:hAnsi="仿宋" w:eastAsia="仿宋" w:cs="仿宋"/>
                <w:color w:val="auto"/>
                <w:spacing w:val="-16"/>
                <w:sz w:val="30"/>
                <w:szCs w:val="30"/>
                <w:lang w:eastAsia="zh-CN"/>
              </w:rPr>
              <w:t>打包机</w:t>
            </w:r>
            <w:r>
              <w:rPr>
                <w:rFonts w:hint="eastAsia" w:ascii="仿宋" w:hAnsi="仿宋" w:eastAsia="仿宋" w:cs="仿宋"/>
                <w:color w:val="auto"/>
                <w:spacing w:val="-16"/>
                <w:sz w:val="30"/>
                <w:szCs w:val="30"/>
              </w:rPr>
              <w:t>等设备及相关配套辅助设施。项目建成后，</w:t>
            </w:r>
            <w:r>
              <w:rPr>
                <w:rFonts w:hint="eastAsia" w:ascii="仿宋" w:hAnsi="仿宋" w:eastAsia="仿宋" w:cs="仿宋"/>
                <w:color w:val="auto"/>
                <w:spacing w:val="-16"/>
                <w:sz w:val="30"/>
                <w:szCs w:val="30"/>
                <w:lang w:val="en-US" w:eastAsia="zh-CN"/>
              </w:rPr>
              <w:t>计划年仓储周转热卷、冷卷、中板等150万吨，年加工废钢100万吨</w:t>
            </w:r>
            <w:r>
              <w:rPr>
                <w:rFonts w:hint="eastAsia" w:ascii="仿宋" w:hAnsi="仿宋" w:eastAsia="仿宋" w:cs="仿宋"/>
                <w:color w:val="auto"/>
                <w:spacing w:val="-16"/>
                <w:sz w:val="30"/>
                <w:szCs w:val="30"/>
              </w:rPr>
              <w:t>。项</w:t>
            </w:r>
            <w:r>
              <w:rPr>
                <w:rFonts w:hint="default" w:ascii="仿宋" w:hAnsi="仿宋" w:eastAsia="仿宋" w:cs="仿宋"/>
                <w:color w:val="auto"/>
                <w:spacing w:val="-16"/>
                <w:sz w:val="30"/>
                <w:szCs w:val="30"/>
              </w:rPr>
              <w:t>目实施将对生态环境产生一定不利影响，在全面落实环</w:t>
            </w:r>
            <w:r>
              <w:rPr>
                <w:rFonts w:hint="default" w:ascii="Times New Roman" w:hAnsi="Times New Roman" w:eastAsia="仿宋" w:cs="Times New Roman"/>
                <w:color w:val="auto"/>
                <w:spacing w:val="-16"/>
                <w:sz w:val="30"/>
                <w:szCs w:val="30"/>
              </w:rPr>
              <w:t>境影响报告表提出的各项生态保护和污染防治措施后，不利影响能够得到减缓和控制。我局原则同意环境影响报告表的环境影响评价总体结论和拟采取的环境保护措施。</w:t>
            </w:r>
          </w:p>
          <w:p w14:paraId="0E61B6CC">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default" w:ascii="Times New Roman" w:hAnsi="Times New Roman" w:eastAsia="仿宋" w:cs="Times New Roman"/>
                <w:color w:val="auto"/>
                <w:spacing w:val="-16"/>
                <w:sz w:val="30"/>
                <w:szCs w:val="30"/>
              </w:rPr>
            </w:pPr>
            <w:r>
              <w:rPr>
                <w:rFonts w:hint="default" w:ascii="Times New Roman" w:hAnsi="Times New Roman" w:eastAsia="仿宋" w:cs="Times New Roman"/>
                <w:color w:val="auto"/>
                <w:spacing w:val="-16"/>
                <w:sz w:val="30"/>
                <w:szCs w:val="30"/>
              </w:rPr>
              <w:t>二、项目实施</w:t>
            </w:r>
            <w:r>
              <w:rPr>
                <w:rFonts w:hint="eastAsia" w:eastAsia="仿宋" w:cs="Times New Roman"/>
                <w:color w:val="auto"/>
                <w:spacing w:val="-16"/>
                <w:sz w:val="30"/>
                <w:szCs w:val="30"/>
                <w:lang w:val="en-US" w:eastAsia="zh-CN"/>
              </w:rPr>
              <w:t>过程</w:t>
            </w:r>
            <w:r>
              <w:rPr>
                <w:rFonts w:hint="default" w:ascii="Times New Roman" w:hAnsi="Times New Roman" w:eastAsia="仿宋" w:cs="Times New Roman"/>
                <w:color w:val="auto"/>
                <w:spacing w:val="-16"/>
                <w:sz w:val="30"/>
                <w:szCs w:val="30"/>
              </w:rPr>
              <w:t>中应重点做好以下工作：</w:t>
            </w:r>
          </w:p>
          <w:p w14:paraId="5E9BF7EF">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default" w:ascii="仿宋" w:hAnsi="仿宋" w:eastAsia="仿宋" w:cs="仿宋"/>
                <w:color w:val="auto"/>
                <w:spacing w:val="-16"/>
                <w:kern w:val="2"/>
                <w:sz w:val="30"/>
                <w:szCs w:val="30"/>
                <w:highlight w:val="none"/>
                <w:lang w:val="en-US" w:eastAsia="zh-CN" w:bidi="ar-SA"/>
              </w:rPr>
              <w:t>（一）</w:t>
            </w:r>
            <w:r>
              <w:rPr>
                <w:rFonts w:hint="eastAsia" w:ascii="仿宋" w:hAnsi="仿宋" w:eastAsia="仿宋" w:cs="仿宋"/>
                <w:color w:val="auto"/>
                <w:spacing w:val="-16"/>
                <w:kern w:val="2"/>
                <w:sz w:val="30"/>
                <w:szCs w:val="30"/>
                <w:highlight w:val="none"/>
                <w:lang w:val="en-US" w:eastAsia="zh-CN" w:bidi="ar-SA"/>
              </w:rPr>
              <w:t>加强施工期环境管理。合理安排施工时间，优化施工工艺，防止工程施工造成的环境污染。选用低噪声施工机械、合理安排各类施工机械工作时间，确保施工场界噪声达到《建筑施工场界环境噪声排放标准》（GB12523-2011）要求。</w:t>
            </w:r>
          </w:p>
          <w:p w14:paraId="483EF9BC">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lang w:val="en-US" w:eastAsia="zh-CN"/>
              </w:rPr>
            </w:pPr>
            <w:r>
              <w:rPr>
                <w:rFonts w:hint="eastAsia" w:ascii="仿宋" w:hAnsi="仿宋" w:eastAsia="仿宋" w:cs="仿宋"/>
                <w:color w:val="auto"/>
                <w:spacing w:val="-16"/>
                <w:sz w:val="30"/>
                <w:szCs w:val="30"/>
                <w:lang w:val="en-US" w:eastAsia="zh-CN"/>
              </w:rPr>
              <w:t>（二）运营期，破碎生产线碾压、破碎、振动、磁选废气经“集气装置+脉冲袋式除尘器+24m高排气筒”处理，颗粒物排放须满足</w:t>
            </w:r>
            <w:r>
              <w:rPr>
                <w:rFonts w:hint="default" w:ascii="仿宋" w:hAnsi="仿宋" w:eastAsia="仿宋" w:cs="仿宋"/>
                <w:color w:val="auto"/>
                <w:spacing w:val="-16"/>
                <w:sz w:val="30"/>
                <w:szCs w:val="30"/>
              </w:rPr>
              <w:t>《钢铁工业大气污染物超低排放标准》（DB13/2169-2018）表1</w:t>
            </w:r>
            <w:r>
              <w:rPr>
                <w:rFonts w:hint="eastAsia" w:ascii="仿宋" w:hAnsi="仿宋" w:eastAsia="仿宋" w:cs="仿宋"/>
                <w:color w:val="auto"/>
                <w:spacing w:val="-16"/>
                <w:sz w:val="30"/>
                <w:szCs w:val="30"/>
                <w:lang w:val="en-US" w:eastAsia="zh-CN"/>
              </w:rPr>
              <w:t>中相关</w:t>
            </w:r>
            <w:r>
              <w:rPr>
                <w:rFonts w:hint="eastAsia" w:ascii="仿宋" w:hAnsi="仿宋" w:eastAsia="仿宋" w:cs="仿宋"/>
                <w:color w:val="auto"/>
                <w:spacing w:val="-16"/>
                <w:sz w:val="30"/>
                <w:szCs w:val="30"/>
              </w:rPr>
              <w:t>限值要求</w:t>
            </w:r>
            <w:r>
              <w:rPr>
                <w:rFonts w:hint="eastAsia" w:ascii="仿宋" w:hAnsi="仿宋" w:eastAsia="仿宋" w:cs="仿宋"/>
                <w:color w:val="auto"/>
                <w:spacing w:val="-16"/>
                <w:sz w:val="30"/>
                <w:szCs w:val="30"/>
                <w:lang w:val="en-US" w:eastAsia="zh-CN"/>
              </w:rPr>
              <w:t>。加强生产各环节污染物无组织排放管理，加强车间及设备密封密闭，车间设置移动雾炮喷淋设施，</w:t>
            </w:r>
            <w:r>
              <w:rPr>
                <w:rFonts w:hint="eastAsia" w:ascii="仿宋" w:hAnsi="仿宋" w:eastAsia="仿宋" w:cs="仿宋"/>
                <w:color w:val="auto"/>
                <w:spacing w:val="-16"/>
                <w:sz w:val="30"/>
                <w:szCs w:val="30"/>
                <w:lang w:val="zh-CN" w:eastAsia="zh-CN"/>
              </w:rPr>
              <w:t>颗粒物无组织排放</w:t>
            </w:r>
            <w:r>
              <w:rPr>
                <w:rFonts w:hint="eastAsia" w:ascii="仿宋" w:hAnsi="仿宋" w:eastAsia="仿宋" w:cs="仿宋"/>
                <w:color w:val="auto"/>
                <w:spacing w:val="-16"/>
                <w:sz w:val="30"/>
                <w:szCs w:val="30"/>
                <w:lang w:val="en-US" w:eastAsia="zh-CN"/>
              </w:rPr>
              <w:t>须</w:t>
            </w:r>
            <w:r>
              <w:rPr>
                <w:rFonts w:hint="eastAsia" w:ascii="仿宋" w:hAnsi="仿宋" w:eastAsia="仿宋" w:cs="仿宋"/>
                <w:color w:val="auto"/>
                <w:spacing w:val="-16"/>
                <w:sz w:val="30"/>
                <w:szCs w:val="30"/>
                <w:lang w:val="zh-CN" w:eastAsia="zh-CN"/>
              </w:rPr>
              <w:t>满足</w:t>
            </w:r>
            <w:r>
              <w:rPr>
                <w:rFonts w:hint="eastAsia" w:ascii="仿宋" w:hAnsi="仿宋" w:eastAsia="仿宋" w:cs="仿宋"/>
                <w:color w:val="auto"/>
                <w:spacing w:val="-16"/>
                <w:sz w:val="30"/>
                <w:szCs w:val="30"/>
                <w:lang w:val="en-US" w:eastAsia="zh-CN"/>
              </w:rPr>
              <w:t>《钢铁工业大气污染物超低排放标准》（DB13/2169-2018）表5</w:t>
            </w:r>
            <w:r>
              <w:rPr>
                <w:rFonts w:hint="eastAsia" w:ascii="仿宋" w:hAnsi="仿宋" w:eastAsia="仿宋" w:cs="仿宋"/>
                <w:color w:val="auto"/>
                <w:spacing w:val="-16"/>
                <w:kern w:val="2"/>
                <w:sz w:val="30"/>
                <w:szCs w:val="30"/>
                <w:highlight w:val="none"/>
                <w:lang w:val="en-US" w:eastAsia="zh-CN" w:bidi="ar-SA"/>
              </w:rPr>
              <w:t>中</w:t>
            </w:r>
            <w:r>
              <w:rPr>
                <w:rFonts w:hint="eastAsia" w:ascii="仿宋" w:hAnsi="仿宋" w:eastAsia="仿宋" w:cs="仿宋"/>
                <w:color w:val="auto"/>
                <w:spacing w:val="-16"/>
                <w:kern w:val="2"/>
                <w:sz w:val="30"/>
                <w:szCs w:val="30"/>
                <w:highlight w:val="none"/>
                <w:lang w:val="zh-CN" w:eastAsia="zh-CN" w:bidi="ar-SA"/>
              </w:rPr>
              <w:t>限值要求</w:t>
            </w:r>
            <w:r>
              <w:rPr>
                <w:rFonts w:hint="eastAsia" w:ascii="仿宋" w:hAnsi="仿宋" w:eastAsia="仿宋" w:cs="仿宋"/>
                <w:color w:val="auto"/>
                <w:spacing w:val="-16"/>
                <w:sz w:val="30"/>
                <w:szCs w:val="30"/>
                <w:lang w:val="en-US" w:eastAsia="zh-CN"/>
              </w:rPr>
              <w:t>。</w:t>
            </w:r>
          </w:p>
          <w:p w14:paraId="085D9742">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三）运营期，液压打包机冷却废水循环使用，不外排。生活污水经市政污水管网排入曹妃甸工业区起步区（北区）污水处理厂，废水水质须满足《污水综合排放标准》（GB8978-1996）表4中三级标准及污水处理厂进水水质要求。严格按要求落实防渗措施,防止对地下水造成污染。</w:t>
            </w:r>
          </w:p>
          <w:p w14:paraId="3FDBE49B">
            <w:pPr>
              <w:pStyle w:val="5"/>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四）运营期，严格按照有关规定，对固体废物实施分类收集和处理、处置，做到资源化、减量化、无害化。一般工业固废妥善处理，最大限度回收利用。废润滑油、废液压油、废油桶等危险废物按规定暂存，定期交有相应资质的危险废物处理单位处置。危险废物暂存间应满足</w:t>
            </w:r>
            <w:r>
              <w:rPr>
                <w:rFonts w:hint="eastAsia" w:ascii="仿宋" w:hAnsi="仿宋" w:eastAsia="仿宋" w:cs="仿宋"/>
                <w:color w:val="auto"/>
                <w:spacing w:val="-16"/>
                <w:sz w:val="30"/>
                <w:szCs w:val="30"/>
                <w:highlight w:val="none"/>
              </w:rPr>
              <w:t>《危险废物贮存污染控制标准》（GB18597-2023）要求</w:t>
            </w:r>
            <w:r>
              <w:rPr>
                <w:rFonts w:hint="eastAsia" w:ascii="仿宋" w:hAnsi="仿宋" w:eastAsia="仿宋" w:cs="仿宋"/>
                <w:color w:val="auto"/>
                <w:spacing w:val="-16"/>
                <w:kern w:val="2"/>
                <w:sz w:val="30"/>
                <w:szCs w:val="30"/>
                <w:highlight w:val="none"/>
                <w:lang w:val="en-US" w:eastAsia="zh-CN" w:bidi="ar-SA"/>
              </w:rPr>
              <w:t>。加强危险废物收集、出厂转移环节的环境管理和风险防范。</w:t>
            </w:r>
          </w:p>
          <w:p w14:paraId="7C2772C3">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五）运营期，加强噪声污染防治。项目建设应合理布局，选用低噪声设备，同时采取必要的减振、隔声等降噪措施，加强设备的日常维护和保养，厂界噪声须满足《工业企业厂界环境噪声排放标准》（GB12348-2008）中相关要求。</w:t>
            </w:r>
          </w:p>
          <w:p w14:paraId="7A394A91">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（六）</w:t>
            </w:r>
            <w:r>
              <w:rPr>
                <w:rFonts w:hint="eastAsia" w:ascii="仿宋" w:hAnsi="仿宋" w:eastAsia="仿宋" w:cs="仿宋"/>
                <w:color w:val="auto"/>
                <w:spacing w:val="-16"/>
                <w:sz w:val="30"/>
                <w:szCs w:val="30"/>
              </w:rPr>
              <w:t>加强环境风险防范，落实环境风险应急措施。制定和完善突发环境事件应急预案，与我地政府、园区等应急预案做好衔接，按照规定报相关部门备案。配备必要的应急设备和物资，加大风险监测和监控力度，定期进行应急培训和演练，有效防范和应对环境风险。</w:t>
            </w:r>
          </w:p>
          <w:p w14:paraId="3A1555A8">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（七）其他环境管理内容严格按环境影响报告表规定的措施进行落实。</w:t>
            </w:r>
          </w:p>
          <w:p w14:paraId="490C75C0">
            <w:pPr>
              <w:pStyle w:val="9"/>
              <w:keepNext w:val="0"/>
              <w:keepLines w:val="0"/>
              <w:pageBreakBefore w:val="0"/>
              <w:widowControl w:val="0"/>
              <w:kinsoku/>
              <w:wordWrap/>
              <w:overflowPunct/>
              <w:topLinePunct w:val="0"/>
              <w:autoSpaceDE/>
              <w:autoSpaceDN/>
              <w:bidi w:val="0"/>
              <w:adjustRightInd w:val="0"/>
              <w:snapToGrid w:val="0"/>
              <w:spacing w:line="264" w:lineRule="auto"/>
              <w:ind w:firstLine="536"/>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kern w:val="2"/>
                <w:sz w:val="30"/>
                <w:szCs w:val="30"/>
                <w:highlight w:val="none"/>
                <w:lang w:val="en-US" w:eastAsia="zh-CN" w:bidi="ar-SA"/>
              </w:rPr>
              <w:t>三、</w:t>
            </w:r>
            <w:r>
              <w:rPr>
                <w:rFonts w:hint="eastAsia" w:ascii="仿宋" w:hAnsi="仿宋" w:eastAsia="仿宋" w:cs="仿宋"/>
                <w:color w:val="auto"/>
                <w:spacing w:val="-16"/>
                <w:sz w:val="30"/>
                <w:szCs w:val="30"/>
                <w:highlight w:val="none"/>
              </w:rPr>
              <w:t>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1C68A07F">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四、</w:t>
            </w:r>
            <w:r>
              <w:rPr>
                <w:rFonts w:hint="eastAsia" w:ascii="仿宋" w:hAnsi="仿宋" w:eastAsia="仿宋" w:cs="仿宋"/>
                <w:color w:val="auto"/>
                <w:spacing w:val="-16"/>
                <w:sz w:val="30"/>
                <w:szCs w:val="30"/>
                <w:highlight w:val="none"/>
              </w:rPr>
              <w:t>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036E4850">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五</w:t>
            </w:r>
            <w:r>
              <w:rPr>
                <w:rFonts w:hint="eastAsia" w:ascii="仿宋" w:hAnsi="仿宋" w:eastAsia="仿宋" w:cs="仿宋"/>
                <w:color w:val="auto"/>
                <w:spacing w:val="-16"/>
                <w:sz w:val="30"/>
                <w:szCs w:val="30"/>
                <w:highlight w:val="none"/>
              </w:rPr>
              <w:t>、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16DDC3CB">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val="en-US" w:eastAsia="zh-CN"/>
              </w:rPr>
              <w:t>六</w:t>
            </w:r>
            <w:r>
              <w:rPr>
                <w:rFonts w:hint="eastAsia" w:ascii="仿宋" w:hAnsi="仿宋" w:eastAsia="仿宋" w:cs="仿宋"/>
                <w:color w:val="auto"/>
                <w:spacing w:val="-16"/>
                <w:sz w:val="30"/>
                <w:szCs w:val="30"/>
                <w:highlight w:val="none"/>
              </w:rPr>
              <w:t>、该项目的环境保护“三同时”制度落实日常监管由唐山市生态环境局曹妃甸区分局负责。</w:t>
            </w:r>
          </w:p>
          <w:p w14:paraId="4B01194A">
            <w:pPr>
              <w:pStyle w:val="5"/>
              <w:rPr>
                <w:rFonts w:hint="eastAsia"/>
                <w:color w:val="auto"/>
              </w:rPr>
            </w:pPr>
          </w:p>
          <w:p w14:paraId="62226557">
            <w:pPr>
              <w:pStyle w:val="5"/>
              <w:rPr>
                <w:rFonts w:hint="eastAsia"/>
                <w:color w:val="auto"/>
              </w:rPr>
            </w:pPr>
          </w:p>
          <w:p w14:paraId="35A911E0">
            <w:pPr>
              <w:rPr>
                <w:rFonts w:hint="eastAsia"/>
                <w:color w:val="auto"/>
              </w:rPr>
            </w:pPr>
          </w:p>
          <w:p w14:paraId="6889D5DF">
            <w:pPr>
              <w:pStyle w:val="2"/>
              <w:rPr>
                <w:rFonts w:hint="eastAsia"/>
                <w:color w:val="auto"/>
              </w:rPr>
            </w:pPr>
          </w:p>
          <w:p w14:paraId="63DDAA25">
            <w:pPr>
              <w:rPr>
                <w:rFonts w:hint="eastAsia"/>
                <w:color w:val="auto"/>
              </w:rPr>
            </w:pPr>
          </w:p>
          <w:p w14:paraId="128BF15D">
            <w:pPr>
              <w:pStyle w:val="2"/>
              <w:rPr>
                <w:rFonts w:hint="eastAsia"/>
                <w:color w:val="auto"/>
              </w:rPr>
            </w:pPr>
          </w:p>
          <w:p w14:paraId="5B5D11E5">
            <w:pPr>
              <w:rPr>
                <w:rFonts w:hint="eastAsia"/>
                <w:color w:val="auto"/>
              </w:rPr>
            </w:pPr>
          </w:p>
          <w:p w14:paraId="49BC47AD">
            <w:pPr>
              <w:pStyle w:val="2"/>
              <w:rPr>
                <w:rFonts w:hint="eastAsia"/>
                <w:color w:val="auto"/>
              </w:rPr>
            </w:pPr>
          </w:p>
          <w:p w14:paraId="5E20FE71">
            <w:pPr>
              <w:rPr>
                <w:rFonts w:hint="eastAsia"/>
                <w:color w:val="auto"/>
              </w:rPr>
            </w:pPr>
          </w:p>
          <w:p w14:paraId="2D640DEB">
            <w:pPr>
              <w:pStyle w:val="2"/>
              <w:rPr>
                <w:rFonts w:hint="eastAsia"/>
              </w:rPr>
            </w:pPr>
          </w:p>
          <w:p w14:paraId="0D851744">
            <w:pPr>
              <w:adjustRightInd w:val="0"/>
              <w:snapToGrid w:val="0"/>
              <w:ind w:left="5670" w:leftChars="2700"/>
              <w:rPr>
                <w:rFonts w:hint="default" w:ascii="Times New Roman" w:hAnsi="Times New Roman" w:eastAsia="仿宋" w:cs="Times New Roman"/>
                <w:color w:val="auto"/>
                <w:szCs w:val="21"/>
              </w:rPr>
            </w:pPr>
          </w:p>
          <w:p w14:paraId="5FF6A577">
            <w:pPr>
              <w:adjustRightInd w:val="0"/>
              <w:snapToGrid w:val="0"/>
              <w:ind w:left="5670" w:leftChars="27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                （盖章）</w:t>
            </w:r>
          </w:p>
          <w:p w14:paraId="34ACE910">
            <w:pPr>
              <w:adjustRightInd w:val="0"/>
              <w:snapToGrid w:val="0"/>
              <w:jc w:val="center"/>
              <w:rPr>
                <w:rFonts w:ascii="仿宋_GB2312" w:hAnsi="宋体" w:eastAsia="仿宋_GB2312"/>
                <w:color w:val="auto"/>
                <w:sz w:val="32"/>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14</w:t>
            </w:r>
            <w:bookmarkStart w:id="1" w:name="_GoBack"/>
            <w:bookmarkEnd w:id="1"/>
            <w:r>
              <w:rPr>
                <w:rFonts w:hint="eastAsia" w:ascii="仿宋" w:hAnsi="仿宋" w:eastAsia="仿宋" w:cs="仿宋"/>
                <w:color w:val="auto"/>
                <w:sz w:val="30"/>
                <w:szCs w:val="30"/>
                <w:highlight w:val="none"/>
              </w:rPr>
              <w:t>日</w:t>
            </w:r>
          </w:p>
        </w:tc>
      </w:tr>
    </w:tbl>
    <w:p w14:paraId="31A3E10F"/>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182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ZTQxMzYzZjY0OTUxZjljNDA5YzU2NjE0YmMxY2UifQ=="/>
  </w:docVars>
  <w:rsids>
    <w:rsidRoot w:val="002441E5"/>
    <w:rsid w:val="00025F8C"/>
    <w:rsid w:val="00041940"/>
    <w:rsid w:val="000466EF"/>
    <w:rsid w:val="0006656F"/>
    <w:rsid w:val="000A5C9E"/>
    <w:rsid w:val="00146E0E"/>
    <w:rsid w:val="00157E65"/>
    <w:rsid w:val="001D72A6"/>
    <w:rsid w:val="001F44A0"/>
    <w:rsid w:val="002441E5"/>
    <w:rsid w:val="00275F9E"/>
    <w:rsid w:val="002D2926"/>
    <w:rsid w:val="002F371A"/>
    <w:rsid w:val="003B3367"/>
    <w:rsid w:val="00445263"/>
    <w:rsid w:val="004E26A7"/>
    <w:rsid w:val="004F2D85"/>
    <w:rsid w:val="005078D3"/>
    <w:rsid w:val="005A3D82"/>
    <w:rsid w:val="005C646C"/>
    <w:rsid w:val="0061102D"/>
    <w:rsid w:val="006656A1"/>
    <w:rsid w:val="00876764"/>
    <w:rsid w:val="00894664"/>
    <w:rsid w:val="008F73D5"/>
    <w:rsid w:val="00905E46"/>
    <w:rsid w:val="0093299B"/>
    <w:rsid w:val="009E31BC"/>
    <w:rsid w:val="00A4500A"/>
    <w:rsid w:val="00AB7180"/>
    <w:rsid w:val="00AD05D1"/>
    <w:rsid w:val="00B26B62"/>
    <w:rsid w:val="00B921B9"/>
    <w:rsid w:val="00BB0B22"/>
    <w:rsid w:val="00BD4678"/>
    <w:rsid w:val="00BE710B"/>
    <w:rsid w:val="00CC6DF6"/>
    <w:rsid w:val="00D11EFD"/>
    <w:rsid w:val="00DF08F9"/>
    <w:rsid w:val="00EC3195"/>
    <w:rsid w:val="00ED65A3"/>
    <w:rsid w:val="00EE1FB7"/>
    <w:rsid w:val="00EF3D17"/>
    <w:rsid w:val="00F429BF"/>
    <w:rsid w:val="00F6057A"/>
    <w:rsid w:val="00F763AE"/>
    <w:rsid w:val="01396DB8"/>
    <w:rsid w:val="01717C47"/>
    <w:rsid w:val="01F25BBC"/>
    <w:rsid w:val="02B56110"/>
    <w:rsid w:val="038B0F07"/>
    <w:rsid w:val="03C45F33"/>
    <w:rsid w:val="03C54CEB"/>
    <w:rsid w:val="044E02B9"/>
    <w:rsid w:val="04730D0A"/>
    <w:rsid w:val="048871A0"/>
    <w:rsid w:val="048874E8"/>
    <w:rsid w:val="04CE55B2"/>
    <w:rsid w:val="04E202AA"/>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7D0909"/>
    <w:rsid w:val="101C0036"/>
    <w:rsid w:val="105769DE"/>
    <w:rsid w:val="11041A14"/>
    <w:rsid w:val="12966C0E"/>
    <w:rsid w:val="13584916"/>
    <w:rsid w:val="139A37C1"/>
    <w:rsid w:val="13F955A3"/>
    <w:rsid w:val="1476634D"/>
    <w:rsid w:val="14A024D2"/>
    <w:rsid w:val="14B67AD2"/>
    <w:rsid w:val="14C20F1C"/>
    <w:rsid w:val="14D533BE"/>
    <w:rsid w:val="14E7597A"/>
    <w:rsid w:val="14EA1F38"/>
    <w:rsid w:val="158132E2"/>
    <w:rsid w:val="15CA7EF8"/>
    <w:rsid w:val="16232A98"/>
    <w:rsid w:val="169B10A4"/>
    <w:rsid w:val="17A0738E"/>
    <w:rsid w:val="17A162DC"/>
    <w:rsid w:val="17CD5C40"/>
    <w:rsid w:val="19B12A9C"/>
    <w:rsid w:val="1A314CEF"/>
    <w:rsid w:val="1A3967CF"/>
    <w:rsid w:val="1B3C4F77"/>
    <w:rsid w:val="1BE378E2"/>
    <w:rsid w:val="1C3350FE"/>
    <w:rsid w:val="1C6A2D47"/>
    <w:rsid w:val="1DCB129A"/>
    <w:rsid w:val="1E163955"/>
    <w:rsid w:val="1E4F450E"/>
    <w:rsid w:val="1EA11B52"/>
    <w:rsid w:val="1FFB252D"/>
    <w:rsid w:val="20063510"/>
    <w:rsid w:val="20450EE3"/>
    <w:rsid w:val="206E4541"/>
    <w:rsid w:val="20FE72E2"/>
    <w:rsid w:val="212B7660"/>
    <w:rsid w:val="21343DF0"/>
    <w:rsid w:val="21973D65"/>
    <w:rsid w:val="21E51F2A"/>
    <w:rsid w:val="234409B3"/>
    <w:rsid w:val="23605AD7"/>
    <w:rsid w:val="236132B3"/>
    <w:rsid w:val="23F06FB4"/>
    <w:rsid w:val="25014124"/>
    <w:rsid w:val="25160B9E"/>
    <w:rsid w:val="25422EB1"/>
    <w:rsid w:val="25451EFC"/>
    <w:rsid w:val="25C478B6"/>
    <w:rsid w:val="25FF31AB"/>
    <w:rsid w:val="26D33BB6"/>
    <w:rsid w:val="26D826F4"/>
    <w:rsid w:val="27291A5F"/>
    <w:rsid w:val="278D305D"/>
    <w:rsid w:val="282F01FF"/>
    <w:rsid w:val="2839215A"/>
    <w:rsid w:val="28974CD0"/>
    <w:rsid w:val="299E7D29"/>
    <w:rsid w:val="2A1F0583"/>
    <w:rsid w:val="2ABD60EE"/>
    <w:rsid w:val="2AF65CB8"/>
    <w:rsid w:val="2B3B7703"/>
    <w:rsid w:val="2B5977DC"/>
    <w:rsid w:val="2C7027A2"/>
    <w:rsid w:val="2CB8238E"/>
    <w:rsid w:val="2CCE4E87"/>
    <w:rsid w:val="2CF616C6"/>
    <w:rsid w:val="2D0903A1"/>
    <w:rsid w:val="2D575F42"/>
    <w:rsid w:val="2E3C038F"/>
    <w:rsid w:val="2E7E67B5"/>
    <w:rsid w:val="2F767F98"/>
    <w:rsid w:val="304B4239"/>
    <w:rsid w:val="30FE3051"/>
    <w:rsid w:val="3143082E"/>
    <w:rsid w:val="3153309C"/>
    <w:rsid w:val="31624D44"/>
    <w:rsid w:val="31BE0086"/>
    <w:rsid w:val="31DC233B"/>
    <w:rsid w:val="31FD6F57"/>
    <w:rsid w:val="3204365B"/>
    <w:rsid w:val="32931C22"/>
    <w:rsid w:val="32A053F0"/>
    <w:rsid w:val="33021C63"/>
    <w:rsid w:val="332604D0"/>
    <w:rsid w:val="332F411F"/>
    <w:rsid w:val="335F2009"/>
    <w:rsid w:val="336408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AC745FD"/>
    <w:rsid w:val="3AE31132"/>
    <w:rsid w:val="3AE831DC"/>
    <w:rsid w:val="3AF07E52"/>
    <w:rsid w:val="3B1D063B"/>
    <w:rsid w:val="3B580E51"/>
    <w:rsid w:val="3B5B60FE"/>
    <w:rsid w:val="3BB9317F"/>
    <w:rsid w:val="3C7911BB"/>
    <w:rsid w:val="3CB31943"/>
    <w:rsid w:val="3DF163E3"/>
    <w:rsid w:val="3E697715"/>
    <w:rsid w:val="3F47719D"/>
    <w:rsid w:val="3FBE5403"/>
    <w:rsid w:val="3FCC3946"/>
    <w:rsid w:val="3FD32370"/>
    <w:rsid w:val="401C0D02"/>
    <w:rsid w:val="40A97AED"/>
    <w:rsid w:val="412321A6"/>
    <w:rsid w:val="414F65E7"/>
    <w:rsid w:val="42C36103"/>
    <w:rsid w:val="432F55D1"/>
    <w:rsid w:val="43461E77"/>
    <w:rsid w:val="436854A3"/>
    <w:rsid w:val="436C26EB"/>
    <w:rsid w:val="43D828B9"/>
    <w:rsid w:val="442A76CF"/>
    <w:rsid w:val="44944C9C"/>
    <w:rsid w:val="45207B9B"/>
    <w:rsid w:val="455D4AFE"/>
    <w:rsid w:val="45FB0C1E"/>
    <w:rsid w:val="46306469"/>
    <w:rsid w:val="47720038"/>
    <w:rsid w:val="479273AA"/>
    <w:rsid w:val="483B3AD2"/>
    <w:rsid w:val="4B0A4206"/>
    <w:rsid w:val="4B57280A"/>
    <w:rsid w:val="4B881529"/>
    <w:rsid w:val="4BF11BE8"/>
    <w:rsid w:val="4C0F3DA7"/>
    <w:rsid w:val="4C566267"/>
    <w:rsid w:val="4C5D55B2"/>
    <w:rsid w:val="4D8245CE"/>
    <w:rsid w:val="4D8426BB"/>
    <w:rsid w:val="4DB2068E"/>
    <w:rsid w:val="4F633CBE"/>
    <w:rsid w:val="4F657FE0"/>
    <w:rsid w:val="4F69341E"/>
    <w:rsid w:val="507C3A71"/>
    <w:rsid w:val="50CF58EE"/>
    <w:rsid w:val="51076707"/>
    <w:rsid w:val="515155A2"/>
    <w:rsid w:val="51FA00FE"/>
    <w:rsid w:val="52B23E2F"/>
    <w:rsid w:val="52B92E41"/>
    <w:rsid w:val="531643A8"/>
    <w:rsid w:val="5357030B"/>
    <w:rsid w:val="53882441"/>
    <w:rsid w:val="53D042D8"/>
    <w:rsid w:val="53F06A04"/>
    <w:rsid w:val="54CC14BB"/>
    <w:rsid w:val="54DB3998"/>
    <w:rsid w:val="54FA5C5D"/>
    <w:rsid w:val="55F52488"/>
    <w:rsid w:val="55F92EC0"/>
    <w:rsid w:val="563F048E"/>
    <w:rsid w:val="56AF5BBC"/>
    <w:rsid w:val="56D96758"/>
    <w:rsid w:val="570E35A3"/>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79425A"/>
    <w:rsid w:val="61A54C1B"/>
    <w:rsid w:val="62026D0A"/>
    <w:rsid w:val="62424DB0"/>
    <w:rsid w:val="62760C5A"/>
    <w:rsid w:val="63567BE0"/>
    <w:rsid w:val="64487EEB"/>
    <w:rsid w:val="645A1E49"/>
    <w:rsid w:val="64C23DAC"/>
    <w:rsid w:val="64C6280F"/>
    <w:rsid w:val="64EB1B6E"/>
    <w:rsid w:val="65A62B50"/>
    <w:rsid w:val="65B47780"/>
    <w:rsid w:val="65D959BB"/>
    <w:rsid w:val="662D6EA1"/>
    <w:rsid w:val="665D20E8"/>
    <w:rsid w:val="666C188D"/>
    <w:rsid w:val="67113C9C"/>
    <w:rsid w:val="67480E2F"/>
    <w:rsid w:val="676F5335"/>
    <w:rsid w:val="67A76212"/>
    <w:rsid w:val="68731E8B"/>
    <w:rsid w:val="696F3617"/>
    <w:rsid w:val="69E72951"/>
    <w:rsid w:val="6A445B6F"/>
    <w:rsid w:val="6B0A033D"/>
    <w:rsid w:val="6B807383"/>
    <w:rsid w:val="6BDC5E11"/>
    <w:rsid w:val="6BDE6046"/>
    <w:rsid w:val="6CC67850"/>
    <w:rsid w:val="6D04079D"/>
    <w:rsid w:val="6D1A4BC7"/>
    <w:rsid w:val="6D5463B7"/>
    <w:rsid w:val="6DA02B76"/>
    <w:rsid w:val="6DE37C26"/>
    <w:rsid w:val="6E2825BD"/>
    <w:rsid w:val="6EB43EBE"/>
    <w:rsid w:val="6F035768"/>
    <w:rsid w:val="6FD90614"/>
    <w:rsid w:val="70491E36"/>
    <w:rsid w:val="704F5371"/>
    <w:rsid w:val="70B36D70"/>
    <w:rsid w:val="71085540"/>
    <w:rsid w:val="71C059A3"/>
    <w:rsid w:val="726C7A98"/>
    <w:rsid w:val="72710C91"/>
    <w:rsid w:val="72CB7893"/>
    <w:rsid w:val="73F14D31"/>
    <w:rsid w:val="74585E89"/>
    <w:rsid w:val="74AE4175"/>
    <w:rsid w:val="752C20C8"/>
    <w:rsid w:val="754B6381"/>
    <w:rsid w:val="75620A8A"/>
    <w:rsid w:val="75620B5D"/>
    <w:rsid w:val="75F87195"/>
    <w:rsid w:val="75FF6BF7"/>
    <w:rsid w:val="762517A2"/>
    <w:rsid w:val="76374C7F"/>
    <w:rsid w:val="763A74DB"/>
    <w:rsid w:val="768452C6"/>
    <w:rsid w:val="777340B2"/>
    <w:rsid w:val="77800C46"/>
    <w:rsid w:val="77B11BCB"/>
    <w:rsid w:val="77D47E28"/>
    <w:rsid w:val="77E52F1F"/>
    <w:rsid w:val="781D645D"/>
    <w:rsid w:val="784A7EE2"/>
    <w:rsid w:val="791334CC"/>
    <w:rsid w:val="794C1CC6"/>
    <w:rsid w:val="799E48B3"/>
    <w:rsid w:val="79B33B81"/>
    <w:rsid w:val="7A7F4E47"/>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line="440" w:lineRule="exact"/>
      <w:ind w:left="840" w:leftChars="200" w:hanging="420" w:hangingChars="200"/>
    </w:pPr>
    <w:rPr>
      <w:rFonts w:ascii="Arial" w:hAnsi="Tahoma" w:cs="Tahoma"/>
      <w:kern w:val="0"/>
      <w:sz w:val="24"/>
      <w:szCs w:val="24"/>
    </w:rPr>
  </w:style>
  <w:style w:type="paragraph" w:styleId="4">
    <w:name w:val="Normal Indent"/>
    <w:basedOn w:val="1"/>
    <w:next w:val="3"/>
    <w:unhideWhenUsed/>
    <w:qFormat/>
    <w:uiPriority w:val="99"/>
    <w:pPr>
      <w:adjustRightInd w:val="0"/>
      <w:spacing w:line="480" w:lineRule="atLeast"/>
      <w:ind w:firstLine="595"/>
    </w:pPr>
    <w:rPr>
      <w:sz w:val="28"/>
    </w:rPr>
  </w:style>
  <w:style w:type="paragraph" w:styleId="5">
    <w:name w:val="Block Text"/>
    <w:basedOn w:val="1"/>
    <w:next w:val="1"/>
    <w:semiHidden/>
    <w:unhideWhenUsed/>
    <w:qFormat/>
    <w:uiPriority w:val="99"/>
    <w:pPr>
      <w:ind w:left="1440" w:leftChars="700" w:right="700" w:rightChars="700"/>
    </w:pPr>
  </w:style>
  <w:style w:type="paragraph" w:styleId="6">
    <w:name w:val="Plain Text"/>
    <w:basedOn w:val="1"/>
    <w:unhideWhenUsed/>
    <w:qFormat/>
    <w:uiPriority w:val="99"/>
    <w:rPr>
      <w:rFonts w:hint="eastAsia" w:ascii="宋体" w:hAnsi="Courier New" w:cs="Courier New"/>
      <w:szCs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pPr>
      <w:spacing w:line="440" w:lineRule="exact"/>
      <w:ind w:firstLine="200" w:firstLineChars="200"/>
    </w:pPr>
  </w:style>
  <w:style w:type="character" w:styleId="12">
    <w:name w:val="Strong"/>
    <w:basedOn w:val="11"/>
    <w:qFormat/>
    <w:uiPriority w:val="22"/>
    <w:rPr>
      <w:b/>
      <w:sz w:val="24"/>
      <w:szCs w:val="24"/>
    </w:rPr>
  </w:style>
  <w:style w:type="character" w:styleId="13">
    <w:name w:val="FollowedHyperlink"/>
    <w:basedOn w:val="11"/>
    <w:semiHidden/>
    <w:unhideWhenUsed/>
    <w:qFormat/>
    <w:uiPriority w:val="99"/>
    <w:rPr>
      <w:color w:val="128EC2"/>
      <w:u w:val="none"/>
    </w:rPr>
  </w:style>
  <w:style w:type="character" w:styleId="14">
    <w:name w:val="Emphasis"/>
    <w:basedOn w:val="11"/>
    <w:qFormat/>
    <w:uiPriority w:val="20"/>
    <w:rPr>
      <w:b/>
      <w:sz w:val="24"/>
      <w:szCs w:val="24"/>
    </w:rPr>
  </w:style>
  <w:style w:type="character" w:styleId="15">
    <w:name w:val="Hyperlink"/>
    <w:basedOn w:val="11"/>
    <w:autoRedefine/>
    <w:semiHidden/>
    <w:unhideWhenUsed/>
    <w:qFormat/>
    <w:uiPriority w:val="99"/>
    <w:rPr>
      <w:color w:val="128EC2"/>
      <w:u w:val="none"/>
    </w:rPr>
  </w:style>
  <w:style w:type="character" w:styleId="16">
    <w:name w:val="annotation reference"/>
    <w:semiHidden/>
    <w:qFormat/>
    <w:uiPriority w:val="0"/>
    <w:rPr>
      <w:sz w:val="21"/>
    </w:rPr>
  </w:style>
  <w:style w:type="character" w:customStyle="1" w:styleId="17">
    <w:name w:val="页眉 Char"/>
    <w:basedOn w:val="11"/>
    <w:link w:val="8"/>
    <w:autoRedefine/>
    <w:semiHidden/>
    <w:qFormat/>
    <w:uiPriority w:val="99"/>
    <w:rPr>
      <w:sz w:val="18"/>
      <w:szCs w:val="18"/>
    </w:rPr>
  </w:style>
  <w:style w:type="character" w:customStyle="1" w:styleId="18">
    <w:name w:val="页脚 Char"/>
    <w:basedOn w:val="11"/>
    <w:link w:val="7"/>
    <w:semiHidden/>
    <w:qFormat/>
    <w:uiPriority w:val="99"/>
    <w:rPr>
      <w:sz w:val="18"/>
      <w:szCs w:val="18"/>
    </w:rPr>
  </w:style>
  <w:style w:type="character" w:customStyle="1" w:styleId="19">
    <w:name w:val="u-ver6"/>
    <w:basedOn w:val="11"/>
    <w:qFormat/>
    <w:uiPriority w:val="0"/>
  </w:style>
  <w:style w:type="character" w:customStyle="1" w:styleId="20">
    <w:name w:val="u-ver5"/>
    <w:basedOn w:val="11"/>
    <w:qFormat/>
    <w:uiPriority w:val="0"/>
  </w:style>
  <w:style w:type="character" w:customStyle="1" w:styleId="21">
    <w:name w:val="正常格式 Char"/>
    <w:link w:val="22"/>
    <w:autoRedefine/>
    <w:qFormat/>
    <w:uiPriority w:val="0"/>
    <w:rPr>
      <w:rFonts w:ascii="Times New Roman" w:hAnsi="Times New Roman"/>
      <w:snapToGrid w:val="0"/>
      <w:kern w:val="0"/>
      <w:sz w:val="24"/>
    </w:rPr>
  </w:style>
  <w:style w:type="paragraph" w:customStyle="1" w:styleId="22">
    <w:name w:val="正常格式"/>
    <w:basedOn w:val="1"/>
    <w:link w:val="21"/>
    <w:autoRedefine/>
    <w:qFormat/>
    <w:uiPriority w:val="0"/>
    <w:pPr>
      <w:spacing w:line="480" w:lineRule="exact"/>
      <w:ind w:firstLine="602" w:firstLineChars="200"/>
    </w:pPr>
    <w:rPr>
      <w:snapToGrid w:val="0"/>
      <w:kern w:val="0"/>
      <w:sz w:val="24"/>
    </w:rPr>
  </w:style>
  <w:style w:type="paragraph" w:customStyle="1" w:styleId="23">
    <w:name w:val="样式4"/>
    <w:qFormat/>
    <w:uiPriority w:val="0"/>
    <w:rPr>
      <w:rFonts w:ascii="宋体" w:hAnsi="宋体" w:eastAsia="宋体" w:cs="Times New Roman"/>
      <w:b/>
      <w:bCs/>
      <w:iCs/>
      <w:kern w:val="2"/>
      <w:sz w:val="24"/>
      <w:szCs w:val="24"/>
      <w:lang w:val="zh-CN" w:eastAsia="zh-CN" w:bidi="ar-SA"/>
    </w:rPr>
  </w:style>
  <w:style w:type="paragraph" w:customStyle="1" w:styleId="24">
    <w:name w:val="Table Paragraph"/>
    <w:basedOn w:val="1"/>
    <w:qFormat/>
    <w:uiPriority w:val="1"/>
    <w:pPr>
      <w:autoSpaceDE w:val="0"/>
      <w:autoSpaceDN w:val="0"/>
      <w:jc w:val="center"/>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1593</Words>
  <Characters>1701</Characters>
  <Lines>8</Lines>
  <Paragraphs>2</Paragraphs>
  <TotalTime>1</TotalTime>
  <ScaleCrop>false</ScaleCrop>
  <LinksUpToDate>false</LinksUpToDate>
  <CharactersWithSpaces>1770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Everest</cp:lastModifiedBy>
  <cp:lastPrinted>2022-05-10T02:54:00Z</cp:lastPrinted>
  <dcterms:modified xsi:type="dcterms:W3CDTF">2025-04-07T08:13:02Z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8DD2A1CE44FB436686AA6DFF6D5810DB_13</vt:lpwstr>
  </property>
  <property fmtid="{D5CDD505-2E9C-101B-9397-08002B2CF9AE}" pid="4" name="KSOTemplateDocerSaveRecord">
    <vt:lpwstr>eyJoZGlkIjoiMGRhZDA0NDM4MGI2ZDZkZDA4MDhkZTNhNTY4OGY1NmUiLCJ1c2VySWQiOiI3NDk2NDYyOTkifQ==</vt:lpwstr>
  </property>
</Properties>
</file>