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CBB2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乡（镇）村公共设施、公益事业使用集体建设用地审批办事指南</w:t>
      </w:r>
    </w:p>
    <w:p w14:paraId="0E8CF682">
      <w:pPr>
        <w:rPr>
          <w:rFonts w:ascii="黑体" w:hAnsi="黑体" w:eastAsia="黑体" w:cs="黑体"/>
          <w:sz w:val="32"/>
          <w:szCs w:val="32"/>
        </w:rPr>
      </w:pPr>
      <w:r>
        <w:rPr>
          <w:rFonts w:hint="eastAsia" w:ascii="黑体" w:hAnsi="黑体" w:eastAsia="黑体" w:cs="黑体"/>
          <w:sz w:val="32"/>
          <w:szCs w:val="32"/>
        </w:rPr>
        <w:t xml:space="preserve">    </w:t>
      </w:r>
    </w:p>
    <w:p w14:paraId="3BA68B00">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乡（镇）村公共设施、公益事业使用集体建设用地审批</w:t>
      </w:r>
    </w:p>
    <w:p w14:paraId="4F82994C">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eastAsia="zh-CN"/>
        </w:rPr>
        <w:t>自然资源和规划</w:t>
      </w:r>
      <w:r>
        <w:rPr>
          <w:rFonts w:hint="eastAsia" w:ascii="仿宋" w:hAnsi="仿宋" w:eastAsia="仿宋" w:cs="仿宋"/>
          <w:sz w:val="32"/>
          <w:szCs w:val="32"/>
        </w:rPr>
        <w:t>局</w:t>
      </w:r>
    </w:p>
    <w:p w14:paraId="28F2B5EB">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14:paraId="456CF50D">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1.《中华人民共和国土地管理法》第</w:t>
      </w:r>
      <w:r>
        <w:rPr>
          <w:rFonts w:hint="default" w:ascii="仿宋" w:hAnsi="仿宋" w:eastAsia="仿宋" w:cs="仿宋"/>
          <w:sz w:val="32"/>
          <w:szCs w:val="32"/>
          <w:lang w:val="en-US" w:eastAsia="zh-CN"/>
        </w:rPr>
        <w:t>六十一</w:t>
      </w:r>
      <w:r>
        <w:rPr>
          <w:rFonts w:hint="eastAsia" w:ascii="仿宋" w:hAnsi="仿宋" w:eastAsia="仿宋" w:cs="仿宋"/>
          <w:sz w:val="32"/>
          <w:szCs w:val="32"/>
        </w:rPr>
        <w:t>条：</w:t>
      </w:r>
      <w:r>
        <w:rPr>
          <w:rFonts w:hint="default" w:ascii="仿宋" w:hAnsi="仿宋" w:eastAsia="仿宋" w:cs="仿宋"/>
          <w:sz w:val="32"/>
          <w:szCs w:val="32"/>
          <w:lang w:val="en-US" w:eastAsia="zh-CN"/>
        </w:rPr>
        <w:t>乡（镇）村公共设施、公益事业建设，需要使用土地的，经乡（镇）人民政府审核，向县级以上地方人民政府自然资源主管部门提出申请，按照省、自治区、直辖市规定的批准权限，由县级以上地方人民政府批准；其中，涉及占用农用地的，依照本法第四十四条的规定办理审批手续。</w:t>
      </w:r>
    </w:p>
    <w:p w14:paraId="61D8BC33">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2.《中华人民共和国土地管理法》</w:t>
      </w:r>
      <w:r>
        <w:rPr>
          <w:rFonts w:hint="default" w:ascii="仿宋" w:hAnsi="仿宋" w:eastAsia="仿宋" w:cs="仿宋"/>
          <w:sz w:val="32"/>
          <w:szCs w:val="32"/>
          <w:lang w:val="en-US" w:eastAsia="zh-CN"/>
        </w:rPr>
        <w:t>第四十四条：建设占用土地，涉及农用地转为建设用地的，应当办理农用地转用审批手续。 永久基本农田转为建设用地的，由国务院批准。 在土地利用总体规划确定的城市和村庄、集镇建设用地规模范围内，为实施该规划而将永久基本农田以外的农用地转为建设用地的，按土地利用年度计划分批次按照国务院规定由原批准土地利用总体规划的机关或者其授权的机关批准。在已批准的农用地转用范围内，具体建设项目用地可以由市、县人民政府批准。 在土地利用总体规划确定的城市和村庄、集镇建设用地规模范围外，将永久基本农田以外的农用地转为建设用地的，由国务院或者国务院授权的省、自治区、直辖市人民政府批准。</w:t>
      </w:r>
    </w:p>
    <w:p w14:paraId="395CBB31">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14:paraId="7953491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1、符合经依法批准的村庄规划或者县、乡镇国土空间总体规划。</w:t>
      </w:r>
    </w:p>
    <w:p w14:paraId="1C9528D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2、符合《中华人民共和国土地管理法》第五十九条、第六十一条规定。</w:t>
      </w:r>
    </w:p>
    <w:p w14:paraId="0A383D3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3、项目已经集体经济组织成员的村民会议三分之二以上成员或者三分之二以上村民代表同意并经乡镇政府批准。</w:t>
      </w:r>
    </w:p>
    <w:p w14:paraId="7ABA25C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4、自然资源主管部门已出具建设用地位置、允许建设范围、建筑高度等乡村建设规划条件。</w:t>
      </w:r>
    </w:p>
    <w:p w14:paraId="2810A84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5、项目已经投资主管部门批准、核准或备案。</w:t>
      </w:r>
    </w:p>
    <w:p w14:paraId="55059BB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6、项目符合国家产业政策、用地规模控制指标、投强度和生态环境保护要求。</w:t>
      </w:r>
    </w:p>
    <w:p w14:paraId="1C82FEB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7、符合其他法律法规条例。</w:t>
      </w:r>
    </w:p>
    <w:p w14:paraId="1C9E0B68">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五、申请材料</w:t>
      </w:r>
    </w:p>
    <w:p w14:paraId="162CBDA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1、</w:t>
      </w:r>
      <w:r>
        <w:rPr>
          <w:rFonts w:hint="default" w:ascii="宋体" w:hAnsi="宋体" w:eastAsia="方正仿宋简体" w:cs="方正仿宋简体"/>
          <w:vanish w:val="0"/>
          <w:w w:val="100"/>
          <w:sz w:val="32"/>
          <w:szCs w:val="32"/>
          <w:highlight w:val="none"/>
          <w:u w:val="none"/>
          <w:lang w:val="en-US" w:eastAsia="zh-CN"/>
        </w:rPr>
        <w:t>申请报告(申请报告要说明使用土地的建设项目、土地用途、建设规模、使用土地面积等)原件1份:</w:t>
      </w:r>
    </w:p>
    <w:p w14:paraId="02056C5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2、</w:t>
      </w:r>
      <w:r>
        <w:rPr>
          <w:rFonts w:hint="default" w:ascii="宋体" w:hAnsi="宋体" w:eastAsia="方正仿宋简体" w:cs="方正仿宋简体"/>
          <w:vanish w:val="0"/>
          <w:w w:val="100"/>
          <w:sz w:val="32"/>
          <w:szCs w:val="32"/>
          <w:highlight w:val="none"/>
          <w:u w:val="none"/>
          <w:lang w:val="en-US" w:eastAsia="zh-CN"/>
        </w:rPr>
        <w:t>集体经济组织村民代表会议会议记录;村委会同意用地的意见、乡镇政府同意用地的批准文件原件1份</w:t>
      </w:r>
    </w:p>
    <w:p w14:paraId="51F0EBF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3、</w:t>
      </w:r>
      <w:r>
        <w:rPr>
          <w:rFonts w:hint="default" w:ascii="宋体" w:hAnsi="宋体" w:eastAsia="方正仿宋简体" w:cs="方正仿宋简体"/>
          <w:vanish w:val="0"/>
          <w:w w:val="100"/>
          <w:sz w:val="32"/>
          <w:szCs w:val="32"/>
          <w:highlight w:val="none"/>
          <w:u w:val="none"/>
          <w:lang w:val="en-US" w:eastAsia="zh-CN"/>
        </w:rPr>
        <w:t>公益性项目建设单位要提供拟使用土地者的非营利性质证明文件，包括但不限于民办非企业单位登记证书、社会服务机构登记证书和国务院文件、行业主管部门文件等规定的审查意见、初审意见等。</w:t>
      </w:r>
    </w:p>
    <w:p w14:paraId="25914C4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4、</w:t>
      </w:r>
      <w:r>
        <w:rPr>
          <w:rFonts w:hint="default" w:ascii="宋体" w:hAnsi="宋体" w:eastAsia="方正仿宋简体" w:cs="方正仿宋简体"/>
          <w:vanish w:val="0"/>
          <w:w w:val="100"/>
          <w:sz w:val="32"/>
          <w:szCs w:val="32"/>
          <w:highlight w:val="none"/>
          <w:u w:val="none"/>
          <w:lang w:val="en-US" w:eastAsia="zh-CN"/>
        </w:rPr>
        <w:t>申请人身份证明材料(申请人为个人的，提交本人身份证复印件;申请人为单位的，提交法人证明文件、营业执照副本(统一社会信用代码证)、经办人身份证、授权委托书)复印件1份:</w:t>
      </w:r>
    </w:p>
    <w:p w14:paraId="7B58FEE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5、</w:t>
      </w:r>
      <w:r>
        <w:rPr>
          <w:rFonts w:hint="default" w:ascii="宋体" w:hAnsi="宋体" w:eastAsia="方正仿宋简体" w:cs="方正仿宋简体"/>
          <w:vanish w:val="0"/>
          <w:w w:val="100"/>
          <w:sz w:val="32"/>
          <w:szCs w:val="32"/>
          <w:highlight w:val="none"/>
          <w:u w:val="none"/>
          <w:lang w:val="en-US" w:eastAsia="zh-CN"/>
        </w:rPr>
        <w:t>自然资源主管部门出具的建设用地位置、允许建设范围、建筑高度等乡村建设规划条件复印件1份;</w:t>
      </w:r>
    </w:p>
    <w:p w14:paraId="4264B85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6、</w:t>
      </w:r>
      <w:r>
        <w:rPr>
          <w:rFonts w:hint="default" w:ascii="宋体" w:hAnsi="宋体" w:eastAsia="方正仿宋简体" w:cs="方正仿宋简体"/>
          <w:vanish w:val="0"/>
          <w:w w:val="100"/>
          <w:sz w:val="32"/>
          <w:szCs w:val="32"/>
          <w:highlight w:val="none"/>
          <w:u w:val="none"/>
          <w:lang w:val="en-US" w:eastAsia="zh-CN"/>
        </w:rPr>
        <w:t>有批准立项权的部门出具的立项、核准或备案文件 复印件1份:</w:t>
      </w:r>
    </w:p>
    <w:p w14:paraId="382B700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7、</w:t>
      </w:r>
      <w:r>
        <w:rPr>
          <w:rFonts w:hint="default" w:ascii="宋体" w:hAnsi="宋体" w:eastAsia="方正仿宋简体" w:cs="方正仿宋简体"/>
          <w:vanish w:val="0"/>
          <w:w w:val="100"/>
          <w:sz w:val="32"/>
          <w:szCs w:val="32"/>
          <w:highlight w:val="none"/>
          <w:u w:val="none"/>
          <w:lang w:val="en-US" w:eastAsia="zh-CN"/>
        </w:rPr>
        <w:t>生态环境部门出具的环境保护要求的意见 复印件1份:</w:t>
      </w:r>
    </w:p>
    <w:p w14:paraId="3799AE4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8、</w:t>
      </w:r>
      <w:r>
        <w:rPr>
          <w:rFonts w:hint="default" w:ascii="宋体" w:hAnsi="宋体" w:eastAsia="方正仿宋简体" w:cs="方正仿宋简体"/>
          <w:vanish w:val="0"/>
          <w:w w:val="100"/>
          <w:sz w:val="32"/>
          <w:szCs w:val="32"/>
          <w:highlight w:val="none"/>
          <w:u w:val="none"/>
          <w:lang w:val="en-US" w:eastAsia="zh-CN"/>
        </w:rPr>
        <w:t>权属面积审核成果材料(包括占地权属列表及现状权属示意图) 原件2份。</w:t>
      </w:r>
    </w:p>
    <w:p w14:paraId="434D7205">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六、事项办理流程图</w:t>
      </w:r>
    </w:p>
    <w:p w14:paraId="1B761075">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ascii="仿宋" w:hAnsi="仿宋" w:eastAsia="仿宋" w:cs="仿宋"/>
          <w:sz w:val="32"/>
          <w:szCs w:val="32"/>
        </w:rPr>
      </w:pPr>
      <w:r>
        <w:object>
          <v:shape id="_x0000_i1025" o:spt="75" type="#_x0000_t75" style="height:75.3pt;width:414.8pt;" o:ole="t" filled="f" o:preferrelative="t" stroked="f" coordsize="21600,21600">
            <v:path/>
            <v:fill on="f" focussize="0,0"/>
            <v:stroke on="f" joinstyle="miter"/>
            <v:imagedata r:id="rId6" o:title=""/>
            <o:lock v:ext="edit" aspectratio="t"/>
            <w10:wrap type="none"/>
            <w10:anchorlock/>
          </v:shape>
          <o:OLEObject Type="Embed" ProgID="Visio.Drawing.11" ShapeID="_x0000_i1025" DrawAspect="Content" ObjectID="_1468075725" r:id="rId5">
            <o:LockedField>false</o:LockedField>
          </o:OLEObject>
        </w:object>
      </w:r>
    </w:p>
    <w:p w14:paraId="447BCCDE">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rPr>
        <w:t>七、办理时限：</w:t>
      </w:r>
      <w:r>
        <w:rPr>
          <w:rFonts w:hint="eastAsia" w:ascii="仿宋" w:hAnsi="仿宋" w:eastAsia="仿宋" w:cs="仿宋"/>
          <w:sz w:val="32"/>
          <w:szCs w:val="32"/>
          <w:lang w:val="en-US" w:eastAsia="zh-CN"/>
        </w:rPr>
        <w:t>5</w:t>
      </w:r>
      <w:r>
        <w:rPr>
          <w:rFonts w:hint="eastAsia" w:ascii="仿宋" w:hAnsi="仿宋" w:eastAsia="仿宋" w:cs="仿宋"/>
          <w:sz w:val="32"/>
          <w:szCs w:val="32"/>
        </w:rPr>
        <w:t>个工作日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不包括土委会审议时间</w:t>
      </w:r>
      <w:r>
        <w:rPr>
          <w:rFonts w:hint="eastAsia" w:ascii="仿宋" w:hAnsi="仿宋" w:eastAsia="仿宋" w:cs="仿宋"/>
          <w:sz w:val="32"/>
          <w:szCs w:val="32"/>
          <w:lang w:eastAsia="zh-CN"/>
        </w:rPr>
        <w:t>）</w:t>
      </w:r>
    </w:p>
    <w:p w14:paraId="01403521">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14:paraId="0227AEEA">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sz w:val="32"/>
          <w:szCs w:val="32"/>
        </w:rPr>
      </w:pPr>
      <w:r>
        <w:rPr>
          <w:rFonts w:hint="eastAsia" w:ascii="黑体" w:hAnsi="黑体" w:eastAsia="黑体" w:cs="黑体"/>
          <w:sz w:val="32"/>
          <w:szCs w:val="32"/>
        </w:rPr>
        <w:t>九、办公时间和地点</w:t>
      </w:r>
    </w:p>
    <w:p w14:paraId="7904D908">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hint="eastAsia" w:ascii="仿宋" w:hAnsi="仿宋" w:eastAsia="仿宋" w:cs="仿宋"/>
          <w:sz w:val="32"/>
          <w:szCs w:val="32"/>
        </w:rPr>
      </w:pPr>
      <w:r>
        <w:rPr>
          <w:rFonts w:hint="eastAsia" w:ascii="楷体_GB2312" w:hAnsi="楷体_GB2312" w:eastAsia="楷体_GB2312" w:cs="楷体_GB2312"/>
          <w:b/>
          <w:bCs/>
          <w:sz w:val="32"/>
          <w:szCs w:val="32"/>
        </w:rPr>
        <w:t>（一）办公时间：</w:t>
      </w:r>
      <w:r>
        <w:rPr>
          <w:rFonts w:hint="eastAsia" w:ascii="仿宋" w:hAnsi="仿宋" w:eastAsia="仿宋" w:cs="仿宋"/>
          <w:sz w:val="32"/>
          <w:szCs w:val="32"/>
        </w:rPr>
        <w:t>秋冬春季（9月1日至5月31日）上午8:30～12:00，下午13:30～17:30；夏季（6月1日至8月31日）上午8:30～12:00，下午14:30～17:30. 法定节假日除外。</w:t>
      </w:r>
    </w:p>
    <w:p w14:paraId="42D6809E">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14:paraId="314ADB98">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xml:space="preserve"> 线下办理地址：</w:t>
      </w:r>
      <w:r>
        <w:rPr>
          <w:rFonts w:hint="eastAsia" w:ascii="仿宋" w:hAnsi="仿宋" w:eastAsia="仿宋" w:cs="仿宋"/>
          <w:sz w:val="32"/>
          <w:szCs w:val="32"/>
          <w:lang w:eastAsia="zh-CN"/>
        </w:rPr>
        <w:t>置业大厦十层</w:t>
      </w:r>
      <w:r>
        <w:rPr>
          <w:rFonts w:hint="eastAsia" w:ascii="仿宋" w:hAnsi="仿宋" w:eastAsia="仿宋" w:cs="仿宋"/>
          <w:sz w:val="32"/>
          <w:szCs w:val="32"/>
          <w:lang w:val="en-US" w:eastAsia="zh-CN"/>
        </w:rPr>
        <w:t>1068房间</w:t>
      </w:r>
    </w:p>
    <w:p w14:paraId="26A10706">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hint="eastAsia" w:ascii="仿宋" w:hAnsi="仿宋" w:eastAsia="仿宋" w:cs="仿宋"/>
          <w:sz w:val="32"/>
          <w:szCs w:val="32"/>
          <w:lang w:val="en-US" w:eastAsia="zh-CN"/>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w:t>
      </w:r>
      <w:r>
        <w:rPr>
          <w:rFonts w:hint="eastAsia" w:ascii="仿宋" w:hAnsi="仿宋" w:eastAsia="仿宋" w:cs="仿宋"/>
          <w:sz w:val="32"/>
          <w:szCs w:val="32"/>
          <w:lang w:eastAsia="zh-CN"/>
        </w:rPr>
        <w:t>置业大厦</w:t>
      </w:r>
      <w:r>
        <w:rPr>
          <w:rFonts w:hint="eastAsia" w:ascii="仿宋" w:hAnsi="仿宋" w:eastAsia="仿宋" w:cs="仿宋"/>
          <w:sz w:val="32"/>
          <w:szCs w:val="32"/>
        </w:rPr>
        <w:t>下车</w:t>
      </w:r>
      <w:r>
        <w:rPr>
          <w:rFonts w:hint="eastAsia" w:ascii="仿宋" w:hAnsi="仿宋" w:eastAsia="仿宋" w:cs="仿宋"/>
          <w:sz w:val="32"/>
          <w:szCs w:val="32"/>
          <w:lang w:eastAsia="zh-CN"/>
        </w:rPr>
        <w:t>。</w:t>
      </w:r>
    </w:p>
    <w:p w14:paraId="2005939C">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14:paraId="131B0848">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宋体" w:hAnsi="宋体" w:eastAsia="方正仿宋简体" w:cs="方正仿宋简体"/>
          <w:sz w:val="32"/>
          <w:szCs w:val="32"/>
          <w:lang w:val="en-US" w:eastAsia="zh-CN"/>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w:t>
      </w:r>
      <w:r>
        <w:rPr>
          <w:rFonts w:hint="eastAsia" w:ascii="宋体" w:hAnsi="宋体" w:eastAsia="方正仿宋简体" w:cs="方正仿宋简体"/>
          <w:sz w:val="32"/>
          <w:szCs w:val="32"/>
          <w:lang w:val="en-US" w:eastAsia="zh-CN"/>
        </w:rPr>
        <w:t>8858025</w:t>
      </w:r>
    </w:p>
    <w:p w14:paraId="39DB31B0">
      <w:pPr>
        <w:keepNext w:val="0"/>
        <w:keepLines w:val="0"/>
        <w:pageBreakBefore w:val="0"/>
        <w:widowControl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14:paraId="23D82693">
      <w:pPr>
        <w:keepNext w:val="0"/>
        <w:keepLines w:val="0"/>
        <w:pageBreakBefore w:val="0"/>
        <w:widowControl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14:paraId="3059116C">
      <w:pPr>
        <w:rPr>
          <w:rFonts w:ascii="仿宋" w:hAnsi="仿宋" w:eastAsia="仿宋" w:cs="仿宋"/>
          <w:sz w:val="32"/>
          <w:szCs w:val="32"/>
        </w:rPr>
      </w:pPr>
    </w:p>
    <w:p w14:paraId="2E448B7D">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F6ABD">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5B125F">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85B125F">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16861E59"/>
    <w:rsid w:val="17DD09E6"/>
    <w:rsid w:val="1B7717D6"/>
    <w:rsid w:val="27C813FC"/>
    <w:rsid w:val="379B6EE3"/>
    <w:rsid w:val="37BD18A6"/>
    <w:rsid w:val="380C79ED"/>
    <w:rsid w:val="3FFF49D7"/>
    <w:rsid w:val="49EB4802"/>
    <w:rsid w:val="4AA85A47"/>
    <w:rsid w:val="4C4347C3"/>
    <w:rsid w:val="53686F19"/>
    <w:rsid w:val="5AF917EB"/>
    <w:rsid w:val="5E3E7BE8"/>
    <w:rsid w:val="63B65E39"/>
    <w:rsid w:val="705C5630"/>
    <w:rsid w:val="76AA4771"/>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1362</Words>
  <Characters>1425</Characters>
  <Lines>8</Lines>
  <Paragraphs>2</Paragraphs>
  <TotalTime>0</TotalTime>
  <ScaleCrop>false</ScaleCrop>
  <LinksUpToDate>false</LinksUpToDate>
  <CharactersWithSpaces>1437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松果子</cp:lastModifiedBy>
  <cp:lastPrinted>2023-06-16T14:00:00Z</cp:lastPrinted>
  <dcterms:modified xsi:type="dcterms:W3CDTF">2024-11-20T01:14:42Z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E547CA7315204ADEA6E1C9BB00908664</vt:lpwstr>
  </property>
</Properties>
</file>