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F507E">
      <w:pPr>
        <w:jc w:val="center"/>
        <w:rPr>
          <w:rFonts w:hint="eastAsia" w:ascii="方正小标宋简体" w:hAnsi="方正小标宋简体" w:eastAsia="方正小标宋简体" w:cs="方正小标宋简体"/>
          <w:sz w:val="40"/>
          <w:szCs w:val="40"/>
          <w:lang w:val="en-US" w:eastAsia="zh-CN"/>
        </w:rPr>
      </w:pPr>
      <w:bookmarkStart w:id="0" w:name="_GoBack"/>
      <w:bookmarkEnd w:id="0"/>
    </w:p>
    <w:p w14:paraId="17C57D91">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lang w:val="en-US" w:eastAsia="zh-CN"/>
        </w:rPr>
        <w:t>国家免疫规划疫苗确定及免费接种、预防接种异常反应补偿</w:t>
      </w:r>
      <w:r>
        <w:rPr>
          <w:rFonts w:hint="eastAsia" w:ascii="方正小标宋简体" w:hAnsi="方正小标宋简体" w:eastAsia="方正小标宋简体" w:cs="方正小标宋简体"/>
          <w:sz w:val="40"/>
          <w:szCs w:val="40"/>
        </w:rPr>
        <w:t>办事指南</w:t>
      </w:r>
    </w:p>
    <w:p w14:paraId="79456BDE">
      <w:pPr>
        <w:rPr>
          <w:rFonts w:ascii="黑体" w:hAnsi="黑体" w:eastAsia="黑体" w:cs="黑体"/>
          <w:sz w:val="32"/>
          <w:szCs w:val="32"/>
        </w:rPr>
      </w:pPr>
      <w:r>
        <w:rPr>
          <w:rFonts w:hint="eastAsia" w:ascii="黑体" w:hAnsi="黑体" w:eastAsia="黑体" w:cs="黑体"/>
          <w:sz w:val="32"/>
          <w:szCs w:val="32"/>
        </w:rPr>
        <w:t xml:space="preserve">    </w:t>
      </w:r>
    </w:p>
    <w:p w14:paraId="0DF93E4A">
      <w:pPr>
        <w:ind w:firstLine="640" w:firstLineChars="200"/>
        <w:rPr>
          <w:rFonts w:ascii="黑体" w:hAnsi="黑体" w:eastAsia="黑体" w:cs="黑体"/>
          <w:sz w:val="32"/>
          <w:szCs w:val="32"/>
        </w:rPr>
      </w:pPr>
      <w:r>
        <w:rPr>
          <w:rFonts w:hint="eastAsia" w:ascii="黑体" w:hAnsi="黑体" w:eastAsia="黑体" w:cs="黑体"/>
          <w:sz w:val="32"/>
          <w:szCs w:val="32"/>
        </w:rPr>
        <w:t>一、事项名称：</w:t>
      </w:r>
      <w:r>
        <w:rPr>
          <w:rFonts w:hint="eastAsia" w:ascii="仿宋" w:hAnsi="仿宋" w:eastAsia="仿宋" w:cs="仿宋"/>
          <w:sz w:val="32"/>
          <w:szCs w:val="32"/>
          <w:lang w:val="en-US" w:eastAsia="zh-CN"/>
        </w:rPr>
        <w:t>国家免疫规划疫苗确定及免费接种、预防接种异常反应补偿</w:t>
      </w:r>
    </w:p>
    <w:p w14:paraId="7AB5CE87">
      <w:pPr>
        <w:ind w:firstLine="640"/>
        <w:rPr>
          <w:rFonts w:hint="eastAsia" w:ascii="仿宋" w:hAnsi="仿宋" w:eastAsia="仿宋" w:cs="仿宋"/>
          <w:sz w:val="32"/>
          <w:szCs w:val="32"/>
          <w:lang w:eastAsia="zh-CN"/>
        </w:rPr>
      </w:pPr>
      <w:r>
        <w:rPr>
          <w:rFonts w:hint="eastAsia" w:ascii="黑体" w:hAnsi="黑体" w:eastAsia="黑体" w:cs="黑体"/>
          <w:sz w:val="32"/>
          <w:szCs w:val="32"/>
        </w:rPr>
        <w:t>二、实施机构：</w:t>
      </w:r>
      <w:r>
        <w:rPr>
          <w:rFonts w:hint="eastAsia" w:ascii="仿宋" w:hAnsi="仿宋" w:eastAsia="仿宋" w:cs="仿宋"/>
          <w:sz w:val="32"/>
          <w:szCs w:val="32"/>
        </w:rPr>
        <w:t>唐山市</w:t>
      </w:r>
      <w:r>
        <w:rPr>
          <w:rFonts w:hint="eastAsia" w:ascii="仿宋" w:hAnsi="仿宋" w:eastAsia="仿宋" w:cs="仿宋"/>
          <w:sz w:val="32"/>
          <w:szCs w:val="32"/>
          <w:lang w:val="en-US" w:eastAsia="zh-CN"/>
        </w:rPr>
        <w:t>曹妃甸区</w:t>
      </w:r>
      <w:r>
        <w:rPr>
          <w:rFonts w:hint="eastAsia" w:ascii="仿宋" w:hAnsi="仿宋" w:eastAsia="仿宋" w:cs="仿宋"/>
          <w:sz w:val="32"/>
          <w:szCs w:val="32"/>
        </w:rPr>
        <w:t>行政审批局</w:t>
      </w:r>
      <w:r>
        <w:rPr>
          <w:rFonts w:hint="eastAsia" w:ascii="仿宋" w:hAnsi="仿宋" w:eastAsia="仿宋" w:cs="仿宋"/>
          <w:sz w:val="32"/>
          <w:szCs w:val="32"/>
          <w:lang w:eastAsia="zh-CN"/>
        </w:rPr>
        <w:t>、曹妃甸区卫生健康局</w:t>
      </w:r>
    </w:p>
    <w:p w14:paraId="0A5669CF">
      <w:pPr>
        <w:ind w:firstLine="640" w:firstLineChars="200"/>
        <w:rPr>
          <w:rFonts w:ascii="黑体" w:hAnsi="黑体" w:eastAsia="黑体" w:cs="黑体"/>
          <w:sz w:val="32"/>
          <w:szCs w:val="32"/>
        </w:rPr>
      </w:pPr>
      <w:r>
        <w:rPr>
          <w:rFonts w:hint="eastAsia" w:ascii="黑体" w:hAnsi="黑体" w:eastAsia="黑体" w:cs="黑体"/>
          <w:sz w:val="32"/>
          <w:szCs w:val="32"/>
        </w:rPr>
        <w:t>三、设定依据</w:t>
      </w:r>
    </w:p>
    <w:p w14:paraId="69392469">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《河北省预防接种异常反应保险补偿实施方案（2022-2024年）》</w:t>
      </w:r>
    </w:p>
    <w:p w14:paraId="57EC34F2">
      <w:pPr>
        <w:pStyle w:val="6"/>
        <w:spacing w:line="560" w:lineRule="exact"/>
        <w:ind w:left="720" w:firstLine="0" w:firstLineChars="0"/>
        <w:rPr>
          <w:rFonts w:ascii="黑体" w:hAnsi="黑体" w:eastAsia="黑体" w:cs="黑体"/>
          <w:sz w:val="32"/>
          <w:szCs w:val="32"/>
        </w:rPr>
      </w:pPr>
      <w:r>
        <w:rPr>
          <w:rFonts w:hint="eastAsia" w:ascii="黑体" w:hAnsi="黑体" w:eastAsia="黑体" w:cs="黑体"/>
          <w:sz w:val="32"/>
          <w:szCs w:val="32"/>
        </w:rPr>
        <w:t>四、申请条件</w:t>
      </w:r>
    </w:p>
    <w:p w14:paraId="6495A0FE">
      <w:pPr>
        <w:ind w:firstLine="643" w:firstLineChars="200"/>
        <w:rPr>
          <w:rFonts w:ascii="楷体" w:hAnsi="楷体" w:eastAsia="楷体" w:cs="楷体"/>
          <w:b/>
          <w:bCs/>
          <w:sz w:val="32"/>
          <w:szCs w:val="32"/>
        </w:rPr>
      </w:pPr>
      <w:r>
        <w:rPr>
          <w:rFonts w:hint="eastAsia" w:ascii="楷体" w:hAnsi="楷体" w:eastAsia="楷体" w:cs="楷体"/>
          <w:b/>
          <w:bCs/>
          <w:sz w:val="32"/>
          <w:szCs w:val="32"/>
        </w:rPr>
        <w:t>（一）申请条件的设定依据</w:t>
      </w:r>
    </w:p>
    <w:p w14:paraId="157222AC">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《河北省预防接种异常反应保险补偿实施方案（2022-2024年）》</w:t>
      </w:r>
    </w:p>
    <w:p w14:paraId="02C18034">
      <w:pPr>
        <w:ind w:firstLine="643" w:firstLineChars="200"/>
        <w:rPr>
          <w:rFonts w:ascii="楷体" w:hAnsi="楷体" w:eastAsia="楷体" w:cs="楷体"/>
          <w:b/>
          <w:bCs/>
          <w:sz w:val="32"/>
          <w:szCs w:val="32"/>
        </w:rPr>
      </w:pPr>
      <w:r>
        <w:rPr>
          <w:rFonts w:hint="eastAsia" w:ascii="楷体" w:hAnsi="楷体" w:eastAsia="楷体" w:cs="楷体"/>
          <w:b/>
          <w:bCs/>
          <w:sz w:val="32"/>
          <w:szCs w:val="32"/>
        </w:rPr>
        <w:t>（二）具体条件要求</w:t>
      </w:r>
    </w:p>
    <w:p w14:paraId="18C5CD81">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保险补偿范围和标准：</w:t>
      </w:r>
    </w:p>
    <w:p w14:paraId="062B9222">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1.范国：保险期限内，经预防接种异常反应调查诊断专家组调查诊断或者经预防接种异常反应鉴定，属于预防接种异常反应或不能排除的。</w:t>
      </w:r>
    </w:p>
    <w:p w14:paraId="43AA6C2E">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2.标准：</w:t>
      </w:r>
    </w:p>
    <w:p w14:paraId="2D7C4BA9">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造成受种者死亡的，受种者3周岁（含）以下死亡的，按照上一年度河北省城镇居民人均可支配收入(以河北省统计局《河北经济年签》为准；按照调查诊断结论或者鉴定结论目期的上一年度，下同)，补偿15年。每增加1岁增加1年，最长不超过20年。</w:t>
      </w:r>
    </w:p>
    <w:p w14:paraId="1A488804">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计算方法：受种者死亡补偿费=上一年度河北省城镇居民人均可支配收入×补偿年限（15年-20年）。</w:t>
      </w:r>
    </w:p>
    <w:p w14:paraId="372ADE68">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（2）造成受种者严重残疾或者器官组织损伤的，参照《医疗事故分级标准（试行）》，按不同损害程度的伤残等级，补偿系数为1-0.1，计算方法不同。</w:t>
      </w:r>
    </w:p>
    <w:p w14:paraId="27B62433">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①一级乙等，补偿系数为1.0。</w:t>
      </w:r>
    </w:p>
    <w:p w14:paraId="7D70BA66">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②二级甲等，补偿系数为0.9。</w:t>
      </w:r>
    </w:p>
    <w:p w14:paraId="0A83075F">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③二级乙等，补偿系数为0.8。</w:t>
      </w:r>
    </w:p>
    <w:p w14:paraId="66257152">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④二级丙等，补偿系数为0.7。</w:t>
      </w:r>
    </w:p>
    <w:p w14:paraId="5687B7CA">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⑤二级丁等，补偿茶数为0.6。</w:t>
      </w:r>
    </w:p>
    <w:p w14:paraId="7F6AA174">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⑥三级甲等，补偿系数为0.5。</w:t>
      </w:r>
    </w:p>
    <w:p w14:paraId="2B49BD41">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⑦三级乙等，补偿系数为0.4。</w:t>
      </w:r>
    </w:p>
    <w:p w14:paraId="18617815">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⑧三级丙等，补偿系数为0.3。</w:t>
      </w:r>
    </w:p>
    <w:p w14:paraId="5D8F7612">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⑨三级丁等，补偿系数为0.2。</w:t>
      </w:r>
    </w:p>
    <w:p w14:paraId="673A2EC7">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①三级戊等，补偿系数为0.1。</w:t>
      </w:r>
    </w:p>
    <w:p w14:paraId="2608B2AA">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计算方法：</w:t>
      </w:r>
    </w:p>
    <w:p w14:paraId="259F7B76">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（1）属于预防接种异常反应的</w:t>
      </w:r>
    </w:p>
    <w:p w14:paraId="75BED584">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伤残等级为一级乙等的：</w:t>
      </w:r>
    </w:p>
    <w:p w14:paraId="22B1F4AD">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受种者严重残疾或者器官组织损伤补偿费=上一年度河北省城镇居民人均可支配收入×补偿年限（25年）×补偿系数。</w:t>
      </w:r>
    </w:p>
    <w:p w14:paraId="13EC57EE">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伤残等级为二级甲等的：</w:t>
      </w:r>
    </w:p>
    <w:p w14:paraId="5B8E91B5">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受种者严重残疾或者器官组织损伤补偿费=上一年度河北省城镇居民人均可支配收入×补偿年限（24年）×补偿系数。</w:t>
      </w:r>
    </w:p>
    <w:p w14:paraId="4E7CCD98">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伤残等级为二级乙等至三级戊等的：</w:t>
      </w:r>
    </w:p>
    <w:p w14:paraId="4DC0C82B">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受种者严重残疾或者器宫组织损伤补偿费=上一年度河北省城镇居民人均可支配收入×补偿年限 (23年）×补偿系数。</w:t>
      </w:r>
    </w:p>
    <w:p w14:paraId="7DC14EAF">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造成受种者组织器官、功能损害的程度较轻，达不到《医疗事故分级标准（试行〉》规定的三级戊等，且经治疗无法恢复正常的，给予补偿相关的治疗费用，以三级戊等补偿标准为限。</w:t>
      </w:r>
    </w:p>
    <w:p w14:paraId="03C9E98A">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(2）属预不排除预防接种异常反应的</w:t>
      </w:r>
    </w:p>
    <w:p w14:paraId="4DFDFCD7">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伤残等级为一级乙等的：</w:t>
      </w:r>
    </w:p>
    <w:p w14:paraId="71CBD91D">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受种者严重残疾或者器官组织损伤补偿费=上一年度河北省城镇居民人均可支配收入×补偿年限（24年）×补偿系数。</w:t>
      </w:r>
    </w:p>
    <w:p w14:paraId="3579DD89">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伤残等级为二级甲等的：</w:t>
      </w:r>
    </w:p>
    <w:p w14:paraId="585DDB28">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受种者严重残疾或者器宫组织损伤补偿费=上一年度河北省城镇居民人均可支配收入×补偿年限（23年）×补偿系数。</w:t>
      </w:r>
    </w:p>
    <w:p w14:paraId="6C1F05AE">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伤残等级为二级乙等至三级戊等的：</w:t>
      </w:r>
    </w:p>
    <w:p w14:paraId="7F8DA2B4">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受种者严重残疾或者器宫组织损伤补偿费=上一年度河北省城镇居民人均可支配收入×补偿年限（22年）×补偿系数。</w:t>
      </w:r>
    </w:p>
    <w:p w14:paraId="1149BB04">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因预防接种异常反应或者不能排除的，造成受种者明显人身损害的或其他后果的损害，经过治疗恢复正常的一过性器官组织损伤，按照预防接种异常反应治疗所发生的医疗费计算（不包括原发疾病治疗费用）补偿费用，凭据支付，但补偿总额不得超过上一年度河北省城镇居民人均可支配收入的15倍。</w:t>
      </w:r>
    </w:p>
    <w:p w14:paraId="2821B88E">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4、本险种补偿范围内的病例因需要而产生的鉴定费用、尸格费用等必要的、合理的费用。</w:t>
      </w:r>
    </w:p>
    <w:p w14:paraId="5A65504E">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5、其他补偿项目</w:t>
      </w:r>
    </w:p>
    <w:p w14:paraId="394AEF19">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（1）厲于预防接种异常反应或不能排除的，且伤残等级为一级乙等至三级戊等的病例，给予残疾生活补助费、医疗费、残疾用具费、残疾病例陪护误工费。</w:t>
      </w:r>
    </w:p>
    <w:p w14:paraId="271746D7">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计算方法：残疾生活补助费=10万元×补偿系数；医疗费：按照实际产生的医疗费凭票给与补偿，扣除医保报销的金额后，限额5万元；残疾用具费：受种者残疾需要配置功能辅助器具的，按照接种年份的上一年度单个国产普通型功能辅助器具价格作为补偿费用标准，每5年更换一次，补偿按30年计算，限额5万元；残疾病例陪护误工费=实际误工天数（天）×上一年度河北省城镇单位在岗职工年平均工资（元）/250天×1人，限额6000元。</w:t>
      </w:r>
    </w:p>
    <w:p w14:paraId="215A4C70">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属于预防接种异常反应或不能排除的，给予交通费：受种者和1名陪护人员因异常反应或不排除异常反应导致实际必需使用的交通费(包括因病就医或转院治疗实际发生的交通费用），原则上按乘坐的汽车或火车，飞机票据凭据支付，总计不超过2000元。</w:t>
      </w:r>
    </w:p>
    <w:p w14:paraId="3B7C6C16">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属于预防接种异常反应的，给予住院伙食补助费、营养费、住宿费和救护车费用。住院伙食补助费＝住院天数*30元/天，限额1000元；住院营养费=住院天数*30元/天，限额1000元；住宿费：最多为受种者和1名陪护人员，130元/人/天，按照实际发生的费用，凭有效票据补偿，限额2000元；救护车费，限额5000元。</w:t>
      </w:r>
    </w:p>
    <w:p w14:paraId="441980DF">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（4）属于预防接种异常反应，且死亡的，给子死亡遗体运送费、丧葬费和遗体冷冻费，最高限额各5000元。</w:t>
      </w:r>
    </w:p>
    <w:p w14:paraId="4567406E">
      <w:p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6、其他救助服务</w:t>
      </w:r>
    </w:p>
    <w:p w14:paraId="600F219D">
      <w:p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在补偿范围之外，承保保险公司自愿增加偶合症且受种者死亡病例的救助。在保险期限内，经调查诊断或者鉴定结论属于偶合症且受种者死亡的，承保保险公司给予死亡救助金。受种者不满1周岁死亡的，救助2万元。年龄每增加1岁增加1万元，最高救助不超过8万元。</w:t>
      </w:r>
    </w:p>
    <w:p w14:paraId="391B574C">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对于属于保险补偿范围的案件，保险公司负责收集审核案件相关补偿材料。未经过鉴定的，以预防接种异常反应调查诊断结论为依据：有预防接种异常反应鉴定书的，以最高级别的鉴定为依据。</w:t>
      </w:r>
    </w:p>
    <w:p w14:paraId="599F383C">
      <w:pPr>
        <w:ind w:firstLine="640" w:firstLineChars="200"/>
        <w:rPr>
          <w:rFonts w:ascii="黑体" w:hAnsi="黑体" w:eastAsia="黑体" w:cs="黑体"/>
          <w:sz w:val="32"/>
          <w:szCs w:val="32"/>
        </w:rPr>
      </w:pPr>
      <w:r>
        <w:rPr>
          <w:rFonts w:hint="eastAsia" w:ascii="黑体" w:hAnsi="黑体" w:eastAsia="黑体" w:cs="黑体"/>
          <w:sz w:val="32"/>
          <w:szCs w:val="32"/>
        </w:rPr>
        <w:t>五、申请材料</w:t>
      </w:r>
    </w:p>
    <w:p w14:paraId="1BF12044">
      <w:pPr>
        <w:ind w:firstLine="643" w:firstLineChars="200"/>
        <w:rPr>
          <w:rFonts w:ascii="楷体" w:hAnsi="楷体" w:eastAsia="楷体" w:cs="楷体"/>
          <w:b/>
          <w:bCs/>
          <w:sz w:val="32"/>
          <w:szCs w:val="32"/>
        </w:rPr>
      </w:pPr>
      <w:r>
        <w:rPr>
          <w:rFonts w:hint="eastAsia" w:ascii="楷体" w:hAnsi="楷体" w:eastAsia="楷体" w:cs="楷体"/>
          <w:b/>
          <w:bCs/>
          <w:sz w:val="32"/>
          <w:szCs w:val="32"/>
        </w:rPr>
        <w:t>（一）申请要件的设定依据</w:t>
      </w:r>
    </w:p>
    <w:p w14:paraId="4D3B2FCF">
      <w:pPr>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《河北省预防接种异常反应保险补偿实施方案（2022-2024年）》</w:t>
      </w:r>
    </w:p>
    <w:p w14:paraId="0B88CFED">
      <w:pPr>
        <w:pStyle w:val="6"/>
        <w:numPr>
          <w:ilvl w:val="0"/>
          <w:numId w:val="1"/>
        </w:numPr>
        <w:spacing w:after="0" w:line="560" w:lineRule="exact"/>
        <w:ind w:firstLine="643"/>
        <w:rPr>
          <w:rFonts w:ascii="楷体" w:hAnsi="楷体" w:eastAsia="楷体" w:cs="楷体"/>
          <w:b/>
          <w:bCs/>
          <w:sz w:val="32"/>
          <w:szCs w:val="32"/>
        </w:rPr>
      </w:pPr>
      <w:r>
        <w:rPr>
          <w:rFonts w:hint="eastAsia" w:ascii="楷体" w:hAnsi="楷体" w:eastAsia="楷体" w:cs="楷体"/>
          <w:b/>
          <w:bCs/>
          <w:sz w:val="32"/>
          <w:szCs w:val="32"/>
        </w:rPr>
        <w:t>需提交的具体材料</w:t>
      </w:r>
    </w:p>
    <w:p w14:paraId="0D03E229">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受种者需提供以下材料：</w:t>
      </w:r>
    </w:p>
    <w:p w14:paraId="161FC53D">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(1）受种者本人的身份证明、法定监护人身份证原件及复印件;</w:t>
      </w:r>
    </w:p>
    <w:p w14:paraId="0B399FF3">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(2）相关部门出具的预防接种异常反应调查诊断结论或鉴定结论等；</w:t>
      </w:r>
    </w:p>
    <w:p w14:paraId="00FA8AF6">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（3）受种者就医治疗的诊疗证明、病历（原件）及医疗费用原始单据；死亡的，由公安机关或医疗机构出具的死亡证明；宣告死亡的，由人民法院出具的宣告死亡判决；</w:t>
      </w:r>
    </w:p>
    <w:p w14:paraId="5F6DFC23">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 其它材料。</w:t>
      </w:r>
    </w:p>
    <w:p w14:paraId="673C1D74">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鉴定费、尸检费等费用票据原件；法律费用单据：其他与确认保险事故性质、原因、损失程度等有关的证明和资料。</w:t>
      </w:r>
    </w:p>
    <w:p w14:paraId="672787E2">
      <w:pPr>
        <w:ind w:firstLine="640" w:firstLineChars="200"/>
        <w:rPr>
          <w:rFonts w:hint="eastAsia" w:ascii="仿宋" w:hAnsi="仿宋" w:eastAsia="仿宋" w:cs="仿宋"/>
          <w:sz w:val="32"/>
          <w:szCs w:val="32"/>
          <w:lang w:val="en-US" w:eastAsia="zh-CN"/>
        </w:rPr>
      </w:pPr>
    </w:p>
    <w:p w14:paraId="79C73154">
      <w:pPr>
        <w:pStyle w:val="6"/>
        <w:spacing w:after="0" w:line="560" w:lineRule="exact"/>
        <w:ind w:firstLine="640"/>
        <w:rPr>
          <w:rFonts w:hint="eastAsia" w:ascii="黑体" w:hAnsi="黑体" w:eastAsia="黑体" w:cs="黑体"/>
          <w:sz w:val="32"/>
          <w:szCs w:val="32"/>
          <w:lang w:val="en-US" w:eastAsia="zh-CN"/>
        </w:rPr>
      </w:pPr>
      <w:r>
        <w:rPr>
          <w:rFonts w:hint="eastAsia" w:ascii="黑体" w:hAnsi="黑体" w:eastAsia="黑体" w:cs="黑体"/>
          <w:sz w:val="32"/>
          <w:szCs w:val="32"/>
        </w:rPr>
        <w:t>六、事项办理流程</w:t>
      </w:r>
      <w:r>
        <w:rPr>
          <w:rFonts w:hint="eastAsia" w:ascii="黑体" w:hAnsi="黑体" w:eastAsia="黑体" w:cs="黑体"/>
          <w:sz w:val="32"/>
          <w:szCs w:val="32"/>
          <w:lang w:val="en-US" w:eastAsia="zh-CN"/>
        </w:rPr>
        <w:t>图</w:t>
      </w:r>
    </w:p>
    <w:p w14:paraId="10C2570B">
      <w:pPr>
        <w:ind w:firstLine="640" w:firstLineChars="200"/>
        <w:rPr>
          <w:rFonts w:hint="eastAsia" w:ascii="仿宋" w:hAnsi="仿宋" w:eastAsia="仿宋" w:cs="仿宋"/>
          <w:sz w:val="32"/>
          <w:szCs w:val="32"/>
          <w:lang w:val="en-US" w:eastAsia="zh-CN"/>
        </w:rPr>
      </w:pPr>
      <w:r>
        <w:rPr>
          <w:sz w:val="32"/>
        </w:rPr>
        <mc:AlternateContent>
          <mc:Choice Requires="wps">
            <w:drawing>
              <wp:anchor distT="0" distB="0" distL="114300" distR="114300" simplePos="0" relativeHeight="251661312" behindDoc="0" locked="0" layoutInCell="1" allowOverlap="1">
                <wp:simplePos x="0" y="0"/>
                <wp:positionH relativeFrom="column">
                  <wp:posOffset>2370455</wp:posOffset>
                </wp:positionH>
                <wp:positionV relativeFrom="paragraph">
                  <wp:posOffset>304165</wp:posOffset>
                </wp:positionV>
                <wp:extent cx="8255" cy="279400"/>
                <wp:effectExtent l="43180" t="0" r="55245" b="10160"/>
                <wp:wrapNone/>
                <wp:docPr id="4" name="直接箭头连接符 4"/>
                <wp:cNvGraphicFramePr/>
                <a:graphic xmlns:a="http://schemas.openxmlformats.org/drawingml/2006/main">
                  <a:graphicData uri="http://schemas.microsoft.com/office/word/2010/wordprocessingShape">
                    <wps:wsp>
                      <wps:cNvCnPr/>
                      <wps:spPr>
                        <a:xfrm>
                          <a:off x="3513455" y="8665845"/>
                          <a:ext cx="8255" cy="2794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86.65pt;margin-top:23.95pt;height:22pt;width:0.65pt;z-index:251661312;mso-width-relative:page;mso-height-relative:page;" filled="f" stroked="t" coordsize="21600,21600" o:gfxdata="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ES96jbZAAAACQEAAA8AAAAA&#10;AAAAAQAgAAAAIgAAAGRycy9kb3ducmV2LnhtbFBLAQIUABQAAAAIAIdO4kD2Xt8gEwIAAOwDAAAO&#10;AAAAAAAAAAEAIAAAACgBAABkcnMvZTJvRG9jLnhtbFBLBQYAAAAABgAGAFkBAACtBQAAAAA=&#10;">
                <v:fill on="f" focussize="0,0"/>
                <v:stroke weight="0.5pt" color="#000000 [3213]"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660288" behindDoc="0" locked="0" layoutInCell="1" allowOverlap="1">
                <wp:simplePos x="0" y="0"/>
                <wp:positionH relativeFrom="column">
                  <wp:posOffset>3098800</wp:posOffset>
                </wp:positionH>
                <wp:positionV relativeFrom="paragraph">
                  <wp:posOffset>171450</wp:posOffset>
                </wp:positionV>
                <wp:extent cx="321310" cy="0"/>
                <wp:effectExtent l="0" t="48895" r="13970" b="57785"/>
                <wp:wrapNone/>
                <wp:docPr id="3" name="直接箭头连接符 3"/>
                <wp:cNvGraphicFramePr/>
                <a:graphic xmlns:a="http://schemas.openxmlformats.org/drawingml/2006/main">
                  <a:graphicData uri="http://schemas.microsoft.com/office/word/2010/wordprocessingShape">
                    <wps:wsp>
                      <wps:cNvCnPr/>
                      <wps:spPr>
                        <a:xfrm>
                          <a:off x="4241800" y="3026410"/>
                          <a:ext cx="32131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44pt;margin-top:13.5pt;height:0pt;width:25.3pt;z-index:251660288;mso-width-relative:page;mso-height-relative:page;" filled="f" stroked="t" coordsize="21600,21600" o:gfxdata="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nSLa7dkAAAAJAQAADwAAAAAAAAAB&#10;ACAAAAAiAAAAZHJzL2Rvd25yZXYueG1sUEsBAhQAFAAAAAgAh07iQJNDXFIPAgAA6QMAAA4AAAAA&#10;AAAAAQAgAAAAKAEAAGRycy9lMm9Eb2MueG1sUEsFBgAAAAAGAAYAWQEAAKkFAAAAAA==&#10;">
                <v:fill on="f" focussize="0,0"/>
                <v:stroke weight="0.5pt" color="#000000 [3213]" miterlimit="8" joinstyle="miter" endarrow="open"/>
                <v:imagedata o:title=""/>
                <o:lock v:ext="edit" aspectratio="f"/>
              </v:shape>
            </w:pict>
          </mc:Fallback>
        </mc:AlternateContent>
      </w:r>
      <w:r>
        <w:rPr>
          <w:sz w:val="32"/>
        </w:rPr>
        <mc:AlternateContent>
          <mc:Choice Requires="wps">
            <w:drawing>
              <wp:anchor distT="0" distB="0" distL="114300" distR="114300" simplePos="0" relativeHeight="251659264" behindDoc="0" locked="0" layoutInCell="1" allowOverlap="1">
                <wp:simplePos x="0" y="0"/>
                <wp:positionH relativeFrom="column">
                  <wp:posOffset>1143000</wp:posOffset>
                </wp:positionH>
                <wp:positionV relativeFrom="paragraph">
                  <wp:posOffset>191770</wp:posOffset>
                </wp:positionV>
                <wp:extent cx="397510" cy="0"/>
                <wp:effectExtent l="0" t="48895" r="13970" b="57785"/>
                <wp:wrapNone/>
                <wp:docPr id="2" name="直接箭头连接符 2"/>
                <wp:cNvGraphicFramePr/>
                <a:graphic xmlns:a="http://schemas.openxmlformats.org/drawingml/2006/main">
                  <a:graphicData uri="http://schemas.microsoft.com/office/word/2010/wordprocessingShape">
                    <wps:wsp>
                      <wps:cNvCnPr/>
                      <wps:spPr>
                        <a:xfrm>
                          <a:off x="2286000" y="3046730"/>
                          <a:ext cx="397510" cy="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90pt;margin-top:15.1pt;height:0pt;width:31.3pt;z-index:251659264;mso-width-relative:page;mso-height-relative:page;" filled="f" stroked="t" coordsize="21600,21600" o:gfxdata="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Hf5UO3XAAAACQEAAA8AAAAAAAAAAQAg&#10;AAAAIgAAAGRycy9kb3ducmV2LnhtbFBLAQIUABQAAAAIAIdO4kDjjU/CDwIAAOkDAAAOAAAAAAAA&#10;AAEAIAAAACYBAABkcnMvZTJvRG9jLnhtbFBLBQYAAAAABgAGAFkBAACnBQAAAAA=&#10;">
                <v:fill on="f" focussize="0,0"/>
                <v:stroke weight="0.5pt" color="#000000 [3213]" miterlimit="8" joinstyle="miter" endarrow="open"/>
                <v:imagedata o:title=""/>
                <o:lock v:ext="edit" aspectratio="f"/>
              </v:shape>
            </w:pict>
          </mc:Fallback>
        </mc:AlternateContent>
      </w:r>
      <w:r>
        <w:rPr>
          <w:rFonts w:hint="eastAsia" w:ascii="仿宋" w:hAnsi="仿宋" w:eastAsia="仿宋" w:cs="仿宋"/>
          <w:sz w:val="32"/>
          <w:szCs w:val="32"/>
          <w:lang w:val="en-US" w:eastAsia="zh-CN"/>
        </w:rPr>
        <w:t>接报案      调查诊断和鉴定    受理理赔</w:t>
      </w:r>
    </w:p>
    <w:p w14:paraId="62803A0A">
      <w:pPr>
        <w:rPr>
          <w:rFonts w:hint="eastAsia" w:ascii="仿宋" w:hAnsi="仿宋" w:eastAsia="仿宋" w:cs="仿宋"/>
          <w:sz w:val="24"/>
          <w:szCs w:val="24"/>
          <w:lang w:val="en-US" w:eastAsia="zh-CN"/>
        </w:rPr>
      </w:pPr>
    </w:p>
    <w:p w14:paraId="2730EA03">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当事人（包括受种方、接种单位、疫苗上市许可持有人有异议，可按照《预防接种异常反应鉴定》相关规定申请预防接种异常反应鉴定）</w:t>
      </w:r>
    </w:p>
    <w:p w14:paraId="48810518">
      <w:pPr>
        <w:numPr>
          <w:ilvl w:val="0"/>
          <w:numId w:val="2"/>
        </w:numPr>
        <w:ind w:firstLine="640" w:firstLineChars="200"/>
        <w:rPr>
          <w:rFonts w:hint="eastAsia" w:ascii="黑体" w:hAnsi="黑体" w:eastAsia="黑体" w:cs="黑体"/>
          <w:sz w:val="32"/>
          <w:szCs w:val="32"/>
        </w:rPr>
      </w:pPr>
      <w:r>
        <w:rPr>
          <w:rFonts w:hint="eastAsia" w:ascii="黑体" w:hAnsi="黑体" w:eastAsia="黑体" w:cs="黑体"/>
          <w:sz w:val="32"/>
          <w:szCs w:val="32"/>
        </w:rPr>
        <w:t>办理时限：</w:t>
      </w:r>
    </w:p>
    <w:p w14:paraId="72D7296C">
      <w:pPr>
        <w:numPr>
          <w:ilvl w:val="0"/>
          <w:numId w:val="0"/>
        </w:num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区卫健局审核保险公司提供的相关资料，审核通过后，与保险公司、受种方共同签署补偿协议及授权书。保险公司10个工作日内支付补偿金，并提供就医、救济等相应政策指导。</w:t>
      </w:r>
    </w:p>
    <w:p w14:paraId="3D5C0593">
      <w:pPr>
        <w:numPr>
          <w:ilvl w:val="0"/>
          <w:numId w:val="0"/>
        </w:num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受种方收到补偿款后，补偿终结。受种方对保险补偿金额不满且拒绝签署补偿协议及授权书，其可向人民法院提起诉讼。</w:t>
      </w:r>
    </w:p>
    <w:p w14:paraId="2806ACC2">
      <w:pPr>
        <w:numPr>
          <w:ilvl w:val="0"/>
          <w:numId w:val="0"/>
        </w:numPr>
        <w:ind w:left="640" w:leftChars="0"/>
        <w:rPr>
          <w:rFonts w:ascii="仿宋" w:hAnsi="仿宋" w:eastAsia="仿宋" w:cs="仿宋"/>
          <w:sz w:val="32"/>
          <w:szCs w:val="32"/>
        </w:rPr>
      </w:pPr>
      <w:r>
        <w:rPr>
          <w:rFonts w:hint="eastAsia" w:ascii="黑体" w:hAnsi="黑体" w:eastAsia="黑体" w:cs="黑体"/>
          <w:sz w:val="32"/>
          <w:szCs w:val="32"/>
        </w:rPr>
        <w:t>八、收费情况：</w:t>
      </w:r>
      <w:r>
        <w:rPr>
          <w:rFonts w:hint="eastAsia" w:ascii="仿宋" w:hAnsi="仿宋" w:eastAsia="仿宋" w:cs="仿宋"/>
          <w:sz w:val="32"/>
          <w:szCs w:val="32"/>
        </w:rPr>
        <w:t>不收费</w:t>
      </w:r>
    </w:p>
    <w:p w14:paraId="1BF751C2">
      <w:pPr>
        <w:rPr>
          <w:sz w:val="32"/>
          <w:szCs w:val="32"/>
        </w:rPr>
      </w:pPr>
      <w:r>
        <w:rPr>
          <w:rFonts w:hint="eastAsia"/>
          <w:sz w:val="32"/>
          <w:szCs w:val="32"/>
        </w:rPr>
        <w:t xml:space="preserve">    </w:t>
      </w:r>
      <w:r>
        <w:rPr>
          <w:rFonts w:hint="eastAsia" w:ascii="黑体" w:hAnsi="黑体" w:eastAsia="黑体" w:cs="黑体"/>
          <w:sz w:val="32"/>
          <w:szCs w:val="32"/>
        </w:rPr>
        <w:t>九、办公时间和地点</w:t>
      </w:r>
    </w:p>
    <w:p w14:paraId="36C183C6">
      <w:pPr>
        <w:keepNext w:val="0"/>
        <w:keepLines w:val="0"/>
        <w:pageBreakBefore w:val="0"/>
        <w:kinsoku/>
        <w:wordWrap/>
        <w:overflowPunct/>
        <w:topLinePunct w:val="0"/>
        <w:autoSpaceDE/>
        <w:autoSpaceDN/>
        <w:bidi w:val="0"/>
        <w:spacing w:line="570" w:lineRule="exact"/>
        <w:ind w:firstLine="640"/>
        <w:jc w:val="both"/>
        <w:textAlignment w:val="auto"/>
        <w:rPr>
          <w:rFonts w:hint="eastAsia" w:ascii="方正仿宋简体" w:hAnsi="方正仿宋简体" w:eastAsia="方正仿宋简体" w:cs="方正仿宋简体"/>
          <w:b w:val="0"/>
          <w:bCs w:val="0"/>
          <w:sz w:val="32"/>
          <w:szCs w:val="32"/>
          <w:lang w:val="en-US" w:eastAsia="zh-CN"/>
        </w:rPr>
      </w:pPr>
      <w:r>
        <w:rPr>
          <w:rFonts w:hint="eastAsia" w:ascii="楷体_GB2312" w:hAnsi="楷体_GB2312" w:eastAsia="楷体_GB2312" w:cs="楷体_GB2312"/>
          <w:b/>
          <w:bCs/>
          <w:sz w:val="32"/>
          <w:szCs w:val="32"/>
        </w:rPr>
        <w:t>（一）办公时间：</w:t>
      </w:r>
      <w:r>
        <w:rPr>
          <w:rFonts w:hint="eastAsia" w:ascii="方正仿宋简体" w:hAnsi="方正仿宋简体" w:eastAsia="方正仿宋简体" w:cs="方正仿宋简体"/>
          <w:b w:val="0"/>
          <w:bCs w:val="0"/>
          <w:sz w:val="32"/>
          <w:szCs w:val="32"/>
          <w:lang w:eastAsia="zh-CN"/>
        </w:rPr>
        <w:t>秋冬春季（9月1日至5月31日）上午8:30～12:00，下午13:30～17:30；夏季（6月1日至8月31日）上午8:30～12:00，下午14:30～17:30. 法定节假日除外。</w:t>
      </w:r>
    </w:p>
    <w:p w14:paraId="471A44BD">
      <w:pPr>
        <w:ind w:firstLine="643" w:firstLineChars="200"/>
        <w:rPr>
          <w:rFonts w:hint="eastAsia" w:ascii="方正仿宋简体" w:hAnsi="方正仿宋简体" w:eastAsia="方正仿宋简体" w:cs="方正仿宋简体"/>
          <w:b w:val="0"/>
          <w:bCs w:val="0"/>
          <w:sz w:val="32"/>
          <w:szCs w:val="32"/>
        </w:rPr>
      </w:pPr>
      <w:r>
        <w:rPr>
          <w:rFonts w:hint="eastAsia" w:ascii="楷体_GB2312" w:hAnsi="楷体_GB2312" w:eastAsia="楷体_GB2312" w:cs="楷体_GB2312"/>
          <w:b/>
          <w:bCs/>
          <w:sz w:val="32"/>
          <w:szCs w:val="32"/>
        </w:rPr>
        <w:t>（二）办理地址</w:t>
      </w:r>
    </w:p>
    <w:p w14:paraId="6AAB6F12">
      <w:pPr>
        <w:keepNext w:val="0"/>
        <w:keepLines w:val="0"/>
        <w:pageBreakBefore w:val="0"/>
        <w:kinsoku/>
        <w:wordWrap/>
        <w:overflowPunct/>
        <w:topLinePunct w:val="0"/>
        <w:autoSpaceDE/>
        <w:autoSpaceDN/>
        <w:bidi w:val="0"/>
        <w:spacing w:line="570" w:lineRule="exact"/>
        <w:ind w:firstLine="643" w:firstLineChars="200"/>
        <w:jc w:val="both"/>
        <w:textAlignment w:val="auto"/>
        <w:rPr>
          <w:rFonts w:hint="eastAsia" w:ascii="仿宋" w:hAnsi="仿宋" w:eastAsia="仿宋" w:cs="仿宋"/>
          <w:sz w:val="32"/>
          <w:szCs w:val="32"/>
          <w:highlight w:val="none"/>
        </w:rPr>
      </w:pPr>
      <w:r>
        <w:rPr>
          <w:rFonts w:hint="eastAsia" w:ascii="仿宋" w:hAnsi="仿宋" w:eastAsia="仿宋" w:cs="仿宋"/>
          <w:b/>
          <w:bCs/>
          <w:sz w:val="32"/>
          <w:szCs w:val="32"/>
          <w:lang w:eastAsia="zh-CN"/>
        </w:rPr>
        <w:t>曹妃甸区行政审批局：</w:t>
      </w:r>
      <w:r>
        <w:rPr>
          <w:rFonts w:hint="eastAsia" w:ascii="仿宋" w:hAnsi="仿宋" w:eastAsia="仿宋" w:cs="仿宋"/>
          <w:sz w:val="32"/>
          <w:szCs w:val="32"/>
        </w:rPr>
        <w:t>线下办理地址：</w:t>
      </w:r>
      <w:r>
        <w:rPr>
          <w:rFonts w:hint="eastAsia" w:ascii="仿宋" w:hAnsi="仿宋" w:eastAsia="仿宋" w:cs="仿宋"/>
          <w:sz w:val="32"/>
          <w:szCs w:val="32"/>
          <w:highlight w:val="none"/>
        </w:rPr>
        <w:t>1. 中国（河北）自由贸易试验区曹妃甸片区政务服务中心、唐山市曹妃甸区临港政务服务中心综合受理窗口B01-B06（曹妃甸工业区兴业道 1 号二层）</w:t>
      </w:r>
    </w:p>
    <w:p w14:paraId="2E05113F">
      <w:pPr>
        <w:keepNext w:val="0"/>
        <w:keepLines w:val="0"/>
        <w:pageBreakBefore w:val="0"/>
        <w:kinsoku/>
        <w:wordWrap/>
        <w:overflowPunct/>
        <w:topLinePunct w:val="0"/>
        <w:autoSpaceDE/>
        <w:autoSpaceDN/>
        <w:bidi w:val="0"/>
        <w:spacing w:line="570" w:lineRule="exact"/>
        <w:ind w:firstLine="640" w:firstLineChars="200"/>
        <w:jc w:val="both"/>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2. 唐山市曹妃甸区垦区政务服务中心综合受理窗口W1-W6（曹妃甸区唐海镇新城大街 259 号二层）</w:t>
      </w:r>
    </w:p>
    <w:p w14:paraId="299C153E">
      <w:pPr>
        <w:keepNext w:val="0"/>
        <w:keepLines w:val="0"/>
        <w:pageBreakBefore w:val="0"/>
        <w:kinsoku/>
        <w:wordWrap/>
        <w:overflowPunct/>
        <w:topLinePunct w:val="0"/>
        <w:autoSpaceDE/>
        <w:autoSpaceDN/>
        <w:bidi w:val="0"/>
        <w:spacing w:line="570" w:lineRule="exact"/>
        <w:ind w:firstLine="640" w:firstLineChars="200"/>
        <w:jc w:val="both"/>
        <w:textAlignment w:val="auto"/>
        <w:rPr>
          <w:rFonts w:hint="eastAsia" w:ascii="仿宋" w:hAnsi="仿宋" w:eastAsia="仿宋" w:cs="仿宋"/>
          <w:sz w:val="32"/>
          <w:szCs w:val="32"/>
          <w:highlight w:val="none"/>
        </w:rPr>
      </w:pPr>
      <w:r>
        <w:rPr>
          <w:rFonts w:hint="eastAsia" w:ascii="仿宋" w:hAnsi="仿宋" w:eastAsia="仿宋" w:cs="仿宋"/>
          <w:sz w:val="32"/>
          <w:szCs w:val="32"/>
          <w:highlight w:val="none"/>
        </w:rPr>
        <w:t>3. 唐山市曹妃甸区曹妃甸新城政务服务中心综合受理窗口B02-B05（曹妃甸区新城通海路）</w:t>
      </w:r>
    </w:p>
    <w:p w14:paraId="7ACE75B3">
      <w:pPr>
        <w:keepNext w:val="0"/>
        <w:keepLines w:val="0"/>
        <w:pageBreakBefore w:val="0"/>
        <w:kinsoku/>
        <w:wordWrap/>
        <w:overflowPunct/>
        <w:topLinePunct w:val="0"/>
        <w:autoSpaceDE/>
        <w:autoSpaceDN/>
        <w:bidi w:val="0"/>
        <w:spacing w:line="570" w:lineRule="exact"/>
        <w:ind w:firstLine="643" w:firstLineChars="200"/>
        <w:jc w:val="both"/>
        <w:textAlignment w:val="auto"/>
        <w:rPr>
          <w:rFonts w:hint="eastAsia" w:ascii="仿宋" w:hAnsi="仿宋" w:eastAsia="仿宋" w:cs="仿宋"/>
          <w:sz w:val="32"/>
          <w:szCs w:val="32"/>
          <w:lang w:eastAsia="zh-CN"/>
        </w:rPr>
      </w:pPr>
      <w:r>
        <w:rPr>
          <w:rFonts w:hint="eastAsia" w:ascii="仿宋" w:hAnsi="仿宋" w:eastAsia="仿宋" w:cs="仿宋"/>
          <w:b/>
          <w:bCs/>
          <w:sz w:val="32"/>
          <w:szCs w:val="32"/>
          <w:highlight w:val="none"/>
          <w:lang w:eastAsia="zh-CN"/>
        </w:rPr>
        <w:t>曹妃甸区卫生健康局：</w:t>
      </w:r>
      <w:r>
        <w:rPr>
          <w:rFonts w:hint="eastAsia" w:ascii="仿宋" w:hAnsi="仿宋" w:eastAsia="仿宋" w:cs="仿宋"/>
          <w:sz w:val="32"/>
          <w:szCs w:val="32"/>
          <w:highlight w:val="none"/>
          <w:lang w:eastAsia="zh-CN"/>
        </w:rPr>
        <w:t>唐山市曹妃甸区唐海镇垦丰大街</w:t>
      </w:r>
      <w:r>
        <w:rPr>
          <w:rFonts w:hint="eastAsia" w:ascii="仿宋" w:hAnsi="仿宋" w:eastAsia="仿宋" w:cs="仿宋"/>
          <w:sz w:val="32"/>
          <w:szCs w:val="32"/>
          <w:highlight w:val="none"/>
          <w:lang w:val="en-US" w:eastAsia="zh-CN"/>
        </w:rPr>
        <w:t>23号309室</w:t>
      </w:r>
    </w:p>
    <w:p w14:paraId="41D34020">
      <w:pPr>
        <w:keepNext w:val="0"/>
        <w:keepLines w:val="0"/>
        <w:pageBreakBefore w:val="0"/>
        <w:numPr>
          <w:ilvl w:val="0"/>
          <w:numId w:val="1"/>
        </w:numPr>
        <w:kinsoku/>
        <w:wordWrap/>
        <w:overflowPunct/>
        <w:topLinePunct w:val="0"/>
        <w:autoSpaceDE/>
        <w:autoSpaceDN/>
        <w:bidi w:val="0"/>
        <w:spacing w:line="570" w:lineRule="exact"/>
        <w:ind w:left="0" w:leftChars="0" w:firstLine="643" w:firstLineChars="200"/>
        <w:jc w:val="both"/>
        <w:textAlignment w:val="auto"/>
        <w:rPr>
          <w:rFonts w:hint="eastAsia" w:ascii="楷体_GB2312" w:hAnsi="楷体_GB2312" w:eastAsia="楷体_GB2312" w:cs="楷体_GB2312"/>
          <w:b/>
          <w:bCs/>
          <w:sz w:val="32"/>
          <w:szCs w:val="32"/>
        </w:rPr>
      </w:pPr>
      <w:r>
        <w:rPr>
          <w:rFonts w:hint="eastAsia" w:ascii="楷体_GB2312" w:hAnsi="楷体_GB2312" w:eastAsia="楷体_GB2312" w:cs="楷体_GB2312"/>
          <w:b/>
          <w:bCs/>
          <w:sz w:val="32"/>
          <w:szCs w:val="32"/>
        </w:rPr>
        <w:t>交通指引</w:t>
      </w:r>
      <w:r>
        <w:rPr>
          <w:rFonts w:hint="eastAsia" w:ascii="楷体_GB2312" w:hAnsi="楷体_GB2312" w:eastAsia="楷体_GB2312" w:cs="楷体_GB2312"/>
          <w:b/>
          <w:bCs/>
          <w:sz w:val="32"/>
          <w:szCs w:val="32"/>
          <w:lang w:eastAsia="zh-CN"/>
        </w:rPr>
        <w:t>：</w:t>
      </w:r>
    </w:p>
    <w:p w14:paraId="0EF0B938">
      <w:pPr>
        <w:keepNext w:val="0"/>
        <w:keepLines w:val="0"/>
        <w:pageBreakBefore w:val="0"/>
        <w:numPr>
          <w:ilvl w:val="0"/>
          <w:numId w:val="0"/>
        </w:numPr>
        <w:kinsoku/>
        <w:wordWrap/>
        <w:overflowPunct/>
        <w:topLinePunct w:val="0"/>
        <w:autoSpaceDE/>
        <w:autoSpaceDN/>
        <w:bidi w:val="0"/>
        <w:spacing w:line="570" w:lineRule="exact"/>
        <w:ind w:left="0" w:leftChars="0" w:firstLine="643" w:firstLineChars="200"/>
        <w:jc w:val="both"/>
        <w:textAlignment w:val="auto"/>
        <w:rPr>
          <w:rFonts w:hint="eastAsia" w:ascii="仿宋" w:hAnsi="仿宋" w:eastAsia="仿宋" w:cs="仿宋"/>
          <w:sz w:val="32"/>
          <w:szCs w:val="32"/>
          <w:highlight w:val="none"/>
        </w:rPr>
      </w:pPr>
      <w:r>
        <w:rPr>
          <w:rFonts w:hint="eastAsia" w:ascii="仿宋" w:hAnsi="仿宋" w:eastAsia="仿宋" w:cs="仿宋"/>
          <w:b/>
          <w:bCs/>
          <w:sz w:val="32"/>
          <w:szCs w:val="32"/>
          <w:highlight w:val="none"/>
          <w:lang w:eastAsia="zh-CN"/>
        </w:rPr>
        <w:t>曹妃甸区行政审批局</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rPr>
        <w:t>K1支线/K1专线，四大联检下车（曹妃甸工业区兴业道1号）；K2路，新城服务中心下车（曹妃甸新城未来大道1号）；101路/102路，行政审批大厅下车（曹妃甸新城大街与唐海路交叉口西行200米）</w:t>
      </w:r>
    </w:p>
    <w:p w14:paraId="5A775300">
      <w:pPr>
        <w:keepNext w:val="0"/>
        <w:keepLines w:val="0"/>
        <w:pageBreakBefore w:val="0"/>
        <w:numPr>
          <w:ilvl w:val="0"/>
          <w:numId w:val="0"/>
        </w:numPr>
        <w:kinsoku/>
        <w:wordWrap/>
        <w:overflowPunct/>
        <w:topLinePunct w:val="0"/>
        <w:autoSpaceDE/>
        <w:autoSpaceDN/>
        <w:bidi w:val="0"/>
        <w:spacing w:line="570" w:lineRule="exact"/>
        <w:ind w:left="0" w:leftChars="0" w:firstLine="419" w:firstLineChars="131"/>
        <w:jc w:val="both"/>
        <w:textAlignment w:val="auto"/>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w:t>
      </w:r>
      <w:r>
        <w:rPr>
          <w:rFonts w:hint="eastAsia" w:ascii="仿宋" w:hAnsi="仿宋" w:eastAsia="仿宋" w:cs="仿宋"/>
          <w:b/>
          <w:bCs/>
          <w:sz w:val="32"/>
          <w:szCs w:val="32"/>
          <w:highlight w:val="none"/>
          <w:lang w:val="en-US" w:eastAsia="zh-CN"/>
        </w:rPr>
        <w:t>曹妃甸区卫生健康局：</w:t>
      </w:r>
      <w:r>
        <w:rPr>
          <w:rFonts w:hint="eastAsia" w:ascii="仿宋" w:hAnsi="仿宋" w:eastAsia="仿宋" w:cs="仿宋"/>
          <w:sz w:val="32"/>
          <w:szCs w:val="32"/>
          <w:highlight w:val="none"/>
          <w:lang w:val="en-US" w:eastAsia="zh-CN"/>
        </w:rPr>
        <w:t>坐k1到人民政府站下车，垦丰大街政府院内；</w:t>
      </w:r>
    </w:p>
    <w:p w14:paraId="45A0CD8D">
      <w:pPr>
        <w:ind w:firstLine="640" w:firstLineChars="200"/>
        <w:rPr>
          <w:rFonts w:ascii="黑体" w:hAnsi="黑体" w:eastAsia="黑体" w:cs="黑体"/>
          <w:sz w:val="32"/>
          <w:szCs w:val="32"/>
        </w:rPr>
      </w:pPr>
      <w:r>
        <w:rPr>
          <w:rFonts w:hint="eastAsia" w:ascii="黑体" w:hAnsi="黑体" w:eastAsia="黑体" w:cs="黑体"/>
          <w:sz w:val="32"/>
          <w:szCs w:val="32"/>
        </w:rPr>
        <w:t>十、咨询预约方式</w:t>
      </w:r>
    </w:p>
    <w:p w14:paraId="2F124C36">
      <w:pPr>
        <w:keepNext w:val="0"/>
        <w:keepLines w:val="0"/>
        <w:pageBreakBefore w:val="0"/>
        <w:kinsoku/>
        <w:wordWrap/>
        <w:overflowPunct/>
        <w:topLinePunct w:val="0"/>
        <w:autoSpaceDE/>
        <w:autoSpaceDN/>
        <w:bidi w:val="0"/>
        <w:spacing w:line="570" w:lineRule="exact"/>
        <w:ind w:firstLine="640" w:firstLineChars="200"/>
        <w:jc w:val="both"/>
        <w:textAlignment w:val="auto"/>
        <w:rPr>
          <w:rFonts w:hint="eastAsia" w:ascii="仿宋" w:hAnsi="仿宋" w:eastAsia="仿宋" w:cs="仿宋"/>
          <w:sz w:val="32"/>
          <w:szCs w:val="32"/>
          <w:lang w:eastAsia="zh-CN"/>
        </w:rPr>
      </w:pPr>
      <w:r>
        <w:rPr>
          <w:rFonts w:hint="eastAsia" w:ascii="仿宋" w:hAnsi="仿宋" w:eastAsia="仿宋" w:cs="仿宋"/>
          <w:sz w:val="32"/>
          <w:szCs w:val="32"/>
        </w:rPr>
        <w:t>咨询预约电话：</w:t>
      </w:r>
      <w:r>
        <w:rPr>
          <w:rFonts w:hint="eastAsia" w:ascii="仿宋" w:hAnsi="仿宋" w:eastAsia="仿宋" w:cs="仿宋"/>
          <w:sz w:val="32"/>
          <w:szCs w:val="32"/>
          <w:highlight w:val="none"/>
        </w:rPr>
        <w:t>0315-8851606</w:t>
      </w:r>
      <w:r>
        <w:rPr>
          <w:rFonts w:hint="eastAsia" w:ascii="仿宋" w:hAnsi="仿宋" w:eastAsia="仿宋" w:cs="仿宋"/>
          <w:sz w:val="32"/>
          <w:szCs w:val="32"/>
          <w:highlight w:val="none"/>
          <w:lang w:val="en-US" w:eastAsia="zh-CN"/>
        </w:rPr>
        <w:t>;0315-8722706</w:t>
      </w:r>
      <w:r>
        <w:rPr>
          <w:rFonts w:hint="eastAsia" w:ascii="仿宋" w:hAnsi="仿宋" w:eastAsia="仿宋" w:cs="仿宋"/>
          <w:sz w:val="32"/>
          <w:szCs w:val="32"/>
          <w:lang w:eastAsia="zh-CN"/>
        </w:rPr>
        <w:t>；0315-8787050</w:t>
      </w:r>
    </w:p>
    <w:p w14:paraId="50A4294B">
      <w:pPr>
        <w:rPr>
          <w:rFonts w:ascii="黑体" w:hAnsi="黑体" w:eastAsia="黑体" w:cs="黑体"/>
          <w:sz w:val="32"/>
          <w:szCs w:val="32"/>
        </w:rPr>
      </w:pPr>
      <w:r>
        <w:rPr>
          <w:rFonts w:hint="eastAsia"/>
          <w:sz w:val="32"/>
          <w:szCs w:val="32"/>
        </w:rPr>
        <w:t xml:space="preserve">    </w:t>
      </w:r>
      <w:r>
        <w:rPr>
          <w:rFonts w:hint="eastAsia" w:ascii="黑体" w:hAnsi="黑体" w:eastAsia="黑体" w:cs="黑体"/>
          <w:sz w:val="32"/>
          <w:szCs w:val="32"/>
        </w:rPr>
        <w:t>十一、监督和投诉渠道</w:t>
      </w:r>
    </w:p>
    <w:p w14:paraId="7C033F89">
      <w:pPr>
        <w:keepNext w:val="0"/>
        <w:keepLines w:val="0"/>
        <w:pageBreakBefore w:val="0"/>
        <w:kinsoku/>
        <w:wordWrap/>
        <w:overflowPunct/>
        <w:topLinePunct w:val="0"/>
        <w:autoSpaceDE/>
        <w:autoSpaceDN/>
        <w:bidi w:val="0"/>
        <w:spacing w:line="570" w:lineRule="exact"/>
        <w:ind w:firstLine="640" w:firstLineChars="200"/>
        <w:jc w:val="both"/>
        <w:textAlignment w:val="auto"/>
        <w:rPr>
          <w:rFonts w:hint="default" w:ascii="仿宋" w:hAnsi="仿宋" w:eastAsia="仿宋" w:cs="仿宋"/>
          <w:sz w:val="32"/>
          <w:szCs w:val="32"/>
          <w:highlight w:val="yellow"/>
          <w:lang w:val="en-US" w:eastAsia="zh-CN"/>
        </w:rPr>
      </w:pPr>
      <w:r>
        <w:rPr>
          <w:rFonts w:hint="eastAsia"/>
          <w:sz w:val="32"/>
          <w:szCs w:val="32"/>
        </w:rPr>
        <w:t xml:space="preserve"> </w:t>
      </w:r>
      <w:r>
        <w:rPr>
          <w:rFonts w:hint="eastAsia" w:ascii="仿宋" w:hAnsi="仿宋" w:eastAsia="仿宋" w:cs="仿宋"/>
          <w:sz w:val="32"/>
          <w:szCs w:val="32"/>
        </w:rPr>
        <w:t>监督投诉电话：</w:t>
      </w:r>
      <w:r>
        <w:rPr>
          <w:rFonts w:hint="eastAsia" w:ascii="仿宋" w:hAnsi="仿宋" w:eastAsia="仿宋" w:cs="仿宋"/>
          <w:sz w:val="32"/>
          <w:szCs w:val="32"/>
          <w:highlight w:val="none"/>
        </w:rPr>
        <w:t>0315-8787068</w:t>
      </w:r>
      <w:r>
        <w:rPr>
          <w:rFonts w:hint="eastAsia" w:ascii="仿宋" w:hAnsi="仿宋" w:eastAsia="仿宋" w:cs="仿宋"/>
          <w:sz w:val="32"/>
          <w:szCs w:val="32"/>
          <w:highlight w:val="none"/>
          <w:lang w:val="en-US" w:eastAsia="zh-CN"/>
        </w:rPr>
        <w:t>;0315-8711798</w:t>
      </w:r>
    </w:p>
    <w:p w14:paraId="128D3A41"/>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FD7F22">
    <w:pPr>
      <w:pStyle w:val="2"/>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7E1801">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D7E1801">
                    <w:pPr>
                      <w:pStyle w:val="2"/>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B921A7"/>
    <w:multiLevelType w:val="singleLevel"/>
    <w:tmpl w:val="8CB921A7"/>
    <w:lvl w:ilvl="0" w:tentative="0">
      <w:start w:val="2"/>
      <w:numFmt w:val="chineseCounting"/>
      <w:suff w:val="nothing"/>
      <w:lvlText w:val="（%1）"/>
      <w:lvlJc w:val="left"/>
      <w:rPr>
        <w:rFonts w:hint="eastAsia"/>
      </w:rPr>
    </w:lvl>
  </w:abstractNum>
  <w:abstractNum w:abstractNumId="1">
    <w:nsid w:val="4DC39B76"/>
    <w:multiLevelType w:val="singleLevel"/>
    <w:tmpl w:val="4DC39B76"/>
    <w:lvl w:ilvl="0" w:tentative="0">
      <w:start w:val="7"/>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0ZDZhMzU3N2I5ZTcyZDdjYTM3MzY1ZjY1NzdiODYifQ=="/>
  </w:docVars>
  <w:rsids>
    <w:rsidRoot w:val="00706326"/>
    <w:rsid w:val="00484033"/>
    <w:rsid w:val="00706326"/>
    <w:rsid w:val="009E144F"/>
    <w:rsid w:val="01AF2788"/>
    <w:rsid w:val="0369315B"/>
    <w:rsid w:val="0390788D"/>
    <w:rsid w:val="04AE6601"/>
    <w:rsid w:val="054963EC"/>
    <w:rsid w:val="05990554"/>
    <w:rsid w:val="05DB5D3A"/>
    <w:rsid w:val="08481BEA"/>
    <w:rsid w:val="087052EB"/>
    <w:rsid w:val="0AA12CCE"/>
    <w:rsid w:val="0F1A71CE"/>
    <w:rsid w:val="12011A13"/>
    <w:rsid w:val="1C084465"/>
    <w:rsid w:val="1C8D7961"/>
    <w:rsid w:val="20044EB3"/>
    <w:rsid w:val="283B6E16"/>
    <w:rsid w:val="28D64DCE"/>
    <w:rsid w:val="2B8726E8"/>
    <w:rsid w:val="2C0B2A27"/>
    <w:rsid w:val="2CAB6572"/>
    <w:rsid w:val="37BD18A6"/>
    <w:rsid w:val="3FFF49D7"/>
    <w:rsid w:val="412C01B3"/>
    <w:rsid w:val="41334697"/>
    <w:rsid w:val="485F434F"/>
    <w:rsid w:val="49190D27"/>
    <w:rsid w:val="49EB4802"/>
    <w:rsid w:val="4C4347C3"/>
    <w:rsid w:val="57F449FA"/>
    <w:rsid w:val="587E23E5"/>
    <w:rsid w:val="5AF917EB"/>
    <w:rsid w:val="68900D1C"/>
    <w:rsid w:val="696503D1"/>
    <w:rsid w:val="697274AB"/>
    <w:rsid w:val="773712F1"/>
    <w:rsid w:val="774E06ED"/>
    <w:rsid w:val="FEAE77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Paragraph"/>
    <w:basedOn w:val="1"/>
    <w:qFormat/>
    <w:uiPriority w:val="34"/>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2978</Words>
  <Characters>3210</Characters>
  <Lines>8</Lines>
  <Paragraphs>2</Paragraphs>
  <TotalTime>2</TotalTime>
  <ScaleCrop>false</ScaleCrop>
  <LinksUpToDate>false</LinksUpToDate>
  <CharactersWithSpaces>3245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2022-10-01T01:53:00Z</dcterms:created>
  <dc:creator>Administrator</dc:creator>
  <cp:lastModifiedBy>瑞雪</cp:lastModifiedBy>
  <cp:lastPrinted>2023-06-16T14:00:00Z</cp:lastPrinted>
  <dcterms:modified xsi:type="dcterms:W3CDTF">2025-02-10T06:33:03Z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E547CA7315204ADEA6E1C9BB00908664</vt:lpwstr>
  </property>
  <property fmtid="{D5CDD505-2E9C-101B-9397-08002B2CF9AE}" pid="4" name="KSOTemplateDocerSaveRecord">
    <vt:lpwstr>eyJoZGlkIjoiZmQ5NmQ2MThmYzI5ZmJjMDc4MmQ4ZWRmYzA1NjUzM2IiLCJ1c2VySWQiOiIzMzE5NzU2ODUifQ==</vt:lpwstr>
  </property>
</Properties>
</file>