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1BE6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26A196DA">
            <w:pPr>
              <w:spacing w:line="480" w:lineRule="exact"/>
              <w:rPr>
                <w:rFonts w:ascii="宋体" w:hAnsi="宋体"/>
                <w:sz w:val="32"/>
              </w:rPr>
            </w:pPr>
            <w:r>
              <w:rPr>
                <w:rFonts w:hint="eastAsia" w:ascii="宋体" w:hAnsi="宋体"/>
                <w:sz w:val="32"/>
              </w:rPr>
              <w:t>审批意见：</w:t>
            </w:r>
          </w:p>
          <w:p w14:paraId="0F534DCA">
            <w:pPr>
              <w:spacing w:line="480" w:lineRule="exact"/>
              <w:jc w:val="right"/>
              <w:rPr>
                <w:rFonts w:ascii="仿宋" w:hAnsi="仿宋" w:eastAsia="仿宋" w:cs="仿宋"/>
                <w:sz w:val="30"/>
                <w:szCs w:val="30"/>
                <w:highlight w:val="none"/>
              </w:rPr>
            </w:pPr>
            <w:r>
              <w:rPr>
                <w:rFonts w:hint="eastAsia" w:ascii="仿宋" w:hAnsi="仿宋" w:eastAsia="仿宋" w:cs="仿宋"/>
                <w:spacing w:val="-16"/>
                <w:sz w:val="30"/>
                <w:szCs w:val="30"/>
                <w:highlight w:val="none"/>
              </w:rPr>
              <w:t>唐曹审批环表</w:t>
            </w:r>
            <w:bookmarkStart w:id="0" w:name="OLE_LINK2"/>
            <w:r>
              <w:rPr>
                <w:rFonts w:hint="eastAsia" w:ascii="仿宋" w:hAnsi="仿宋" w:eastAsia="仿宋" w:cs="仿宋"/>
                <w:spacing w:val="-16"/>
                <w:sz w:val="30"/>
                <w:szCs w:val="30"/>
                <w:highlight w:val="none"/>
              </w:rPr>
              <w:t>〔2025〕</w:t>
            </w:r>
            <w:r>
              <w:rPr>
                <w:rFonts w:hint="eastAsia" w:ascii="仿宋" w:hAnsi="仿宋" w:eastAsia="仿宋" w:cs="仿宋"/>
                <w:spacing w:val="-16"/>
                <w:sz w:val="30"/>
                <w:szCs w:val="30"/>
                <w:highlight w:val="none"/>
                <w:lang w:val="en-US" w:eastAsia="zh-CN"/>
              </w:rPr>
              <w:t>31</w:t>
            </w:r>
            <w:r>
              <w:rPr>
                <w:rFonts w:hint="eastAsia" w:ascii="仿宋" w:hAnsi="仿宋" w:eastAsia="仿宋" w:cs="仿宋"/>
                <w:spacing w:val="-16"/>
                <w:sz w:val="30"/>
                <w:szCs w:val="30"/>
                <w:highlight w:val="none"/>
              </w:rPr>
              <w:t>号</w:t>
            </w:r>
          </w:p>
          <w:bookmarkEnd w:id="0"/>
          <w:p w14:paraId="69F6C6D4">
            <w:pPr>
              <w:adjustRightInd w:val="0"/>
              <w:snapToGrid w:val="0"/>
              <w:spacing w:line="288" w:lineRule="auto"/>
              <w:ind w:firstLine="496" w:firstLineChars="200"/>
              <w:rPr>
                <w:rFonts w:ascii="仿宋" w:hAnsi="仿宋" w:eastAsia="仿宋" w:cs="仿宋"/>
                <w:spacing w:val="-16"/>
                <w:sz w:val="28"/>
                <w:szCs w:val="28"/>
              </w:rPr>
            </w:pPr>
          </w:p>
          <w:p w14:paraId="7D1D0D55">
            <w:pPr>
              <w:adjustRightInd w:val="0"/>
              <w:snapToGrid w:val="0"/>
              <w:spacing w:line="252" w:lineRule="auto"/>
              <w:ind w:firstLine="536" w:firstLineChars="200"/>
              <w:rPr>
                <w:rFonts w:eastAsia="仿宋"/>
                <w:spacing w:val="-16"/>
                <w:sz w:val="30"/>
                <w:szCs w:val="30"/>
              </w:rPr>
            </w:pPr>
            <w:r>
              <w:rPr>
                <w:rFonts w:eastAsia="仿宋"/>
                <w:spacing w:val="-16"/>
                <w:sz w:val="30"/>
                <w:szCs w:val="30"/>
              </w:rPr>
              <w:t>根据环评结论，结合工程环境影响特点</w:t>
            </w:r>
            <w:r>
              <w:rPr>
                <w:rFonts w:hint="eastAsia" w:ascii="仿宋" w:hAnsi="仿宋" w:eastAsia="仿宋" w:cs="仿宋"/>
                <w:spacing w:val="-16"/>
                <w:sz w:val="30"/>
                <w:szCs w:val="30"/>
              </w:rPr>
              <w:t>及专家评审意见</w:t>
            </w:r>
            <w:r>
              <w:rPr>
                <w:rFonts w:eastAsia="仿宋"/>
                <w:spacing w:val="-16"/>
                <w:sz w:val="30"/>
                <w:szCs w:val="30"/>
              </w:rPr>
              <w:t>，经研究</w:t>
            </w:r>
            <w:r>
              <w:rPr>
                <w:rFonts w:hint="eastAsia" w:eastAsia="仿宋"/>
                <w:spacing w:val="-16"/>
                <w:sz w:val="30"/>
                <w:szCs w:val="30"/>
              </w:rPr>
              <w:t>，</w:t>
            </w:r>
            <w:r>
              <w:rPr>
                <w:rFonts w:eastAsia="仿宋"/>
                <w:spacing w:val="-16"/>
                <w:sz w:val="30"/>
                <w:szCs w:val="30"/>
              </w:rPr>
              <w:t>批复如下</w:t>
            </w:r>
            <w:r>
              <w:rPr>
                <w:rFonts w:hint="eastAsia" w:eastAsia="仿宋"/>
                <w:spacing w:val="-16"/>
                <w:sz w:val="30"/>
                <w:szCs w:val="30"/>
              </w:rPr>
              <w:t>。</w:t>
            </w:r>
          </w:p>
          <w:p w14:paraId="3E9EEAA9">
            <w:pPr>
              <w:adjustRightInd w:val="0"/>
              <w:snapToGrid w:val="0"/>
              <w:spacing w:line="252" w:lineRule="auto"/>
              <w:ind w:firstLine="536" w:firstLineChars="200"/>
              <w:rPr>
                <w:rFonts w:eastAsia="仿宋"/>
                <w:spacing w:val="-16"/>
                <w:sz w:val="30"/>
                <w:szCs w:val="30"/>
                <w:highlight w:val="green"/>
              </w:rPr>
            </w:pPr>
            <w:r>
              <w:rPr>
                <w:rFonts w:hint="eastAsia" w:ascii="仿宋" w:hAnsi="仿宋" w:eastAsia="仿宋" w:cs="仿宋"/>
                <w:spacing w:val="-16"/>
                <w:sz w:val="30"/>
                <w:szCs w:val="30"/>
              </w:rPr>
              <w:t>一、首钢京唐钢铁联合有限责任公司粗苯储罐安全提标改造项目位于唐山市曹妃甸</w:t>
            </w:r>
            <w:r>
              <w:rPr>
                <w:rFonts w:hint="eastAsia" w:ascii="仿宋" w:hAnsi="仿宋" w:eastAsia="仿宋" w:cs="仿宋"/>
                <w:spacing w:val="-16"/>
                <w:sz w:val="30"/>
                <w:szCs w:val="30"/>
                <w:lang w:val="en-US" w:eastAsia="zh-CN"/>
              </w:rPr>
              <w:t>钢铁电力</w:t>
            </w:r>
            <w:r>
              <w:rPr>
                <w:rFonts w:hint="eastAsia" w:ascii="仿宋" w:hAnsi="仿宋" w:eastAsia="仿宋" w:cs="仿宋"/>
                <w:spacing w:val="-16"/>
                <w:sz w:val="30"/>
                <w:szCs w:val="30"/>
              </w:rPr>
              <w:t>园区首钢京唐钢铁联合有限责任公司</w:t>
            </w:r>
            <w:r>
              <w:rPr>
                <w:rFonts w:hint="eastAsia" w:ascii="仿宋" w:hAnsi="仿宋" w:eastAsia="仿宋" w:cs="仿宋"/>
                <w:spacing w:val="-16"/>
                <w:sz w:val="30"/>
                <w:szCs w:val="30"/>
                <w:lang w:val="en-US" w:eastAsia="zh-CN"/>
              </w:rPr>
              <w:t>现有厂区内</w:t>
            </w:r>
            <w:r>
              <w:rPr>
                <w:rFonts w:hint="eastAsia" w:ascii="仿宋" w:hAnsi="仿宋" w:eastAsia="仿宋" w:cs="仿宋"/>
                <w:spacing w:val="-16"/>
                <w:sz w:val="30"/>
                <w:szCs w:val="30"/>
              </w:rPr>
              <w:t>，中心坐标E118°31′9.5″，N38°57′11.37″，占地面积2040m</w:t>
            </w:r>
            <w:r>
              <w:rPr>
                <w:rFonts w:hint="eastAsia" w:ascii="仿宋" w:hAnsi="仿宋" w:eastAsia="仿宋" w:cs="仿宋"/>
                <w:spacing w:val="-16"/>
                <w:sz w:val="30"/>
                <w:szCs w:val="30"/>
                <w:vertAlign w:val="superscript"/>
              </w:rPr>
              <w:t>2</w:t>
            </w:r>
            <w:r>
              <w:rPr>
                <w:rFonts w:hint="eastAsia" w:ascii="仿宋" w:hAnsi="仿宋" w:eastAsia="仿宋" w:cs="仿宋"/>
                <w:spacing w:val="-16"/>
                <w:sz w:val="30"/>
                <w:szCs w:val="30"/>
              </w:rPr>
              <w:t>，总投资550万元（其中环保投资20万元）。项目主要对粗苯A储罐、B储罐进行安全提标改造，</w:t>
            </w:r>
            <w:r>
              <w:rPr>
                <w:rFonts w:hint="eastAsia" w:ascii="仿宋" w:hAnsi="仿宋" w:eastAsia="仿宋" w:cs="仿宋"/>
                <w:spacing w:val="-16"/>
                <w:sz w:val="30"/>
                <w:szCs w:val="30"/>
                <w:lang w:val="en-US" w:eastAsia="zh-CN"/>
              </w:rPr>
              <w:t>对</w:t>
            </w:r>
            <w:r>
              <w:rPr>
                <w:rFonts w:hint="eastAsia" w:ascii="仿宋" w:hAnsi="仿宋" w:eastAsia="仿宋" w:cs="仿宋"/>
                <w:spacing w:val="-16"/>
                <w:sz w:val="30"/>
                <w:szCs w:val="30"/>
              </w:rPr>
              <w:t>粗苯B储罐缩量改造</w:t>
            </w:r>
            <w:r>
              <w:rPr>
                <w:rFonts w:hint="eastAsia" w:ascii="仿宋" w:hAnsi="仿宋" w:eastAsia="仿宋" w:cs="仿宋"/>
                <w:spacing w:val="-16"/>
                <w:sz w:val="30"/>
                <w:szCs w:val="30"/>
                <w:lang w:eastAsia="zh-CN"/>
              </w:rPr>
              <w:t>（</w:t>
            </w:r>
            <w:r>
              <w:rPr>
                <w:rFonts w:hint="eastAsia" w:ascii="仿宋" w:hAnsi="仿宋" w:eastAsia="仿宋" w:cs="仿宋"/>
                <w:spacing w:val="-16"/>
                <w:sz w:val="30"/>
                <w:szCs w:val="30"/>
              </w:rPr>
              <w:t>缩量至1000m</w:t>
            </w:r>
            <w:r>
              <w:rPr>
                <w:rFonts w:hint="eastAsia" w:ascii="仿宋" w:hAnsi="仿宋" w:eastAsia="仿宋" w:cs="仿宋"/>
                <w:spacing w:val="-16"/>
                <w:sz w:val="30"/>
                <w:szCs w:val="30"/>
                <w:vertAlign w:val="superscript"/>
              </w:rPr>
              <w:t>3</w:t>
            </w:r>
            <w:r>
              <w:rPr>
                <w:rFonts w:hint="eastAsia" w:ascii="仿宋" w:hAnsi="仿宋" w:eastAsia="仿宋" w:cs="仿宋"/>
                <w:spacing w:val="-16"/>
                <w:sz w:val="30"/>
                <w:szCs w:val="30"/>
                <w:vertAlign w:val="baseline"/>
                <w:lang w:eastAsia="zh-CN"/>
              </w:rPr>
              <w:t>）</w:t>
            </w:r>
            <w:r>
              <w:rPr>
                <w:rFonts w:hint="eastAsia" w:ascii="仿宋" w:hAnsi="仿宋" w:eastAsia="仿宋" w:cs="仿宋"/>
                <w:spacing w:val="-16"/>
                <w:sz w:val="30"/>
                <w:szCs w:val="30"/>
              </w:rPr>
              <w:t>，购置激光氧含量分析仪、阻火器、雷达液位计等设备并配套建设仪表及自动化控制系统等公辅设施。项目建成后，粗苯</w:t>
            </w:r>
            <w:r>
              <w:rPr>
                <w:rFonts w:hint="eastAsia" w:ascii="仿宋" w:hAnsi="仿宋" w:eastAsia="仿宋" w:cs="仿宋"/>
                <w:spacing w:val="-16"/>
                <w:sz w:val="30"/>
                <w:szCs w:val="30"/>
                <w:lang w:val="en-US" w:eastAsia="zh-CN"/>
              </w:rPr>
              <w:t>罐总容积为4000</w:t>
            </w:r>
            <w:r>
              <w:rPr>
                <w:rFonts w:hint="eastAsia" w:ascii="仿宋" w:hAnsi="仿宋" w:eastAsia="仿宋" w:cs="仿宋"/>
                <w:spacing w:val="-16"/>
                <w:sz w:val="30"/>
                <w:szCs w:val="30"/>
              </w:rPr>
              <w:t>m</w:t>
            </w:r>
            <w:r>
              <w:rPr>
                <w:rFonts w:hint="eastAsia" w:ascii="仿宋" w:hAnsi="仿宋" w:eastAsia="仿宋" w:cs="仿宋"/>
                <w:spacing w:val="-16"/>
                <w:sz w:val="30"/>
                <w:szCs w:val="30"/>
                <w:vertAlign w:val="superscript"/>
              </w:rPr>
              <w:t>3</w:t>
            </w:r>
            <w:bookmarkStart w:id="1" w:name="_GoBack"/>
            <w:bookmarkEnd w:id="1"/>
            <w:r>
              <w:rPr>
                <w:rFonts w:hint="eastAsia" w:ascii="仿宋" w:hAnsi="仿宋" w:eastAsia="仿宋" w:cs="仿宋"/>
                <w:spacing w:val="-16"/>
                <w:sz w:val="30"/>
                <w:szCs w:val="30"/>
              </w:rPr>
              <w:t>。项</w:t>
            </w:r>
            <w:r>
              <w:rPr>
                <w:rFonts w:ascii="仿宋" w:hAnsi="仿宋" w:eastAsia="仿宋" w:cs="仿宋"/>
                <w:spacing w:val="-16"/>
                <w:sz w:val="30"/>
                <w:szCs w:val="30"/>
              </w:rPr>
              <w:t>目实施将对生态环境产生一定不利影响，在全面落实环</w:t>
            </w:r>
            <w:r>
              <w:rPr>
                <w:rFonts w:eastAsia="仿宋"/>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7FB8D8B2">
            <w:pPr>
              <w:adjustRightInd w:val="0"/>
              <w:snapToGrid w:val="0"/>
              <w:spacing w:line="252" w:lineRule="auto"/>
              <w:ind w:firstLine="536" w:firstLineChars="200"/>
              <w:rPr>
                <w:rFonts w:eastAsia="仿宋"/>
                <w:spacing w:val="-16"/>
                <w:sz w:val="30"/>
                <w:szCs w:val="30"/>
              </w:rPr>
            </w:pPr>
            <w:r>
              <w:rPr>
                <w:rFonts w:eastAsia="仿宋"/>
                <w:spacing w:val="-16"/>
                <w:sz w:val="30"/>
                <w:szCs w:val="30"/>
              </w:rPr>
              <w:t>二、项目实施</w:t>
            </w:r>
            <w:r>
              <w:rPr>
                <w:rFonts w:hint="eastAsia" w:eastAsia="仿宋"/>
                <w:spacing w:val="-16"/>
                <w:sz w:val="30"/>
                <w:szCs w:val="30"/>
              </w:rPr>
              <w:t>过程</w:t>
            </w:r>
            <w:r>
              <w:rPr>
                <w:rFonts w:eastAsia="仿宋"/>
                <w:spacing w:val="-16"/>
                <w:sz w:val="30"/>
                <w:szCs w:val="30"/>
              </w:rPr>
              <w:t>中应重点做好以下工作：</w:t>
            </w:r>
          </w:p>
          <w:p w14:paraId="5C66EBDE">
            <w:pPr>
              <w:adjustRightInd w:val="0"/>
              <w:snapToGrid w:val="0"/>
              <w:spacing w:line="252" w:lineRule="auto"/>
              <w:ind w:firstLine="536" w:firstLineChars="200"/>
              <w:rPr>
                <w:rFonts w:ascii="仿宋" w:hAnsi="仿宋" w:eastAsia="仿宋" w:cs="仿宋"/>
                <w:spacing w:val="-16"/>
                <w:sz w:val="30"/>
                <w:szCs w:val="30"/>
              </w:rPr>
            </w:pPr>
            <w:r>
              <w:rPr>
                <w:rFonts w:ascii="仿宋" w:hAnsi="仿宋" w:eastAsia="仿宋" w:cs="仿宋"/>
                <w:spacing w:val="-16"/>
                <w:sz w:val="30"/>
                <w:szCs w:val="30"/>
              </w:rPr>
              <w:t>（一）</w:t>
            </w:r>
            <w:r>
              <w:rPr>
                <w:rFonts w:hint="eastAsia" w:ascii="仿宋" w:hAnsi="仿宋" w:eastAsia="仿宋" w:cs="仿宋"/>
                <w:spacing w:val="-16"/>
                <w:sz w:val="30"/>
                <w:szCs w:val="30"/>
              </w:rPr>
              <w:t>加强施工期环境管理。合理安排施工时间，优化施工工艺，防止工程施工造成的环境污染。选用低噪声施工机械、合理安排各类施工机械工作时间，确保施工场界噪声达到《建筑施工场界环境噪声排放标准》（GB12523-2011）要求。妥善处置施工固体废弃物，施工废水回用或抑尘。</w:t>
            </w:r>
          </w:p>
          <w:p w14:paraId="5D421314">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 xml:space="preserve">（二）运营期，加强无组织排放管控，定期开展泄漏检测与修复(LDAR)工作，及时更换阀门、法兰等组件，粗苯罐区无组织废气中非甲烷总烃排放须满足《炼焦化学工业大气污染物排放标准》(GB 16171.1-2024)表A.1 </w:t>
            </w:r>
            <w:r>
              <w:rPr>
                <w:rFonts w:hint="eastAsia" w:ascii="仿宋" w:hAnsi="仿宋" w:eastAsia="仿宋" w:cs="仿宋"/>
                <w:spacing w:val="-16"/>
                <w:sz w:val="30"/>
                <w:szCs w:val="30"/>
                <w:lang w:val="en-US" w:eastAsia="zh-CN"/>
              </w:rPr>
              <w:t>中</w:t>
            </w:r>
            <w:r>
              <w:rPr>
                <w:rFonts w:hint="eastAsia" w:ascii="仿宋" w:hAnsi="仿宋" w:eastAsia="仿宋" w:cs="仿宋"/>
                <w:spacing w:val="-16"/>
                <w:sz w:val="30"/>
                <w:szCs w:val="30"/>
              </w:rPr>
              <w:t xml:space="preserve">限值要求，厂界无组织废气中苯、非甲烷总烃排放须满足《炼焦化学工业大气污染物超低排放标准》(DB13/2863-2018)表2 </w:t>
            </w:r>
            <w:r>
              <w:rPr>
                <w:rFonts w:hint="eastAsia" w:ascii="仿宋" w:hAnsi="仿宋" w:eastAsia="仿宋" w:cs="仿宋"/>
                <w:spacing w:val="-16"/>
                <w:sz w:val="30"/>
                <w:szCs w:val="30"/>
                <w:lang w:val="en-US" w:eastAsia="zh-CN"/>
              </w:rPr>
              <w:t>中</w:t>
            </w:r>
            <w:r>
              <w:rPr>
                <w:rFonts w:hint="eastAsia" w:ascii="仿宋" w:hAnsi="仿宋" w:eastAsia="仿宋" w:cs="仿宋"/>
                <w:spacing w:val="-16"/>
                <w:sz w:val="30"/>
                <w:szCs w:val="30"/>
              </w:rPr>
              <w:t>限值要求。</w:t>
            </w:r>
          </w:p>
          <w:p w14:paraId="47547EC1">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三）运营期，粗苯储罐分离水经焦油罐区地下放空槽收集后泵至厂区现有设施进行预处理，处理后的尾水送厂区现有酚氰废水处理站处理，处理后全部回用不外排。严格按要求落实防渗措施,防止对地下水造成污染。</w:t>
            </w:r>
          </w:p>
          <w:p w14:paraId="211FE5D5">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（四）加强环境风险防范，落实环境风险应急措施。及时</w:t>
            </w:r>
            <w:r>
              <w:rPr>
                <w:rFonts w:hint="eastAsia" w:ascii="仿宋" w:hAnsi="仿宋" w:eastAsia="仿宋" w:cs="仿宋"/>
                <w:spacing w:val="-16"/>
                <w:sz w:val="30"/>
                <w:szCs w:val="30"/>
                <w:lang w:val="en-US" w:eastAsia="zh-CN"/>
              </w:rPr>
              <w:t>修订</w:t>
            </w:r>
            <w:r>
              <w:rPr>
                <w:rFonts w:hint="eastAsia" w:ascii="仿宋" w:hAnsi="仿宋" w:eastAsia="仿宋" w:cs="仿宋"/>
                <w:spacing w:val="-16"/>
                <w:sz w:val="30"/>
                <w:szCs w:val="30"/>
              </w:rPr>
              <w:t>和完善首钢京唐钢铁联合有限责任公司突发环境事件应急预案，与我地政府、园区等应急预案做好衔接，按照规定报相关部门备案。配备必要的应急设备和物资，加大风险监测和监控力度，定期进行应急培训和演练，有效防范和应对环境风险。</w:t>
            </w:r>
          </w:p>
          <w:p w14:paraId="60EAB152">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（五）其他环境管理内容严格按环境影响报告表规定的措施进行落实。</w:t>
            </w:r>
          </w:p>
          <w:p w14:paraId="6E2C8B1A">
            <w:pPr>
              <w:pStyle w:val="11"/>
              <w:adjustRightInd w:val="0"/>
              <w:snapToGrid w:val="0"/>
              <w:spacing w:line="252" w:lineRule="auto"/>
              <w:ind w:firstLine="536"/>
              <w:rPr>
                <w:rFonts w:ascii="仿宋" w:hAnsi="仿宋" w:eastAsia="仿宋" w:cs="仿宋"/>
                <w:spacing w:val="-16"/>
                <w:sz w:val="30"/>
                <w:szCs w:val="30"/>
              </w:rPr>
            </w:pPr>
            <w:r>
              <w:rPr>
                <w:rFonts w:hint="eastAsia" w:ascii="仿宋" w:hAnsi="仿宋" w:eastAsia="仿宋" w:cs="仿宋"/>
                <w:spacing w:val="-16"/>
                <w:sz w:val="30"/>
                <w:szCs w:val="30"/>
              </w:rPr>
              <w:t>三、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77A3E6A3">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四、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0A2F355C">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五、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2D0B6056">
            <w:pPr>
              <w:adjustRightInd w:val="0"/>
              <w:snapToGrid w:val="0"/>
              <w:spacing w:line="252" w:lineRule="auto"/>
              <w:ind w:firstLine="536" w:firstLineChars="200"/>
            </w:pPr>
            <w:r>
              <w:rPr>
                <w:rFonts w:hint="eastAsia" w:ascii="仿宋" w:hAnsi="仿宋" w:eastAsia="仿宋" w:cs="仿宋"/>
                <w:spacing w:val="-16"/>
                <w:sz w:val="30"/>
                <w:szCs w:val="30"/>
              </w:rPr>
              <w:t>六、该项目的环境保护“三同时”制度落实日常监管由唐山市生态环境局曹妃甸区分局负责。</w:t>
            </w:r>
          </w:p>
          <w:p w14:paraId="24D26FD3"/>
          <w:p w14:paraId="56ED143F">
            <w:pPr>
              <w:pStyle w:val="2"/>
            </w:pPr>
          </w:p>
          <w:p w14:paraId="21D60B3D">
            <w:pPr>
              <w:pStyle w:val="3"/>
            </w:pPr>
          </w:p>
          <w:p w14:paraId="27F95249"/>
          <w:p w14:paraId="74543CDA"/>
          <w:p w14:paraId="602A9B86">
            <w:pPr>
              <w:pStyle w:val="2"/>
              <w:ind w:firstLine="0"/>
            </w:pPr>
          </w:p>
          <w:p w14:paraId="4AF52BFB">
            <w:pPr>
              <w:pStyle w:val="3"/>
            </w:pPr>
          </w:p>
          <w:p w14:paraId="7BC60400"/>
          <w:p w14:paraId="04256DA4">
            <w:pPr>
              <w:pStyle w:val="2"/>
            </w:pPr>
          </w:p>
          <w:p w14:paraId="05606B2F">
            <w:pPr>
              <w:pStyle w:val="3"/>
            </w:pPr>
          </w:p>
          <w:p w14:paraId="6C1CE264"/>
          <w:p w14:paraId="0D1B04BB">
            <w:pPr>
              <w:pStyle w:val="2"/>
            </w:pPr>
          </w:p>
          <w:p w14:paraId="3CA90329">
            <w:pPr>
              <w:pStyle w:val="3"/>
            </w:pPr>
          </w:p>
          <w:p w14:paraId="63FB1E6B"/>
          <w:p w14:paraId="1BAA1E0B">
            <w:pPr>
              <w:pStyle w:val="2"/>
            </w:pPr>
          </w:p>
          <w:p w14:paraId="637C53C8">
            <w:pPr>
              <w:pStyle w:val="3"/>
            </w:pPr>
          </w:p>
          <w:p w14:paraId="0D2A81C6">
            <w:pPr>
              <w:pStyle w:val="3"/>
            </w:pPr>
          </w:p>
          <w:p w14:paraId="301E2544">
            <w:pPr>
              <w:pStyle w:val="2"/>
              <w:ind w:left="0" w:leftChars="0" w:firstLine="0" w:firstLineChars="0"/>
            </w:pPr>
          </w:p>
          <w:p w14:paraId="686AF73B">
            <w:pPr>
              <w:pStyle w:val="2"/>
            </w:pPr>
          </w:p>
          <w:p w14:paraId="4D378798">
            <w:pPr>
              <w:pStyle w:val="3"/>
            </w:pPr>
          </w:p>
          <w:p w14:paraId="1C650172"/>
          <w:p w14:paraId="4B9F3E97">
            <w:pPr>
              <w:pStyle w:val="2"/>
            </w:pPr>
          </w:p>
          <w:p w14:paraId="2B0AC540">
            <w:pPr>
              <w:adjustRightInd w:val="0"/>
              <w:snapToGrid w:val="0"/>
              <w:ind w:left="5670" w:leftChars="2700"/>
              <w:rPr>
                <w:rFonts w:eastAsia="仿宋"/>
                <w:szCs w:val="21"/>
              </w:rPr>
            </w:pPr>
          </w:p>
          <w:p w14:paraId="1D203E14">
            <w:pPr>
              <w:adjustRightInd w:val="0"/>
              <w:snapToGrid w:val="0"/>
              <w:ind w:left="5670" w:leftChars="2700"/>
              <w:rPr>
                <w:rFonts w:eastAsia="仿宋"/>
                <w:sz w:val="30"/>
                <w:szCs w:val="30"/>
              </w:rPr>
            </w:pPr>
            <w:r>
              <w:rPr>
                <w:rFonts w:eastAsia="仿宋"/>
                <w:sz w:val="30"/>
                <w:szCs w:val="30"/>
              </w:rPr>
              <w:t xml:space="preserve">                （盖章）</w:t>
            </w:r>
          </w:p>
          <w:p w14:paraId="3BB6E30F">
            <w:pPr>
              <w:adjustRightInd w:val="0"/>
              <w:snapToGrid w:val="0"/>
              <w:jc w:val="center"/>
              <w:rPr>
                <w:rFonts w:ascii="仿宋_GB2312" w:hAnsi="宋体" w:eastAsia="仿宋_GB2312"/>
                <w:sz w:val="32"/>
              </w:rPr>
            </w:pPr>
            <w:r>
              <w:rPr>
                <w:rFonts w:hint="eastAsia" w:ascii="仿宋" w:hAnsi="仿宋" w:eastAsia="仿宋" w:cs="仿宋"/>
                <w:sz w:val="30"/>
                <w:szCs w:val="30"/>
              </w:rPr>
              <w:t xml:space="preserve">                                                </w:t>
            </w:r>
            <w:r>
              <w:rPr>
                <w:rFonts w:hint="eastAsia" w:ascii="仿宋" w:hAnsi="仿宋" w:eastAsia="仿宋" w:cs="仿宋"/>
                <w:sz w:val="30"/>
                <w:szCs w:val="30"/>
                <w:highlight w:val="none"/>
              </w:rPr>
              <w:t xml:space="preserve">  2025年5月</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日</w:t>
            </w:r>
          </w:p>
        </w:tc>
      </w:tr>
    </w:tbl>
    <w:p w14:paraId="2FDFD8A8"/>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15FF">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NlMTBhZjM5MzZlYzZlOTBlMTdhNWEzYWJkYTZkMjIifQ=="/>
  </w:docVars>
  <w:rsids>
    <w:rsidRoot w:val="002441E5"/>
    <w:rsid w:val="00025F8C"/>
    <w:rsid w:val="00041940"/>
    <w:rsid w:val="000466EF"/>
    <w:rsid w:val="0006656F"/>
    <w:rsid w:val="000A5C9E"/>
    <w:rsid w:val="000B482C"/>
    <w:rsid w:val="00146E0E"/>
    <w:rsid w:val="00157E65"/>
    <w:rsid w:val="00165D72"/>
    <w:rsid w:val="001D72A6"/>
    <w:rsid w:val="001F44A0"/>
    <w:rsid w:val="002441E5"/>
    <w:rsid w:val="00265DF0"/>
    <w:rsid w:val="00275F9E"/>
    <w:rsid w:val="002917FA"/>
    <w:rsid w:val="002D1025"/>
    <w:rsid w:val="002D2926"/>
    <w:rsid w:val="002F371A"/>
    <w:rsid w:val="003B3367"/>
    <w:rsid w:val="003E6D10"/>
    <w:rsid w:val="00445263"/>
    <w:rsid w:val="004E26A7"/>
    <w:rsid w:val="004F2D85"/>
    <w:rsid w:val="004F500D"/>
    <w:rsid w:val="005078D3"/>
    <w:rsid w:val="005A3D82"/>
    <w:rsid w:val="005C646C"/>
    <w:rsid w:val="005D2677"/>
    <w:rsid w:val="0061102D"/>
    <w:rsid w:val="006656A1"/>
    <w:rsid w:val="006C4201"/>
    <w:rsid w:val="008179A8"/>
    <w:rsid w:val="00834DD8"/>
    <w:rsid w:val="00876764"/>
    <w:rsid w:val="00894664"/>
    <w:rsid w:val="008F73D5"/>
    <w:rsid w:val="00905E46"/>
    <w:rsid w:val="0093299B"/>
    <w:rsid w:val="009E31BC"/>
    <w:rsid w:val="00A4500A"/>
    <w:rsid w:val="00AB7180"/>
    <w:rsid w:val="00AD05D1"/>
    <w:rsid w:val="00B26B62"/>
    <w:rsid w:val="00B446F7"/>
    <w:rsid w:val="00B921B9"/>
    <w:rsid w:val="00BB0B22"/>
    <w:rsid w:val="00BD4678"/>
    <w:rsid w:val="00BE710B"/>
    <w:rsid w:val="00C61692"/>
    <w:rsid w:val="00CC6DF6"/>
    <w:rsid w:val="00D11EFD"/>
    <w:rsid w:val="00D43B2F"/>
    <w:rsid w:val="00D95E6E"/>
    <w:rsid w:val="00DF08F9"/>
    <w:rsid w:val="00E7007C"/>
    <w:rsid w:val="00EC3195"/>
    <w:rsid w:val="00ED65A3"/>
    <w:rsid w:val="00EE1FB7"/>
    <w:rsid w:val="00EF3D17"/>
    <w:rsid w:val="00F429BF"/>
    <w:rsid w:val="00F6057A"/>
    <w:rsid w:val="00F763AE"/>
    <w:rsid w:val="01396DB8"/>
    <w:rsid w:val="01717C47"/>
    <w:rsid w:val="01F25BBC"/>
    <w:rsid w:val="02B56110"/>
    <w:rsid w:val="02F25542"/>
    <w:rsid w:val="03C45F33"/>
    <w:rsid w:val="03C54CEB"/>
    <w:rsid w:val="044E02B9"/>
    <w:rsid w:val="04730D0A"/>
    <w:rsid w:val="048871A0"/>
    <w:rsid w:val="048874E8"/>
    <w:rsid w:val="04CE55B2"/>
    <w:rsid w:val="04E202AA"/>
    <w:rsid w:val="05ED1D5C"/>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1402E7"/>
    <w:rsid w:val="0CDE3753"/>
    <w:rsid w:val="0D45357F"/>
    <w:rsid w:val="0DDA3B91"/>
    <w:rsid w:val="0E3B61B7"/>
    <w:rsid w:val="0EE859DF"/>
    <w:rsid w:val="0EE95B2D"/>
    <w:rsid w:val="0F7D0909"/>
    <w:rsid w:val="101C0036"/>
    <w:rsid w:val="105769DE"/>
    <w:rsid w:val="107C0404"/>
    <w:rsid w:val="11041A14"/>
    <w:rsid w:val="12966C0E"/>
    <w:rsid w:val="13584916"/>
    <w:rsid w:val="139A37C1"/>
    <w:rsid w:val="13F00D79"/>
    <w:rsid w:val="13F955A3"/>
    <w:rsid w:val="1476634D"/>
    <w:rsid w:val="14A024D2"/>
    <w:rsid w:val="14B67AD2"/>
    <w:rsid w:val="14C20F1C"/>
    <w:rsid w:val="14C444D9"/>
    <w:rsid w:val="14D533BE"/>
    <w:rsid w:val="14E7597A"/>
    <w:rsid w:val="14EA1F38"/>
    <w:rsid w:val="158132E2"/>
    <w:rsid w:val="15CA7EF8"/>
    <w:rsid w:val="16232A98"/>
    <w:rsid w:val="169B10A4"/>
    <w:rsid w:val="1780596D"/>
    <w:rsid w:val="17906094"/>
    <w:rsid w:val="1795410B"/>
    <w:rsid w:val="17A0738E"/>
    <w:rsid w:val="17A162DC"/>
    <w:rsid w:val="17CD5C40"/>
    <w:rsid w:val="18922ADE"/>
    <w:rsid w:val="19B12A9C"/>
    <w:rsid w:val="1A314CEF"/>
    <w:rsid w:val="1A3967CF"/>
    <w:rsid w:val="1B3C4F77"/>
    <w:rsid w:val="1BE378E2"/>
    <w:rsid w:val="1C3350FE"/>
    <w:rsid w:val="1DCB129A"/>
    <w:rsid w:val="1E163955"/>
    <w:rsid w:val="1E4F450E"/>
    <w:rsid w:val="1EA11B52"/>
    <w:rsid w:val="1FFB252D"/>
    <w:rsid w:val="20063510"/>
    <w:rsid w:val="206E4541"/>
    <w:rsid w:val="20FE72E2"/>
    <w:rsid w:val="211424CC"/>
    <w:rsid w:val="212B7660"/>
    <w:rsid w:val="21343DF0"/>
    <w:rsid w:val="21973D65"/>
    <w:rsid w:val="21E51F2A"/>
    <w:rsid w:val="22A27AED"/>
    <w:rsid w:val="234409B3"/>
    <w:rsid w:val="23605AD7"/>
    <w:rsid w:val="236132B3"/>
    <w:rsid w:val="23F06FB4"/>
    <w:rsid w:val="25014124"/>
    <w:rsid w:val="25160B9E"/>
    <w:rsid w:val="25422EB1"/>
    <w:rsid w:val="25451EFC"/>
    <w:rsid w:val="25C478B6"/>
    <w:rsid w:val="25FF31AB"/>
    <w:rsid w:val="26D33BB6"/>
    <w:rsid w:val="26D826F4"/>
    <w:rsid w:val="27291A5F"/>
    <w:rsid w:val="282F01FF"/>
    <w:rsid w:val="2839215A"/>
    <w:rsid w:val="284F6DA3"/>
    <w:rsid w:val="28974CD0"/>
    <w:rsid w:val="28AC6926"/>
    <w:rsid w:val="299E7D29"/>
    <w:rsid w:val="2A1F0583"/>
    <w:rsid w:val="2ABD60EE"/>
    <w:rsid w:val="2AF65CB8"/>
    <w:rsid w:val="2B3B7703"/>
    <w:rsid w:val="2B5977DC"/>
    <w:rsid w:val="2C7027A2"/>
    <w:rsid w:val="2CB8238E"/>
    <w:rsid w:val="2CCE4E87"/>
    <w:rsid w:val="2CF616C6"/>
    <w:rsid w:val="2D0903A1"/>
    <w:rsid w:val="2D575F42"/>
    <w:rsid w:val="2E3C038F"/>
    <w:rsid w:val="2E7E67B5"/>
    <w:rsid w:val="2F354280"/>
    <w:rsid w:val="2F767F98"/>
    <w:rsid w:val="2FE61B4A"/>
    <w:rsid w:val="304B4239"/>
    <w:rsid w:val="30FE3051"/>
    <w:rsid w:val="3143082E"/>
    <w:rsid w:val="3153309C"/>
    <w:rsid w:val="31624D44"/>
    <w:rsid w:val="319D063B"/>
    <w:rsid w:val="31DC233B"/>
    <w:rsid w:val="31FD6F57"/>
    <w:rsid w:val="3204365B"/>
    <w:rsid w:val="32931C22"/>
    <w:rsid w:val="32A053F0"/>
    <w:rsid w:val="33021C63"/>
    <w:rsid w:val="332604D0"/>
    <w:rsid w:val="332F411F"/>
    <w:rsid w:val="335F2009"/>
    <w:rsid w:val="33640893"/>
    <w:rsid w:val="33C32E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9F33E3D"/>
    <w:rsid w:val="3A61109E"/>
    <w:rsid w:val="3AC745FD"/>
    <w:rsid w:val="3AE31132"/>
    <w:rsid w:val="3AE831DC"/>
    <w:rsid w:val="3AF07E52"/>
    <w:rsid w:val="3B580E51"/>
    <w:rsid w:val="3B5B60FE"/>
    <w:rsid w:val="3B6903DC"/>
    <w:rsid w:val="3C7911BB"/>
    <w:rsid w:val="3CB31943"/>
    <w:rsid w:val="3DF163E3"/>
    <w:rsid w:val="3E697715"/>
    <w:rsid w:val="3F47719D"/>
    <w:rsid w:val="3FBE5403"/>
    <w:rsid w:val="3FCC3946"/>
    <w:rsid w:val="3FD32370"/>
    <w:rsid w:val="401C0D02"/>
    <w:rsid w:val="40713AD5"/>
    <w:rsid w:val="40A97AED"/>
    <w:rsid w:val="412321A6"/>
    <w:rsid w:val="414F65E7"/>
    <w:rsid w:val="432736C0"/>
    <w:rsid w:val="432F55D1"/>
    <w:rsid w:val="43461E77"/>
    <w:rsid w:val="436854A3"/>
    <w:rsid w:val="436C26EB"/>
    <w:rsid w:val="43D828B9"/>
    <w:rsid w:val="442A76CF"/>
    <w:rsid w:val="44944C9C"/>
    <w:rsid w:val="45207B9B"/>
    <w:rsid w:val="455D4AFE"/>
    <w:rsid w:val="45C863C0"/>
    <w:rsid w:val="45FB0C1E"/>
    <w:rsid w:val="46306469"/>
    <w:rsid w:val="46836E49"/>
    <w:rsid w:val="474D2B70"/>
    <w:rsid w:val="479273AA"/>
    <w:rsid w:val="483B3AD2"/>
    <w:rsid w:val="493D3791"/>
    <w:rsid w:val="4B0A4206"/>
    <w:rsid w:val="4B57280A"/>
    <w:rsid w:val="4B881529"/>
    <w:rsid w:val="4BB83F05"/>
    <w:rsid w:val="4BF11BE8"/>
    <w:rsid w:val="4C0F3DA7"/>
    <w:rsid w:val="4C241613"/>
    <w:rsid w:val="4C566267"/>
    <w:rsid w:val="4C5D55B2"/>
    <w:rsid w:val="4C7D06CC"/>
    <w:rsid w:val="4D8245CE"/>
    <w:rsid w:val="4D8426BB"/>
    <w:rsid w:val="4DB2068E"/>
    <w:rsid w:val="4F0716F6"/>
    <w:rsid w:val="4F633CBE"/>
    <w:rsid w:val="4F657FE0"/>
    <w:rsid w:val="4F69341E"/>
    <w:rsid w:val="50000B1D"/>
    <w:rsid w:val="507C3A71"/>
    <w:rsid w:val="50CF58EE"/>
    <w:rsid w:val="51076707"/>
    <w:rsid w:val="515155A2"/>
    <w:rsid w:val="51FA00FE"/>
    <w:rsid w:val="52B23E2F"/>
    <w:rsid w:val="52B92E41"/>
    <w:rsid w:val="531643A8"/>
    <w:rsid w:val="53293638"/>
    <w:rsid w:val="5357030B"/>
    <w:rsid w:val="536C62A4"/>
    <w:rsid w:val="53882441"/>
    <w:rsid w:val="53D042D8"/>
    <w:rsid w:val="53F06A04"/>
    <w:rsid w:val="54CC14BB"/>
    <w:rsid w:val="54DB3998"/>
    <w:rsid w:val="55F52488"/>
    <w:rsid w:val="55F92EC0"/>
    <w:rsid w:val="563F048E"/>
    <w:rsid w:val="56AF5BBC"/>
    <w:rsid w:val="56D96758"/>
    <w:rsid w:val="570E35A3"/>
    <w:rsid w:val="57327B89"/>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6914DA"/>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6A5248"/>
    <w:rsid w:val="6179425A"/>
    <w:rsid w:val="61A54C1B"/>
    <w:rsid w:val="61B167B3"/>
    <w:rsid w:val="62026D0A"/>
    <w:rsid w:val="62424DB0"/>
    <w:rsid w:val="62760C5A"/>
    <w:rsid w:val="63567BE0"/>
    <w:rsid w:val="64487EEB"/>
    <w:rsid w:val="645A1E49"/>
    <w:rsid w:val="648B44AC"/>
    <w:rsid w:val="64C23DAC"/>
    <w:rsid w:val="64C6280F"/>
    <w:rsid w:val="64EB1B6E"/>
    <w:rsid w:val="65A62B50"/>
    <w:rsid w:val="65B47780"/>
    <w:rsid w:val="65D959BB"/>
    <w:rsid w:val="662D6EA1"/>
    <w:rsid w:val="665D20E8"/>
    <w:rsid w:val="66616C89"/>
    <w:rsid w:val="666C188D"/>
    <w:rsid w:val="67113C9C"/>
    <w:rsid w:val="67480E2F"/>
    <w:rsid w:val="676F5335"/>
    <w:rsid w:val="68731E8B"/>
    <w:rsid w:val="696F3617"/>
    <w:rsid w:val="69E72951"/>
    <w:rsid w:val="6A445B6F"/>
    <w:rsid w:val="6B0A033D"/>
    <w:rsid w:val="6B4C07DE"/>
    <w:rsid w:val="6B807383"/>
    <w:rsid w:val="6BDC5E11"/>
    <w:rsid w:val="6BDE6046"/>
    <w:rsid w:val="6CC67850"/>
    <w:rsid w:val="6D04079D"/>
    <w:rsid w:val="6D1A4BC7"/>
    <w:rsid w:val="6D33774C"/>
    <w:rsid w:val="6D5463B7"/>
    <w:rsid w:val="6DA02B76"/>
    <w:rsid w:val="6DE37C26"/>
    <w:rsid w:val="6E2825BD"/>
    <w:rsid w:val="6E35395F"/>
    <w:rsid w:val="6F035768"/>
    <w:rsid w:val="6FD90614"/>
    <w:rsid w:val="70491E36"/>
    <w:rsid w:val="704F5371"/>
    <w:rsid w:val="71085540"/>
    <w:rsid w:val="71C059A3"/>
    <w:rsid w:val="726C7A98"/>
    <w:rsid w:val="72710C91"/>
    <w:rsid w:val="72CB7893"/>
    <w:rsid w:val="73343F13"/>
    <w:rsid w:val="73AE31E6"/>
    <w:rsid w:val="73B754D4"/>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8690E78"/>
    <w:rsid w:val="791334CC"/>
    <w:rsid w:val="794C1CC6"/>
    <w:rsid w:val="799E48B3"/>
    <w:rsid w:val="79B33B81"/>
    <w:rsid w:val="7A731BC2"/>
    <w:rsid w:val="7A7F4E47"/>
    <w:rsid w:val="7B6D7C9A"/>
    <w:rsid w:val="7BC274E3"/>
    <w:rsid w:val="7BE53F25"/>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adjustRightInd w:val="0"/>
      <w:spacing w:line="480" w:lineRule="atLeast"/>
      <w:ind w:firstLine="595"/>
    </w:pPr>
    <w:rPr>
      <w:sz w:val="28"/>
    </w:rPr>
  </w:style>
  <w:style w:type="paragraph" w:styleId="3">
    <w:name w:val="toc 1"/>
    <w:basedOn w:val="1"/>
    <w:next w:val="1"/>
    <w:qFormat/>
    <w:uiPriority w:val="0"/>
    <w:pPr>
      <w:spacing w:line="240" w:lineRule="exact"/>
      <w:jc w:val="center"/>
    </w:pPr>
    <w:rPr>
      <w:kern w:val="0"/>
      <w:sz w:val="18"/>
      <w:szCs w:val="18"/>
    </w:rPr>
  </w:style>
  <w:style w:type="paragraph" w:styleId="5">
    <w:name w:val="annotation text"/>
    <w:basedOn w:val="1"/>
    <w:semiHidden/>
    <w:unhideWhenUsed/>
    <w:qFormat/>
    <w:uiPriority w:val="99"/>
    <w:pPr>
      <w:jc w:val="left"/>
    </w:pPr>
  </w:style>
  <w:style w:type="paragraph" w:styleId="6">
    <w:name w:val="Block Text"/>
    <w:basedOn w:val="1"/>
    <w:next w:val="1"/>
    <w:semiHidden/>
    <w:unhideWhenUsed/>
    <w:qFormat/>
    <w:uiPriority w:val="99"/>
    <w:pPr>
      <w:ind w:left="1440" w:leftChars="700" w:right="700" w:rightChars="700"/>
    </w:pPr>
  </w:style>
  <w:style w:type="paragraph" w:styleId="7">
    <w:name w:val="Plain Text"/>
    <w:basedOn w:val="1"/>
    <w:unhideWhenUsed/>
    <w:qFormat/>
    <w:uiPriority w:val="99"/>
    <w:rPr>
      <w:rFonts w:hint="eastAsia" w:ascii="宋体" w:hAnsi="Courier New" w:cs="Courier New"/>
      <w:szCs w:val="21"/>
    </w:rPr>
  </w:style>
  <w:style w:type="paragraph" w:styleId="8">
    <w:name w:val="Balloon Text"/>
    <w:basedOn w:val="1"/>
    <w:link w:val="28"/>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semiHidden/>
    <w:qFormat/>
    <w:uiPriority w:val="0"/>
    <w:pPr>
      <w:spacing w:line="440" w:lineRule="exact"/>
      <w:ind w:firstLine="200" w:firstLineChars="200"/>
    </w:pPr>
  </w:style>
  <w:style w:type="character" w:styleId="14">
    <w:name w:val="Strong"/>
    <w:basedOn w:val="13"/>
    <w:qFormat/>
    <w:uiPriority w:val="22"/>
    <w:rPr>
      <w:b/>
      <w:sz w:val="24"/>
      <w:szCs w:val="24"/>
    </w:rPr>
  </w:style>
  <w:style w:type="character" w:styleId="15">
    <w:name w:val="FollowedHyperlink"/>
    <w:basedOn w:val="13"/>
    <w:semiHidden/>
    <w:unhideWhenUsed/>
    <w:qFormat/>
    <w:uiPriority w:val="99"/>
    <w:rPr>
      <w:color w:val="128EC2"/>
      <w:u w:val="none"/>
    </w:rPr>
  </w:style>
  <w:style w:type="character" w:styleId="16">
    <w:name w:val="Emphasis"/>
    <w:basedOn w:val="13"/>
    <w:qFormat/>
    <w:uiPriority w:val="20"/>
    <w:rPr>
      <w:b/>
      <w:sz w:val="24"/>
      <w:szCs w:val="24"/>
    </w:rPr>
  </w:style>
  <w:style w:type="character" w:styleId="17">
    <w:name w:val="Hyperlink"/>
    <w:basedOn w:val="13"/>
    <w:semiHidden/>
    <w:unhideWhenUsed/>
    <w:qFormat/>
    <w:uiPriority w:val="99"/>
    <w:rPr>
      <w:color w:val="128EC2"/>
      <w:u w:val="none"/>
    </w:rPr>
  </w:style>
  <w:style w:type="character" w:styleId="18">
    <w:name w:val="annotation reference"/>
    <w:semiHidden/>
    <w:qFormat/>
    <w:uiPriority w:val="0"/>
    <w:rPr>
      <w:sz w:val="21"/>
    </w:rPr>
  </w:style>
  <w:style w:type="character" w:customStyle="1" w:styleId="19">
    <w:name w:val="页眉 Char"/>
    <w:basedOn w:val="13"/>
    <w:link w:val="10"/>
    <w:semiHidden/>
    <w:qFormat/>
    <w:uiPriority w:val="99"/>
    <w:rPr>
      <w:sz w:val="18"/>
      <w:szCs w:val="18"/>
    </w:rPr>
  </w:style>
  <w:style w:type="character" w:customStyle="1" w:styleId="20">
    <w:name w:val="页脚 Char"/>
    <w:basedOn w:val="13"/>
    <w:link w:val="9"/>
    <w:semiHidden/>
    <w:qFormat/>
    <w:uiPriority w:val="99"/>
    <w:rPr>
      <w:sz w:val="18"/>
      <w:szCs w:val="18"/>
    </w:rPr>
  </w:style>
  <w:style w:type="character" w:customStyle="1" w:styleId="21">
    <w:name w:val="u-ver6"/>
    <w:basedOn w:val="13"/>
    <w:qFormat/>
    <w:uiPriority w:val="0"/>
  </w:style>
  <w:style w:type="character" w:customStyle="1" w:styleId="22">
    <w:name w:val="u-ver5"/>
    <w:basedOn w:val="13"/>
    <w:qFormat/>
    <w:uiPriority w:val="0"/>
  </w:style>
  <w:style w:type="character" w:customStyle="1" w:styleId="23">
    <w:name w:val="正常格式 Char"/>
    <w:link w:val="24"/>
    <w:qFormat/>
    <w:uiPriority w:val="0"/>
    <w:rPr>
      <w:rFonts w:ascii="Times New Roman" w:hAnsi="Times New Roman"/>
      <w:snapToGrid w:val="0"/>
      <w:kern w:val="0"/>
      <w:sz w:val="24"/>
    </w:rPr>
  </w:style>
  <w:style w:type="paragraph" w:customStyle="1" w:styleId="24">
    <w:name w:val="正常格式"/>
    <w:basedOn w:val="1"/>
    <w:link w:val="23"/>
    <w:qFormat/>
    <w:uiPriority w:val="0"/>
    <w:pPr>
      <w:spacing w:line="480" w:lineRule="exact"/>
      <w:ind w:firstLine="602" w:firstLineChars="200"/>
    </w:pPr>
    <w:rPr>
      <w:snapToGrid w:val="0"/>
      <w:kern w:val="0"/>
      <w:sz w:val="24"/>
    </w:rPr>
  </w:style>
  <w:style w:type="paragraph" w:customStyle="1" w:styleId="25">
    <w:name w:val="样式4"/>
    <w:qFormat/>
    <w:uiPriority w:val="0"/>
    <w:rPr>
      <w:rFonts w:ascii="宋体" w:hAnsi="宋体" w:eastAsia="宋体" w:cs="Times New Roman"/>
      <w:b/>
      <w:bCs/>
      <w:iCs/>
      <w:kern w:val="2"/>
      <w:sz w:val="24"/>
      <w:szCs w:val="24"/>
      <w:lang w:val="zh-CN" w:eastAsia="zh-CN" w:bidi="ar-SA"/>
    </w:rPr>
  </w:style>
  <w:style w:type="paragraph" w:customStyle="1" w:styleId="2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27">
    <w:name w:val="fontstyle01"/>
    <w:qFormat/>
    <w:uiPriority w:val="0"/>
    <w:rPr>
      <w:rFonts w:hint="default" w:ascii="仿宋" w:hAnsi="仿宋"/>
      <w:color w:val="000000"/>
      <w:sz w:val="30"/>
      <w:szCs w:val="30"/>
    </w:rPr>
  </w:style>
  <w:style w:type="character" w:customStyle="1" w:styleId="28">
    <w:name w:val="批注框文本 Char"/>
    <w:basedOn w:val="13"/>
    <w:link w:val="8"/>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1350</Words>
  <Characters>1438</Characters>
  <Lines>12</Lines>
  <Paragraphs>3</Paragraphs>
  <TotalTime>2</TotalTime>
  <ScaleCrop>false</ScaleCrop>
  <LinksUpToDate>false</LinksUpToDate>
  <CharactersWithSpaces>1507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2025-05-21T09:02:10Z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E754284BBBAB47BDB076267564D5653A_13</vt:lpwstr>
  </property>
  <property fmtid="{D5CDD505-2E9C-101B-9397-08002B2CF9AE}" pid="4" name="KSOTemplateDocerSaveRecord">
    <vt:lpwstr>eyJoZGlkIjoiMGRhZDA0NDM4MGI2ZDZkZDA4MDhkZTNhNTY4OGY1NmUiLCJ1c2VySWQiOiI3NDk2NDYyOTkifQ==</vt:lpwstr>
  </property>
</Properties>
</file>